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303284" w14:textId="77777777" w:rsidR="00E271E5" w:rsidRDefault="00E271E5">
      <w:pPr>
        <w:rPr>
          <w:rFonts w:ascii="Times New Roman" w:hAnsi="Times New Roman" w:cs="Times New Roman"/>
          <w:b/>
          <w:bCs/>
        </w:rPr>
      </w:pPr>
    </w:p>
    <w:p w14:paraId="6C95A681" w14:textId="77777777" w:rsidR="00E271E5" w:rsidRDefault="00E271E5">
      <w:pPr>
        <w:rPr>
          <w:rFonts w:ascii="Times New Roman" w:hAnsi="Times New Roman" w:cs="Times New Roman"/>
          <w:b/>
          <w:bCs/>
        </w:rPr>
      </w:pPr>
    </w:p>
    <w:p w14:paraId="58F55ADF" w14:textId="77777777" w:rsidR="00E271E5" w:rsidRDefault="00E271E5">
      <w:pPr>
        <w:rPr>
          <w:rFonts w:ascii="Times New Roman" w:hAnsi="Times New Roman" w:cs="Times New Roman"/>
          <w:b/>
          <w:bCs/>
        </w:rPr>
      </w:pPr>
    </w:p>
    <w:p w14:paraId="7BCDB37E" w14:textId="77777777" w:rsidR="00E271E5" w:rsidRDefault="00E271E5">
      <w:pPr>
        <w:rPr>
          <w:rFonts w:ascii="Times New Roman" w:hAnsi="Times New Roman" w:cs="Times New Roman"/>
          <w:b/>
          <w:bCs/>
        </w:rPr>
      </w:pPr>
    </w:p>
    <w:p w14:paraId="4F0F396A" w14:textId="77777777" w:rsidR="00E271E5" w:rsidRDefault="00E271E5">
      <w:pPr>
        <w:rPr>
          <w:rFonts w:ascii="Times New Roman" w:hAnsi="Times New Roman" w:cs="Times New Roman"/>
          <w:b/>
          <w:bCs/>
        </w:rPr>
      </w:pPr>
    </w:p>
    <w:p w14:paraId="11C87A7F" w14:textId="77777777" w:rsidR="00E271E5" w:rsidRDefault="00E271E5">
      <w:pPr>
        <w:rPr>
          <w:rFonts w:ascii="Times New Roman" w:hAnsi="Times New Roman" w:cs="Times New Roman"/>
          <w:b/>
          <w:bCs/>
        </w:rPr>
      </w:pPr>
    </w:p>
    <w:p w14:paraId="29B633E8" w14:textId="04BB87DA" w:rsidR="00E271E5" w:rsidRDefault="00E271E5" w:rsidP="00E271E5">
      <w:pPr>
        <w:jc w:val="center"/>
        <w:rPr>
          <w:rFonts w:ascii="Times New Roman" w:hAnsi="Times New Roman" w:cs="Times New Roman"/>
          <w:b/>
          <w:bCs/>
        </w:rPr>
      </w:pPr>
      <w:r>
        <w:rPr>
          <w:rFonts w:ascii="Times New Roman" w:hAnsi="Times New Roman" w:cs="Times New Roman"/>
          <w:b/>
          <w:bCs/>
        </w:rPr>
        <w:t>Examining Motivation and Concentration Levels when Exploiting Simulation “Optimal Strategy”</w:t>
      </w:r>
    </w:p>
    <w:p w14:paraId="1BC26309" w14:textId="77777777" w:rsidR="00E271E5" w:rsidRDefault="00E271E5" w:rsidP="00E271E5">
      <w:pPr>
        <w:jc w:val="center"/>
        <w:rPr>
          <w:rFonts w:ascii="Times New Roman" w:hAnsi="Times New Roman" w:cs="Times New Roman"/>
          <w:b/>
          <w:bCs/>
        </w:rPr>
      </w:pPr>
    </w:p>
    <w:p w14:paraId="326BF4EB" w14:textId="448FDEB4" w:rsidR="00E271E5" w:rsidRDefault="00E271E5" w:rsidP="00E271E5">
      <w:pPr>
        <w:jc w:val="center"/>
        <w:rPr>
          <w:rFonts w:ascii="Times New Roman" w:hAnsi="Times New Roman" w:cs="Times New Roman"/>
        </w:rPr>
      </w:pPr>
      <w:r>
        <w:rPr>
          <w:rFonts w:ascii="Times New Roman" w:hAnsi="Times New Roman" w:cs="Times New Roman"/>
        </w:rPr>
        <w:t>Ian Habit</w:t>
      </w:r>
    </w:p>
    <w:p w14:paraId="0E870BF2" w14:textId="147D2EC9" w:rsidR="00E271E5" w:rsidRDefault="00E271E5" w:rsidP="00E271E5">
      <w:pPr>
        <w:jc w:val="center"/>
        <w:rPr>
          <w:rFonts w:ascii="Times New Roman" w:hAnsi="Times New Roman" w:cs="Times New Roman"/>
        </w:rPr>
      </w:pPr>
      <w:r>
        <w:rPr>
          <w:rFonts w:ascii="Times New Roman" w:hAnsi="Times New Roman" w:cs="Times New Roman"/>
        </w:rPr>
        <w:t>Department of Psychology, George Mason University</w:t>
      </w:r>
    </w:p>
    <w:p w14:paraId="2B0D3FCC" w14:textId="77CA91FD" w:rsidR="00E271E5" w:rsidRDefault="00E271E5" w:rsidP="00E271E5">
      <w:pPr>
        <w:jc w:val="center"/>
        <w:rPr>
          <w:rFonts w:ascii="Times New Roman" w:hAnsi="Times New Roman" w:cs="Times New Roman"/>
        </w:rPr>
      </w:pPr>
      <w:r>
        <w:rPr>
          <w:rFonts w:ascii="Times New Roman" w:hAnsi="Times New Roman" w:cs="Times New Roman"/>
        </w:rPr>
        <w:t>PSYC 530: Cognitive Engineering</w:t>
      </w:r>
    </w:p>
    <w:p w14:paraId="5162D360" w14:textId="722B3A23" w:rsidR="00E271E5" w:rsidRDefault="00E271E5" w:rsidP="00E271E5">
      <w:pPr>
        <w:jc w:val="center"/>
        <w:rPr>
          <w:rFonts w:ascii="Times New Roman" w:hAnsi="Times New Roman" w:cs="Times New Roman"/>
        </w:rPr>
      </w:pPr>
      <w:r>
        <w:rPr>
          <w:rFonts w:ascii="Times New Roman" w:hAnsi="Times New Roman" w:cs="Times New Roman"/>
        </w:rPr>
        <w:t>Dr. William S. Helton</w:t>
      </w:r>
    </w:p>
    <w:p w14:paraId="77997234" w14:textId="33F97639" w:rsidR="00E271E5" w:rsidRDefault="00E271E5" w:rsidP="00E271E5">
      <w:pPr>
        <w:jc w:val="center"/>
        <w:rPr>
          <w:rFonts w:ascii="Times New Roman" w:hAnsi="Times New Roman" w:cs="Times New Roman"/>
        </w:rPr>
      </w:pPr>
      <w:r>
        <w:rPr>
          <w:rFonts w:ascii="Times New Roman" w:hAnsi="Times New Roman" w:cs="Times New Roman"/>
        </w:rPr>
        <w:t>November 9, 2024</w:t>
      </w:r>
    </w:p>
    <w:p w14:paraId="2017706F" w14:textId="77777777" w:rsidR="00E271E5" w:rsidRDefault="00E271E5" w:rsidP="00E271E5">
      <w:pPr>
        <w:jc w:val="center"/>
        <w:rPr>
          <w:rFonts w:ascii="Times New Roman" w:hAnsi="Times New Roman" w:cs="Times New Roman"/>
        </w:rPr>
      </w:pPr>
    </w:p>
    <w:p w14:paraId="641766A3" w14:textId="77777777" w:rsidR="00E271E5" w:rsidRDefault="00E271E5" w:rsidP="00E271E5">
      <w:pPr>
        <w:jc w:val="center"/>
        <w:rPr>
          <w:rFonts w:ascii="Times New Roman" w:hAnsi="Times New Roman" w:cs="Times New Roman"/>
        </w:rPr>
      </w:pPr>
    </w:p>
    <w:p w14:paraId="78F8B2ED" w14:textId="77777777" w:rsidR="00E271E5" w:rsidRDefault="00E271E5" w:rsidP="00E271E5">
      <w:pPr>
        <w:jc w:val="center"/>
        <w:rPr>
          <w:rFonts w:ascii="Times New Roman" w:hAnsi="Times New Roman" w:cs="Times New Roman"/>
        </w:rPr>
      </w:pPr>
    </w:p>
    <w:p w14:paraId="1054FBE2" w14:textId="77777777" w:rsidR="00E271E5" w:rsidRDefault="00E271E5" w:rsidP="00E271E5">
      <w:pPr>
        <w:jc w:val="center"/>
        <w:rPr>
          <w:rFonts w:ascii="Times New Roman" w:hAnsi="Times New Roman" w:cs="Times New Roman"/>
        </w:rPr>
      </w:pPr>
    </w:p>
    <w:p w14:paraId="3AB572C4" w14:textId="77777777" w:rsidR="00E271E5" w:rsidRDefault="00E271E5" w:rsidP="00E271E5">
      <w:pPr>
        <w:jc w:val="center"/>
        <w:rPr>
          <w:rFonts w:ascii="Times New Roman" w:hAnsi="Times New Roman" w:cs="Times New Roman"/>
        </w:rPr>
      </w:pPr>
    </w:p>
    <w:p w14:paraId="5662525C" w14:textId="77777777" w:rsidR="00E271E5" w:rsidRDefault="00E271E5" w:rsidP="00E271E5">
      <w:pPr>
        <w:jc w:val="center"/>
        <w:rPr>
          <w:rFonts w:ascii="Times New Roman" w:hAnsi="Times New Roman" w:cs="Times New Roman"/>
        </w:rPr>
      </w:pPr>
    </w:p>
    <w:p w14:paraId="035B8ADB" w14:textId="77777777" w:rsidR="00E271E5" w:rsidRDefault="00E271E5" w:rsidP="00E271E5">
      <w:pPr>
        <w:jc w:val="center"/>
        <w:rPr>
          <w:rFonts w:ascii="Times New Roman" w:hAnsi="Times New Roman" w:cs="Times New Roman"/>
        </w:rPr>
      </w:pPr>
    </w:p>
    <w:p w14:paraId="69E8D802" w14:textId="77777777" w:rsidR="00E271E5" w:rsidRDefault="00E271E5" w:rsidP="00E271E5">
      <w:pPr>
        <w:jc w:val="center"/>
        <w:rPr>
          <w:rFonts w:ascii="Times New Roman" w:hAnsi="Times New Roman" w:cs="Times New Roman"/>
        </w:rPr>
      </w:pPr>
    </w:p>
    <w:p w14:paraId="1DE78389" w14:textId="77777777" w:rsidR="00E271E5" w:rsidRDefault="00E271E5" w:rsidP="00E271E5">
      <w:pPr>
        <w:jc w:val="center"/>
        <w:rPr>
          <w:rFonts w:ascii="Times New Roman" w:hAnsi="Times New Roman" w:cs="Times New Roman"/>
        </w:rPr>
      </w:pPr>
    </w:p>
    <w:p w14:paraId="08FD05D6" w14:textId="77777777" w:rsidR="00E271E5" w:rsidRDefault="00E271E5" w:rsidP="00E271E5">
      <w:pPr>
        <w:jc w:val="center"/>
        <w:rPr>
          <w:rFonts w:ascii="Times New Roman" w:hAnsi="Times New Roman" w:cs="Times New Roman"/>
        </w:rPr>
      </w:pPr>
    </w:p>
    <w:p w14:paraId="3840D960" w14:textId="77777777" w:rsidR="00E271E5" w:rsidRDefault="00E271E5" w:rsidP="00E271E5">
      <w:pPr>
        <w:jc w:val="center"/>
        <w:rPr>
          <w:rFonts w:ascii="Times New Roman" w:hAnsi="Times New Roman" w:cs="Times New Roman"/>
        </w:rPr>
      </w:pPr>
    </w:p>
    <w:p w14:paraId="70457476" w14:textId="77777777" w:rsidR="00E271E5" w:rsidRDefault="00E271E5" w:rsidP="00E271E5">
      <w:pPr>
        <w:jc w:val="center"/>
        <w:rPr>
          <w:rFonts w:ascii="Times New Roman" w:hAnsi="Times New Roman" w:cs="Times New Roman"/>
        </w:rPr>
      </w:pPr>
    </w:p>
    <w:p w14:paraId="7AC2FDA6" w14:textId="77777777" w:rsidR="00E271E5" w:rsidRPr="00E271E5" w:rsidRDefault="00E271E5" w:rsidP="00E271E5">
      <w:pPr>
        <w:jc w:val="center"/>
        <w:rPr>
          <w:rFonts w:ascii="Times New Roman" w:hAnsi="Times New Roman" w:cs="Times New Roman"/>
        </w:rPr>
      </w:pPr>
    </w:p>
    <w:p w14:paraId="0713319D" w14:textId="53100C56" w:rsidR="006F216D" w:rsidRDefault="006F216D" w:rsidP="00E271E5">
      <w:pPr>
        <w:jc w:val="center"/>
        <w:rPr>
          <w:rFonts w:ascii="Times New Roman" w:hAnsi="Times New Roman" w:cs="Times New Roman"/>
        </w:rPr>
      </w:pPr>
      <w:r>
        <w:rPr>
          <w:rFonts w:ascii="Times New Roman" w:hAnsi="Times New Roman" w:cs="Times New Roman"/>
          <w:b/>
          <w:bCs/>
        </w:rPr>
        <w:lastRenderedPageBreak/>
        <w:t>Introduction</w:t>
      </w:r>
    </w:p>
    <w:p w14:paraId="172CFF75" w14:textId="0EDE02D8" w:rsidR="006F216D" w:rsidRDefault="006F216D">
      <w:pPr>
        <w:rPr>
          <w:rFonts w:ascii="Times New Roman" w:hAnsi="Times New Roman" w:cs="Times New Roman"/>
        </w:rPr>
      </w:pPr>
      <w:r>
        <w:rPr>
          <w:rFonts w:ascii="Times New Roman" w:hAnsi="Times New Roman" w:cs="Times New Roman"/>
        </w:rPr>
        <w:t xml:space="preserve">Disaster preparedness simulations and “wargaming” are an important part of understanding, measuring, and analyzing human behavior like stress and decision making </w:t>
      </w:r>
      <w:r w:rsidR="00EB7EE2">
        <w:rPr>
          <w:rFonts w:ascii="Times New Roman" w:hAnsi="Times New Roman" w:cs="Times New Roman"/>
        </w:rPr>
        <w:t>against</w:t>
      </w:r>
      <w:r>
        <w:rPr>
          <w:rFonts w:ascii="Times New Roman" w:hAnsi="Times New Roman" w:cs="Times New Roman"/>
        </w:rPr>
        <w:t xml:space="preserve"> specific scenarios of catastrophic hazards. Games like </w:t>
      </w:r>
      <w:r>
        <w:rPr>
          <w:rFonts w:ascii="Times New Roman" w:hAnsi="Times New Roman" w:cs="Times New Roman"/>
          <w:i/>
          <w:iCs/>
        </w:rPr>
        <w:t xml:space="preserve">Stop Disasters </w:t>
      </w:r>
      <w:r>
        <w:rPr>
          <w:rFonts w:ascii="Times New Roman" w:hAnsi="Times New Roman" w:cs="Times New Roman"/>
        </w:rPr>
        <w:t xml:space="preserve">provide valuable platforms for investigating these mechanisms by attempting to create realistic but controlled environments where players can practice their response without the threat of real-life consequences. That is all true, provided the simulation or its </w:t>
      </w:r>
      <w:r w:rsidR="00EB7EE2">
        <w:rPr>
          <w:rFonts w:ascii="Times New Roman" w:hAnsi="Times New Roman" w:cs="Times New Roman"/>
        </w:rPr>
        <w:t>scoring</w:t>
      </w:r>
      <w:r>
        <w:rPr>
          <w:rFonts w:ascii="Times New Roman" w:hAnsi="Times New Roman" w:cs="Times New Roman"/>
        </w:rPr>
        <w:t xml:space="preserve"> system cannot be broken or optimized to produce non-realistic, time efficient results by exploiting fundamental game design flaws, leading to a decrease in player motivation and thus concentration on the original, intrinsic task of the simulation: achieve the minimal amount of harm while maximizing your final score.</w:t>
      </w:r>
    </w:p>
    <w:p w14:paraId="074803A2" w14:textId="481F0822" w:rsidR="006F216D" w:rsidRDefault="006F216D">
      <w:pPr>
        <w:rPr>
          <w:rFonts w:ascii="Times New Roman" w:hAnsi="Times New Roman" w:cs="Times New Roman"/>
        </w:rPr>
      </w:pPr>
      <w:r w:rsidRPr="00E271E5">
        <w:rPr>
          <w:rFonts w:ascii="Times New Roman" w:hAnsi="Times New Roman" w:cs="Times New Roman"/>
        </w:rPr>
        <w:t>Deci &amp; Ryan (2000)</w:t>
      </w:r>
      <w:r w:rsidR="00EB7EE2">
        <w:rPr>
          <w:rFonts w:ascii="Times New Roman" w:hAnsi="Times New Roman" w:cs="Times New Roman"/>
        </w:rPr>
        <w:t xml:space="preserve"> </w:t>
      </w:r>
      <w:r>
        <w:rPr>
          <w:rFonts w:ascii="Times New Roman" w:hAnsi="Times New Roman" w:cs="Times New Roman"/>
        </w:rPr>
        <w:t xml:space="preserve">state that intrinsic motivation can positively influence concentration and performance across various domains, including high-stress environments, and vice versa. The core hypothesis of this self-experiment is that lower motivation </w:t>
      </w:r>
      <w:r w:rsidR="00291542">
        <w:rPr>
          <w:rFonts w:ascii="Times New Roman" w:hAnsi="Times New Roman" w:cs="Times New Roman"/>
        </w:rPr>
        <w:t xml:space="preserve">positively </w:t>
      </w:r>
      <w:r>
        <w:rPr>
          <w:rFonts w:ascii="Times New Roman" w:hAnsi="Times New Roman" w:cs="Times New Roman"/>
        </w:rPr>
        <w:t xml:space="preserve">correlates with lower levels of concentration, but only </w:t>
      </w:r>
      <w:r>
        <w:rPr>
          <w:rFonts w:ascii="Times New Roman" w:hAnsi="Times New Roman" w:cs="Times New Roman"/>
          <w:i/>
          <w:iCs/>
        </w:rPr>
        <w:t>after</w:t>
      </w:r>
      <w:r>
        <w:rPr>
          <w:rFonts w:ascii="Times New Roman" w:hAnsi="Times New Roman" w:cs="Times New Roman"/>
        </w:rPr>
        <w:t xml:space="preserve"> the player has found an optimal strategy to “min-max” the game’s final score in the least amount of time possible. By examining the relationship between motivation and concentration, augmented by the qualitative experience of gameplay optimization, this study seeks to contribute to our understanding of how these factors influence task engagement and performance in simulated scenarios — with lessons learned on how game designers can implement more robust guardrails to prevent players from skirting the original intention of the game. </w:t>
      </w:r>
    </w:p>
    <w:p w14:paraId="2EDF7980" w14:textId="06C1A1B0" w:rsidR="006F216D" w:rsidRDefault="006F216D" w:rsidP="00E271E5">
      <w:pPr>
        <w:jc w:val="center"/>
        <w:rPr>
          <w:rFonts w:ascii="Times New Roman" w:hAnsi="Times New Roman" w:cs="Times New Roman"/>
          <w:b/>
          <w:bCs/>
        </w:rPr>
      </w:pPr>
      <w:r w:rsidRPr="006F216D">
        <w:rPr>
          <w:rFonts w:ascii="Times New Roman" w:hAnsi="Times New Roman" w:cs="Times New Roman"/>
          <w:b/>
          <w:bCs/>
        </w:rPr>
        <w:t>Methods</w:t>
      </w:r>
    </w:p>
    <w:p w14:paraId="703E16AE" w14:textId="4C6E8D8D" w:rsidR="006F216D" w:rsidRDefault="006F216D" w:rsidP="006F216D">
      <w:pPr>
        <w:rPr>
          <w:rFonts w:ascii="Times New Roman" w:hAnsi="Times New Roman" w:cs="Times New Roman"/>
        </w:rPr>
      </w:pPr>
      <w:r w:rsidRPr="009A1DA8">
        <w:rPr>
          <w:rFonts w:ascii="Times New Roman" w:hAnsi="Times New Roman" w:cs="Times New Roman"/>
        </w:rPr>
        <w:t xml:space="preserve">This study utilizes data from a controlled simulation environment: the </w:t>
      </w:r>
      <w:r w:rsidRPr="009A1DA8">
        <w:rPr>
          <w:rFonts w:ascii="Times New Roman" w:hAnsi="Times New Roman" w:cs="Times New Roman"/>
          <w:i/>
          <w:iCs/>
        </w:rPr>
        <w:t>Stop Disasters</w:t>
      </w:r>
      <w:r w:rsidRPr="009A1DA8">
        <w:rPr>
          <w:rFonts w:ascii="Times New Roman" w:hAnsi="Times New Roman" w:cs="Times New Roman"/>
        </w:rPr>
        <w:t xml:space="preserve"> game, developed by Playerthree© for the United Nations International Strategy for Disaster Reduction (UN/ISDR). This game simulates a range of natural disasters, challenging players to develop resilient communities in various high-risk areas around the world. For this study, the wildfire scenario was selected, wherein players build and protect a town in Australia while meeting specific development and preparedness objectives. </w:t>
      </w:r>
      <w:r w:rsidR="0078645E">
        <w:rPr>
          <w:rFonts w:ascii="Times New Roman" w:hAnsi="Times New Roman" w:cs="Times New Roman"/>
        </w:rPr>
        <w:t>The wildfire map utilizes a grid of interact</w:t>
      </w:r>
      <w:r w:rsidR="00126F18">
        <w:rPr>
          <w:rFonts w:ascii="Times New Roman" w:hAnsi="Times New Roman" w:cs="Times New Roman"/>
        </w:rPr>
        <w:t>ive</w:t>
      </w:r>
      <w:r w:rsidR="0078645E">
        <w:rPr>
          <w:rFonts w:ascii="Times New Roman" w:hAnsi="Times New Roman" w:cs="Times New Roman"/>
        </w:rPr>
        <w:t xml:space="preserve"> tiles that represents objects, people, and buildings. Players can select the tiles to clear flammable brush and trees, construct buildings, and “strengthen” a tile against fire by planting lush </w:t>
      </w:r>
      <w:r w:rsidR="00126F18">
        <w:rPr>
          <w:rFonts w:ascii="Times New Roman" w:hAnsi="Times New Roman" w:cs="Times New Roman"/>
        </w:rPr>
        <w:t>foliage</w:t>
      </w:r>
      <w:r w:rsidR="0078645E">
        <w:rPr>
          <w:rFonts w:ascii="Times New Roman" w:hAnsi="Times New Roman" w:cs="Times New Roman"/>
        </w:rPr>
        <w:t xml:space="preserve"> or a swimming pool.</w:t>
      </w:r>
    </w:p>
    <w:p w14:paraId="13FCE5AF" w14:textId="77777777" w:rsidR="0078645E" w:rsidRDefault="006F216D" w:rsidP="006F216D">
      <w:pPr>
        <w:rPr>
          <w:rFonts w:ascii="Times New Roman" w:hAnsi="Times New Roman" w:cs="Times New Roman"/>
          <w:i/>
          <w:iCs/>
        </w:rPr>
      </w:pPr>
      <w:r w:rsidRPr="009A1DA8">
        <w:rPr>
          <w:rFonts w:ascii="Times New Roman" w:hAnsi="Times New Roman" w:cs="Times New Roman"/>
        </w:rPr>
        <w:t xml:space="preserve">The game’s design </w:t>
      </w:r>
      <w:r>
        <w:rPr>
          <w:rFonts w:ascii="Times New Roman" w:hAnsi="Times New Roman" w:cs="Times New Roman"/>
        </w:rPr>
        <w:t xml:space="preserve">intention is to force players to make strategic choices </w:t>
      </w:r>
      <w:r w:rsidR="0078645E">
        <w:rPr>
          <w:rFonts w:ascii="Times New Roman" w:hAnsi="Times New Roman" w:cs="Times New Roman"/>
        </w:rPr>
        <w:t xml:space="preserve">to minimize deaths and injuries, prevent property damage (measured in USD), while simultaneously building new homes, hospitals, and schools for the simulated populace. Players face a restrictive budget and a time limit of twenty minutes before the wildfire infiltrates the map. The player cannot start the wildfire earlier than the countdown timer, </w:t>
      </w:r>
      <w:r w:rsidR="0078645E">
        <w:rPr>
          <w:rFonts w:ascii="Times New Roman" w:hAnsi="Times New Roman" w:cs="Times New Roman"/>
          <w:i/>
          <w:iCs/>
        </w:rPr>
        <w:t xml:space="preserve">except when the player achieves all listed </w:t>
      </w:r>
      <w:r w:rsidR="0078645E" w:rsidRPr="0078645E">
        <w:rPr>
          <w:rFonts w:ascii="Times New Roman" w:hAnsi="Times New Roman" w:cs="Times New Roman"/>
          <w:i/>
          <w:iCs/>
        </w:rPr>
        <w:t>objective</w:t>
      </w:r>
      <w:r w:rsidR="0078645E">
        <w:rPr>
          <w:rFonts w:ascii="Times New Roman" w:hAnsi="Times New Roman" w:cs="Times New Roman"/>
          <w:i/>
          <w:iCs/>
        </w:rPr>
        <w:t>s:</w:t>
      </w:r>
    </w:p>
    <w:p w14:paraId="7E612A57" w14:textId="628C040C" w:rsidR="0078645E" w:rsidRDefault="0078645E" w:rsidP="0078645E">
      <w:pPr>
        <w:pStyle w:val="ListParagraph"/>
        <w:numPr>
          <w:ilvl w:val="0"/>
          <w:numId w:val="1"/>
        </w:numPr>
        <w:rPr>
          <w:rFonts w:ascii="Times New Roman" w:hAnsi="Times New Roman" w:cs="Times New Roman"/>
        </w:rPr>
      </w:pPr>
      <w:r w:rsidRPr="0078645E">
        <w:rPr>
          <w:rFonts w:ascii="Times New Roman" w:hAnsi="Times New Roman" w:cs="Times New Roman"/>
        </w:rPr>
        <w:t>Build shelters</w:t>
      </w:r>
      <w:r>
        <w:rPr>
          <w:rFonts w:ascii="Times New Roman" w:hAnsi="Times New Roman" w:cs="Times New Roman"/>
        </w:rPr>
        <w:t xml:space="preserve"> for 650 people</w:t>
      </w:r>
    </w:p>
    <w:p w14:paraId="59DC2672" w14:textId="48033526" w:rsidR="0078645E" w:rsidRDefault="0078645E" w:rsidP="0078645E">
      <w:pPr>
        <w:pStyle w:val="ListParagraph"/>
        <w:numPr>
          <w:ilvl w:val="0"/>
          <w:numId w:val="1"/>
        </w:numPr>
        <w:rPr>
          <w:rFonts w:ascii="Times New Roman" w:hAnsi="Times New Roman" w:cs="Times New Roman"/>
        </w:rPr>
      </w:pPr>
      <w:r>
        <w:rPr>
          <w:rFonts w:ascii="Times New Roman" w:hAnsi="Times New Roman" w:cs="Times New Roman"/>
        </w:rPr>
        <w:t>Build one hospital</w:t>
      </w:r>
    </w:p>
    <w:p w14:paraId="2501696D" w14:textId="3D655CF9" w:rsidR="0078645E" w:rsidRDefault="0078645E" w:rsidP="0078645E">
      <w:pPr>
        <w:pStyle w:val="ListParagraph"/>
        <w:numPr>
          <w:ilvl w:val="0"/>
          <w:numId w:val="1"/>
        </w:numPr>
        <w:rPr>
          <w:rFonts w:ascii="Times New Roman" w:hAnsi="Times New Roman" w:cs="Times New Roman"/>
        </w:rPr>
      </w:pPr>
      <w:r>
        <w:rPr>
          <w:rFonts w:ascii="Times New Roman" w:hAnsi="Times New Roman" w:cs="Times New Roman"/>
        </w:rPr>
        <w:lastRenderedPageBreak/>
        <w:t>Build two schools</w:t>
      </w:r>
    </w:p>
    <w:p w14:paraId="1C4550D4" w14:textId="1DE8E19E" w:rsidR="0078645E" w:rsidRPr="0078645E" w:rsidRDefault="0078645E" w:rsidP="0078645E">
      <w:pPr>
        <w:pStyle w:val="ListParagraph"/>
        <w:numPr>
          <w:ilvl w:val="0"/>
          <w:numId w:val="1"/>
        </w:numPr>
        <w:rPr>
          <w:rFonts w:ascii="Times New Roman" w:hAnsi="Times New Roman" w:cs="Times New Roman"/>
        </w:rPr>
      </w:pPr>
      <w:r>
        <w:rPr>
          <w:rFonts w:ascii="Times New Roman" w:hAnsi="Times New Roman" w:cs="Times New Roman"/>
        </w:rPr>
        <w:t>Protect the water towers (optional)</w:t>
      </w:r>
    </w:p>
    <w:p w14:paraId="50C42B7E" w14:textId="10C55CCA" w:rsidR="00E271E5" w:rsidRDefault="0078645E" w:rsidP="006F216D">
      <w:pPr>
        <w:rPr>
          <w:rFonts w:ascii="Times New Roman" w:hAnsi="Times New Roman" w:cs="Times New Roman"/>
        </w:rPr>
      </w:pPr>
      <w:r w:rsidRPr="0078645E">
        <w:rPr>
          <w:rFonts w:ascii="Times New Roman" w:hAnsi="Times New Roman" w:cs="Times New Roman"/>
        </w:rPr>
        <w:t>Th</w:t>
      </w:r>
      <w:r>
        <w:rPr>
          <w:rFonts w:ascii="Times New Roman" w:hAnsi="Times New Roman" w:cs="Times New Roman"/>
        </w:rPr>
        <w:t xml:space="preserve">e timer and completed objective restrictions can be exploited with an “optimal strategy”— if the player uses the feature to clear brush and trees from tiles near the existing population centers, players can stack all required buildings and create a firewall around the population center. After those objectives are met, players can choose to protect the water towers and clear brush around the tiles host to simulated civilians to minimize casualties. Players can then start the disaster on their own by clicking the timer. All of this, after studying the optimal strategy, can be achieved in less than five minutes, a full fifteen minutes ahead of the previously restricted timer. Casualties and property destruction scores </w:t>
      </w:r>
      <w:r w:rsidR="0018723B">
        <w:rPr>
          <w:rFonts w:ascii="Times New Roman" w:hAnsi="Times New Roman" w:cs="Times New Roman"/>
        </w:rPr>
        <w:t>are proportional</w:t>
      </w:r>
      <w:r>
        <w:rPr>
          <w:rFonts w:ascii="Times New Roman" w:hAnsi="Times New Roman" w:cs="Times New Roman"/>
        </w:rPr>
        <w:t xml:space="preserve"> </w:t>
      </w:r>
      <w:r w:rsidR="0018723B">
        <w:rPr>
          <w:rFonts w:ascii="Times New Roman" w:hAnsi="Times New Roman" w:cs="Times New Roman"/>
        </w:rPr>
        <w:t>to</w:t>
      </w:r>
      <w:r>
        <w:rPr>
          <w:rFonts w:ascii="Times New Roman" w:hAnsi="Times New Roman" w:cs="Times New Roman"/>
        </w:rPr>
        <w:t xml:space="preserve"> the effort put into the optimal strategy.</w:t>
      </w:r>
    </w:p>
    <w:p w14:paraId="29F20368" w14:textId="77777777" w:rsidR="0078645E" w:rsidRPr="009A1DA8" w:rsidRDefault="0078645E" w:rsidP="00E271E5">
      <w:pPr>
        <w:jc w:val="center"/>
        <w:rPr>
          <w:rFonts w:ascii="Times New Roman" w:hAnsi="Times New Roman" w:cs="Times New Roman"/>
          <w:b/>
          <w:bCs/>
        </w:rPr>
      </w:pPr>
      <w:r w:rsidRPr="009A1DA8">
        <w:rPr>
          <w:rFonts w:ascii="Times New Roman" w:hAnsi="Times New Roman" w:cs="Times New Roman"/>
          <w:b/>
          <w:bCs/>
        </w:rPr>
        <w:t>Procedure</w:t>
      </w:r>
    </w:p>
    <w:p w14:paraId="4479673A" w14:textId="151B8200" w:rsidR="0078645E" w:rsidRPr="009A1DA8" w:rsidRDefault="0078645E" w:rsidP="0078645E">
      <w:pPr>
        <w:rPr>
          <w:rFonts w:ascii="Times New Roman" w:hAnsi="Times New Roman" w:cs="Times New Roman"/>
        </w:rPr>
      </w:pPr>
      <w:r w:rsidRPr="009A1DA8">
        <w:rPr>
          <w:rFonts w:ascii="Times New Roman" w:hAnsi="Times New Roman" w:cs="Times New Roman"/>
        </w:rPr>
        <w:t>Each session represented a single gameplay instance, after which the participant completed a subjective questionnaire consisting of 17 items, each measured on a scale from 0 to 100.</w:t>
      </w:r>
      <w:r>
        <w:rPr>
          <w:rFonts w:ascii="Times New Roman" w:hAnsi="Times New Roman" w:cs="Times New Roman"/>
        </w:rPr>
        <w:t xml:space="preserve"> There were twenty sessions in total, with the first ten completed in one sitting, and the remaining ten in another sitting, approximately two weeks apart.</w:t>
      </w:r>
      <w:r w:rsidRPr="009A1DA8">
        <w:rPr>
          <w:rFonts w:ascii="Times New Roman" w:hAnsi="Times New Roman" w:cs="Times New Roman"/>
        </w:rPr>
        <w:t xml:space="preserve"> Among these items, </w:t>
      </w:r>
      <w:r w:rsidRPr="009A1DA8">
        <w:rPr>
          <w:rFonts w:ascii="Times New Roman" w:hAnsi="Times New Roman" w:cs="Times New Roman"/>
          <w:b/>
          <w:bCs/>
        </w:rPr>
        <w:t>q11_mot</w:t>
      </w:r>
      <w:r w:rsidRPr="009A1DA8">
        <w:rPr>
          <w:rFonts w:ascii="Times New Roman" w:hAnsi="Times New Roman" w:cs="Times New Roman"/>
        </w:rPr>
        <w:t xml:space="preserve"> captured the participant’s motivation level, while </w:t>
      </w:r>
      <w:r w:rsidRPr="009A1DA8">
        <w:rPr>
          <w:rFonts w:ascii="Times New Roman" w:hAnsi="Times New Roman" w:cs="Times New Roman"/>
          <w:b/>
          <w:bCs/>
        </w:rPr>
        <w:t>q14_concen</w:t>
      </w:r>
      <w:r w:rsidRPr="009A1DA8">
        <w:rPr>
          <w:rFonts w:ascii="Times New Roman" w:hAnsi="Times New Roman" w:cs="Times New Roman"/>
        </w:rPr>
        <w:t xml:space="preserve"> measured concentration. Additional variables included mental and physical demand, fatigue, and emotional responses, although these were not directly analyzed in the present study.</w:t>
      </w:r>
    </w:p>
    <w:p w14:paraId="0079E9A0" w14:textId="06E30482" w:rsidR="0078645E" w:rsidRDefault="0078645E" w:rsidP="0078645E">
      <w:pPr>
        <w:rPr>
          <w:rFonts w:ascii="Times New Roman" w:hAnsi="Times New Roman" w:cs="Times New Roman"/>
        </w:rPr>
      </w:pPr>
      <w:r w:rsidRPr="009A1DA8">
        <w:rPr>
          <w:rFonts w:ascii="Times New Roman" w:hAnsi="Times New Roman" w:cs="Times New Roman"/>
        </w:rPr>
        <w:t xml:space="preserve">The primary analysis involved calculating the Pearson correlation coefficient between </w:t>
      </w:r>
      <w:r w:rsidRPr="009A1DA8">
        <w:rPr>
          <w:rFonts w:ascii="Times New Roman" w:hAnsi="Times New Roman" w:cs="Times New Roman"/>
          <w:b/>
          <w:bCs/>
        </w:rPr>
        <w:t>q11_mot</w:t>
      </w:r>
      <w:r w:rsidRPr="009A1DA8">
        <w:rPr>
          <w:rFonts w:ascii="Times New Roman" w:hAnsi="Times New Roman" w:cs="Times New Roman"/>
        </w:rPr>
        <w:t xml:space="preserve"> (motivation) and </w:t>
      </w:r>
      <w:r w:rsidRPr="009A1DA8">
        <w:rPr>
          <w:rFonts w:ascii="Times New Roman" w:hAnsi="Times New Roman" w:cs="Times New Roman"/>
          <w:b/>
          <w:bCs/>
        </w:rPr>
        <w:t>q14_concen</w:t>
      </w:r>
      <w:r w:rsidRPr="009A1DA8">
        <w:rPr>
          <w:rFonts w:ascii="Times New Roman" w:hAnsi="Times New Roman" w:cs="Times New Roman"/>
        </w:rPr>
        <w:t xml:space="preserve"> (concentration) across the twenty sessions. The hypothesis was that these two variables would show a </w:t>
      </w:r>
      <w:r w:rsidR="00EC2CD3">
        <w:rPr>
          <w:rFonts w:ascii="Times New Roman" w:hAnsi="Times New Roman" w:cs="Times New Roman"/>
        </w:rPr>
        <w:t>positive</w:t>
      </w:r>
      <w:r>
        <w:rPr>
          <w:rFonts w:ascii="Times New Roman" w:hAnsi="Times New Roman" w:cs="Times New Roman"/>
        </w:rPr>
        <w:t xml:space="preserve"> </w:t>
      </w:r>
      <w:r w:rsidRPr="009A1DA8">
        <w:rPr>
          <w:rFonts w:ascii="Times New Roman" w:hAnsi="Times New Roman" w:cs="Times New Roman"/>
        </w:rPr>
        <w:t xml:space="preserve">correlation, indicating that </w:t>
      </w:r>
      <w:r>
        <w:rPr>
          <w:rFonts w:ascii="Times New Roman" w:hAnsi="Times New Roman" w:cs="Times New Roman"/>
        </w:rPr>
        <w:t>decreased</w:t>
      </w:r>
      <w:r w:rsidRPr="009A1DA8">
        <w:rPr>
          <w:rFonts w:ascii="Times New Roman" w:hAnsi="Times New Roman" w:cs="Times New Roman"/>
        </w:rPr>
        <w:t xml:space="preserve"> motivation is associated with </w:t>
      </w:r>
      <w:r>
        <w:rPr>
          <w:rFonts w:ascii="Times New Roman" w:hAnsi="Times New Roman" w:cs="Times New Roman"/>
        </w:rPr>
        <w:t>decreased</w:t>
      </w:r>
      <w:r w:rsidRPr="009A1DA8">
        <w:rPr>
          <w:rFonts w:ascii="Times New Roman" w:hAnsi="Times New Roman" w:cs="Times New Roman"/>
        </w:rPr>
        <w:t xml:space="preserve"> concentration during the task</w:t>
      </w:r>
      <w:r w:rsidR="00EC2CD3">
        <w:rPr>
          <w:rFonts w:ascii="Times New Roman" w:hAnsi="Times New Roman" w:cs="Times New Roman"/>
        </w:rPr>
        <w:t xml:space="preserve"> over multiple, successive sessions</w:t>
      </w:r>
      <w:r>
        <w:rPr>
          <w:rFonts w:ascii="Times New Roman" w:hAnsi="Times New Roman" w:cs="Times New Roman"/>
        </w:rPr>
        <w:t xml:space="preserve"> due to implementation of the “optimal strategy” which turned the simulation from an intriguing task to a chore. </w:t>
      </w:r>
    </w:p>
    <w:p w14:paraId="7F53DDE2" w14:textId="77777777" w:rsidR="0078645E" w:rsidRPr="009A1DA8" w:rsidRDefault="0078645E" w:rsidP="00E271E5">
      <w:pPr>
        <w:jc w:val="center"/>
        <w:rPr>
          <w:rFonts w:ascii="Times New Roman" w:hAnsi="Times New Roman" w:cs="Times New Roman"/>
          <w:b/>
          <w:bCs/>
        </w:rPr>
      </w:pPr>
      <w:r w:rsidRPr="009A1DA8">
        <w:rPr>
          <w:rFonts w:ascii="Times New Roman" w:hAnsi="Times New Roman" w:cs="Times New Roman"/>
          <w:b/>
          <w:bCs/>
        </w:rPr>
        <w:t>Results</w:t>
      </w:r>
    </w:p>
    <w:p w14:paraId="4F74267B" w14:textId="00989ADD" w:rsidR="0078645E" w:rsidRPr="009A1DA8" w:rsidRDefault="0078645E" w:rsidP="0078645E">
      <w:pPr>
        <w:rPr>
          <w:rFonts w:ascii="Times New Roman" w:hAnsi="Times New Roman" w:cs="Times New Roman"/>
        </w:rPr>
      </w:pPr>
      <w:r w:rsidRPr="009A1DA8">
        <w:rPr>
          <w:rFonts w:ascii="Times New Roman" w:hAnsi="Times New Roman" w:cs="Times New Roman"/>
        </w:rPr>
        <w:t>The analysis revealed a strong correlation of r</w:t>
      </w:r>
      <w:r w:rsidR="00EC2CD3">
        <w:rPr>
          <w:rFonts w:ascii="Times New Roman" w:hAnsi="Times New Roman" w:cs="Times New Roman"/>
        </w:rPr>
        <w:t xml:space="preserve"> </w:t>
      </w:r>
      <w:r w:rsidRPr="009A1DA8">
        <w:rPr>
          <w:rFonts w:ascii="Times New Roman" w:hAnsi="Times New Roman" w:cs="Times New Roman"/>
        </w:rPr>
        <w:t>=</w:t>
      </w:r>
      <w:r w:rsidR="00EC2CD3">
        <w:rPr>
          <w:rFonts w:ascii="Times New Roman" w:hAnsi="Times New Roman" w:cs="Times New Roman"/>
        </w:rPr>
        <w:t xml:space="preserve"> </w:t>
      </w:r>
      <w:r w:rsidRPr="009A1DA8">
        <w:rPr>
          <w:rFonts w:ascii="Times New Roman" w:hAnsi="Times New Roman" w:cs="Times New Roman"/>
        </w:rPr>
        <w:t>0.</w:t>
      </w:r>
      <w:r w:rsidR="00291542">
        <w:rPr>
          <w:rFonts w:ascii="Times New Roman" w:hAnsi="Times New Roman" w:cs="Times New Roman"/>
        </w:rPr>
        <w:t>88</w:t>
      </w:r>
      <w:r w:rsidRPr="009A1DA8">
        <w:rPr>
          <w:rFonts w:ascii="Times New Roman" w:hAnsi="Times New Roman" w:cs="Times New Roman"/>
        </w:rPr>
        <w:t xml:space="preserve"> between motivation (q11_mot) and concentration (q14_concen). Figure 1 illustrates this relationship through a scatter plot, where data points cluster along a linear trend, indicating that </w:t>
      </w:r>
      <w:r w:rsidR="00EC2CD3">
        <w:rPr>
          <w:rFonts w:ascii="Times New Roman" w:hAnsi="Times New Roman" w:cs="Times New Roman"/>
        </w:rPr>
        <w:t>lower</w:t>
      </w:r>
      <w:r w:rsidRPr="009A1DA8">
        <w:rPr>
          <w:rFonts w:ascii="Times New Roman" w:hAnsi="Times New Roman" w:cs="Times New Roman"/>
        </w:rPr>
        <w:t xml:space="preserve"> motivation levels tend to align with </w:t>
      </w:r>
      <w:r w:rsidR="00EC2CD3">
        <w:rPr>
          <w:rFonts w:ascii="Times New Roman" w:hAnsi="Times New Roman" w:cs="Times New Roman"/>
        </w:rPr>
        <w:t>lower</w:t>
      </w:r>
      <w:r w:rsidRPr="009A1DA8">
        <w:rPr>
          <w:rFonts w:ascii="Times New Roman" w:hAnsi="Times New Roman" w:cs="Times New Roman"/>
        </w:rPr>
        <w:t xml:space="preserve"> concentration scores.</w:t>
      </w:r>
    </w:p>
    <w:p w14:paraId="35F50E6E" w14:textId="6DAC93BD" w:rsidR="0078645E" w:rsidRDefault="0078645E" w:rsidP="0078645E">
      <w:pPr>
        <w:rPr>
          <w:rFonts w:ascii="Times New Roman" w:hAnsi="Times New Roman" w:cs="Times New Roman"/>
        </w:rPr>
      </w:pPr>
      <w:r w:rsidRPr="009A1DA8">
        <w:rPr>
          <w:rFonts w:ascii="Times New Roman" w:hAnsi="Times New Roman" w:cs="Times New Roman"/>
        </w:rPr>
        <w:t>This correlation suggests that the participant’s self-reported motivation was consistently aligned with their concentration level during each gameplay session. The strength of this relationship (near 1.0) implies that intrinsic motivation could be a significant predictor of concentration, at least within the context of this simulation.</w:t>
      </w:r>
      <w:r w:rsidR="00EC2CD3">
        <w:rPr>
          <w:rFonts w:ascii="Times New Roman" w:hAnsi="Times New Roman" w:cs="Times New Roman"/>
        </w:rPr>
        <w:t xml:space="preserve"> </w:t>
      </w:r>
    </w:p>
    <w:p w14:paraId="4944346B" w14:textId="4DF54206" w:rsidR="00EC2CD3" w:rsidRDefault="00EC2CD3" w:rsidP="0078645E">
      <w:pPr>
        <w:rPr>
          <w:rFonts w:ascii="Times New Roman" w:hAnsi="Times New Roman" w:cs="Times New Roman"/>
        </w:rPr>
      </w:pPr>
      <w:r>
        <w:rPr>
          <w:rFonts w:ascii="Times New Roman" w:hAnsi="Times New Roman" w:cs="Times New Roman"/>
        </w:rPr>
        <w:t>In Figure 2, the scores of motivation and concentration are displayed continuously over the twenty sessions, showing the participant in the first session learning the game and optimal strategy the first time through, which resulted in</w:t>
      </w:r>
      <w:r w:rsidR="007E3750">
        <w:rPr>
          <w:rFonts w:ascii="Times New Roman" w:hAnsi="Times New Roman" w:cs="Times New Roman"/>
        </w:rPr>
        <w:t xml:space="preserve"> initially</w:t>
      </w:r>
      <w:r>
        <w:rPr>
          <w:rFonts w:ascii="Times New Roman" w:hAnsi="Times New Roman" w:cs="Times New Roman"/>
        </w:rPr>
        <w:t xml:space="preserve"> higher motivation and concentration </w:t>
      </w:r>
      <w:r>
        <w:rPr>
          <w:rFonts w:ascii="Times New Roman" w:hAnsi="Times New Roman" w:cs="Times New Roman"/>
        </w:rPr>
        <w:lastRenderedPageBreak/>
        <w:t>scores. As the sessions continued, motivation and concentration decreased, especially in the second “sitting” of the participant after Session 10</w:t>
      </w:r>
      <w:r w:rsidR="007E3750">
        <w:rPr>
          <w:rFonts w:ascii="Times New Roman" w:hAnsi="Times New Roman" w:cs="Times New Roman"/>
        </w:rPr>
        <w:t xml:space="preserve">. This may show that by adopting gameplay breaking behavior, participant motivation </w:t>
      </w:r>
      <w:r w:rsidR="009B7B8A">
        <w:rPr>
          <w:rFonts w:ascii="Times New Roman" w:hAnsi="Times New Roman" w:cs="Times New Roman"/>
        </w:rPr>
        <w:t xml:space="preserve">and concentration decreases </w:t>
      </w:r>
      <w:r w:rsidR="0018723B">
        <w:rPr>
          <w:rFonts w:ascii="Times New Roman" w:hAnsi="Times New Roman" w:cs="Times New Roman"/>
        </w:rPr>
        <w:t>because of</w:t>
      </w:r>
      <w:r w:rsidR="009B7B8A">
        <w:rPr>
          <w:rFonts w:ascii="Times New Roman" w:hAnsi="Times New Roman" w:cs="Times New Roman"/>
        </w:rPr>
        <w:t xml:space="preserve"> the repetitive, under stimulating simulation environment.</w:t>
      </w:r>
    </w:p>
    <w:p w14:paraId="46728CCE" w14:textId="77777777" w:rsidR="007E3750" w:rsidRDefault="007E3750" w:rsidP="0078645E">
      <w:pPr>
        <w:rPr>
          <w:rFonts w:ascii="Times New Roman" w:hAnsi="Times New Roman" w:cs="Times New Roman"/>
        </w:rPr>
      </w:pPr>
    </w:p>
    <w:p w14:paraId="4C8D838E" w14:textId="6D978B1B" w:rsidR="007E3750" w:rsidRPr="009A1DA8" w:rsidRDefault="007E3750" w:rsidP="0078645E">
      <w:pPr>
        <w:rPr>
          <w:rFonts w:ascii="Times New Roman" w:hAnsi="Times New Roman" w:cs="Times New Roman"/>
          <w:b/>
          <w:bCs/>
        </w:rPr>
      </w:pPr>
      <w:r w:rsidRPr="007E3750">
        <w:rPr>
          <w:rFonts w:ascii="Times New Roman" w:hAnsi="Times New Roman" w:cs="Times New Roman"/>
          <w:b/>
          <w:bCs/>
        </w:rPr>
        <w:t>FIGURE 1</w:t>
      </w:r>
    </w:p>
    <w:p w14:paraId="2820B8C8" w14:textId="266D2451" w:rsidR="0078645E" w:rsidRPr="009A1DA8" w:rsidRDefault="007E3750" w:rsidP="0078645E">
      <w:pPr>
        <w:rPr>
          <w:rFonts w:ascii="Times New Roman" w:hAnsi="Times New Roman" w:cs="Times New Roman"/>
        </w:rPr>
      </w:pPr>
      <w:r w:rsidRPr="007E3750">
        <w:rPr>
          <w:rFonts w:ascii="Times New Roman" w:hAnsi="Times New Roman" w:cs="Times New Roman"/>
        </w:rPr>
        <w:drawing>
          <wp:inline distT="0" distB="0" distL="0" distR="0" wp14:anchorId="441702F4" wp14:editId="63F39A62">
            <wp:extent cx="5943600" cy="6465570"/>
            <wp:effectExtent l="0" t="0" r="0" b="0"/>
            <wp:docPr id="2079022066" name="Picture 1" descr="A graph with a red line and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9022066" name="Picture 1" descr="A graph with a red line and blue dots&#10;&#10;Description automatically generated"/>
                    <pic:cNvPicPr/>
                  </pic:nvPicPr>
                  <pic:blipFill>
                    <a:blip r:embed="rId7"/>
                    <a:stretch>
                      <a:fillRect/>
                    </a:stretch>
                  </pic:blipFill>
                  <pic:spPr>
                    <a:xfrm>
                      <a:off x="0" y="0"/>
                      <a:ext cx="5943600" cy="6465570"/>
                    </a:xfrm>
                    <a:prstGeom prst="rect">
                      <a:avLst/>
                    </a:prstGeom>
                  </pic:spPr>
                </pic:pic>
              </a:graphicData>
            </a:graphic>
          </wp:inline>
        </w:drawing>
      </w:r>
    </w:p>
    <w:p w14:paraId="63055789" w14:textId="2E66FC55" w:rsidR="0078645E" w:rsidRPr="009A1DA8" w:rsidRDefault="007E3750" w:rsidP="006F216D">
      <w:pPr>
        <w:rPr>
          <w:rFonts w:ascii="Times New Roman" w:hAnsi="Times New Roman" w:cs="Times New Roman"/>
          <w:b/>
          <w:bCs/>
        </w:rPr>
      </w:pPr>
      <w:r w:rsidRPr="007E3750">
        <w:rPr>
          <w:rFonts w:ascii="Times New Roman" w:hAnsi="Times New Roman" w:cs="Times New Roman"/>
          <w:b/>
          <w:bCs/>
        </w:rPr>
        <w:lastRenderedPageBreak/>
        <w:t>FIGURE 2</w:t>
      </w:r>
    </w:p>
    <w:p w14:paraId="7BCDE2EB" w14:textId="2A3046B9" w:rsidR="006F216D" w:rsidRDefault="007E3750">
      <w:pPr>
        <w:rPr>
          <w:rFonts w:ascii="Times New Roman" w:hAnsi="Times New Roman" w:cs="Times New Roman"/>
          <w:b/>
          <w:bCs/>
        </w:rPr>
      </w:pPr>
      <w:r w:rsidRPr="007E3750">
        <w:rPr>
          <w:rFonts w:ascii="Times New Roman" w:hAnsi="Times New Roman" w:cs="Times New Roman"/>
          <w:b/>
          <w:bCs/>
        </w:rPr>
        <w:drawing>
          <wp:inline distT="0" distB="0" distL="0" distR="0" wp14:anchorId="1915E241" wp14:editId="00BE62F1">
            <wp:extent cx="5943600" cy="6465570"/>
            <wp:effectExtent l="0" t="0" r="0" b="0"/>
            <wp:docPr id="1294540166" name="Picture 1" descr="A graph with red and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4540166" name="Picture 1" descr="A graph with red and blue lines&#10;&#10;Description automatically generated"/>
                    <pic:cNvPicPr/>
                  </pic:nvPicPr>
                  <pic:blipFill>
                    <a:blip r:embed="rId8"/>
                    <a:stretch>
                      <a:fillRect/>
                    </a:stretch>
                  </pic:blipFill>
                  <pic:spPr>
                    <a:xfrm>
                      <a:off x="0" y="0"/>
                      <a:ext cx="5943600" cy="6465570"/>
                    </a:xfrm>
                    <a:prstGeom prst="rect">
                      <a:avLst/>
                    </a:prstGeom>
                  </pic:spPr>
                </pic:pic>
              </a:graphicData>
            </a:graphic>
          </wp:inline>
        </w:drawing>
      </w:r>
    </w:p>
    <w:p w14:paraId="3034D430" w14:textId="77777777" w:rsidR="00EB7EE2" w:rsidRPr="009A1DA8" w:rsidRDefault="00EB7EE2" w:rsidP="00E271E5">
      <w:pPr>
        <w:jc w:val="center"/>
        <w:rPr>
          <w:rFonts w:ascii="Times New Roman" w:hAnsi="Times New Roman" w:cs="Times New Roman"/>
          <w:b/>
          <w:bCs/>
        </w:rPr>
      </w:pPr>
      <w:r w:rsidRPr="009A1DA8">
        <w:rPr>
          <w:rFonts w:ascii="Times New Roman" w:hAnsi="Times New Roman" w:cs="Times New Roman"/>
          <w:b/>
          <w:bCs/>
        </w:rPr>
        <w:t>Discussion</w:t>
      </w:r>
    </w:p>
    <w:p w14:paraId="75BCFDF7" w14:textId="676787B1" w:rsidR="00EB7EE2" w:rsidRPr="009A1DA8" w:rsidRDefault="00EB7EE2" w:rsidP="00EB7EE2">
      <w:pPr>
        <w:rPr>
          <w:rFonts w:ascii="Times New Roman" w:hAnsi="Times New Roman" w:cs="Times New Roman"/>
        </w:rPr>
      </w:pPr>
      <w:r w:rsidRPr="009A1DA8">
        <w:rPr>
          <w:rFonts w:ascii="Times New Roman" w:hAnsi="Times New Roman" w:cs="Times New Roman"/>
        </w:rPr>
        <w:t>The</w:t>
      </w:r>
      <w:r>
        <w:rPr>
          <w:rFonts w:ascii="Times New Roman" w:hAnsi="Times New Roman" w:cs="Times New Roman"/>
        </w:rPr>
        <w:t xml:space="preserve"> session data</w:t>
      </w:r>
      <w:r w:rsidRPr="009A1DA8">
        <w:rPr>
          <w:rFonts w:ascii="Times New Roman" w:hAnsi="Times New Roman" w:cs="Times New Roman"/>
        </w:rPr>
        <w:t xml:space="preserve"> provide</w:t>
      </w:r>
      <w:r>
        <w:rPr>
          <w:rFonts w:ascii="Times New Roman" w:hAnsi="Times New Roman" w:cs="Times New Roman"/>
        </w:rPr>
        <w:t xml:space="preserve"> </w:t>
      </w:r>
      <w:r w:rsidRPr="009A1DA8">
        <w:rPr>
          <w:rFonts w:ascii="Times New Roman" w:hAnsi="Times New Roman" w:cs="Times New Roman"/>
        </w:rPr>
        <w:t xml:space="preserve">support for the hypothesis that motivation correlates positively with concentration in a simulated </w:t>
      </w:r>
      <w:r w:rsidRPr="009A1DA8">
        <w:rPr>
          <w:rFonts w:ascii="Times New Roman" w:hAnsi="Times New Roman" w:cs="Times New Roman"/>
        </w:rPr>
        <w:t>environment</w:t>
      </w:r>
      <w:r>
        <w:rPr>
          <w:rFonts w:ascii="Times New Roman" w:hAnsi="Times New Roman" w:cs="Times New Roman"/>
        </w:rPr>
        <w:t>.</w:t>
      </w:r>
      <w:r w:rsidRPr="009A1DA8">
        <w:rPr>
          <w:rFonts w:ascii="Times New Roman" w:hAnsi="Times New Roman" w:cs="Times New Roman"/>
        </w:rPr>
        <w:t xml:space="preserve"> This</w:t>
      </w:r>
      <w:r w:rsidRPr="009A1DA8">
        <w:rPr>
          <w:rFonts w:ascii="Times New Roman" w:hAnsi="Times New Roman" w:cs="Times New Roman"/>
        </w:rPr>
        <w:t xml:space="preserve"> result aligns with established theories in human factors</w:t>
      </w:r>
      <w:r>
        <w:rPr>
          <w:rFonts w:ascii="Times New Roman" w:hAnsi="Times New Roman" w:cs="Times New Roman"/>
        </w:rPr>
        <w:t xml:space="preserve"> and basic psychology </w:t>
      </w:r>
      <w:r w:rsidRPr="009A1DA8">
        <w:rPr>
          <w:rFonts w:ascii="Times New Roman" w:hAnsi="Times New Roman" w:cs="Times New Roman"/>
        </w:rPr>
        <w:t>which suggest that motivation enhances task engagement and focus (Deci &amp; Ryan, 1985</w:t>
      </w:r>
      <w:r>
        <w:rPr>
          <w:rFonts w:ascii="Times New Roman" w:hAnsi="Times New Roman" w:cs="Times New Roman"/>
        </w:rPr>
        <w:t xml:space="preserve">). The findings also indicate that the reverse is potentially true when a game’s design allows for it — if players can exploit an optimal strategy to quickly and efficiently </w:t>
      </w:r>
      <w:r>
        <w:rPr>
          <w:rFonts w:ascii="Times New Roman" w:hAnsi="Times New Roman" w:cs="Times New Roman"/>
        </w:rPr>
        <w:lastRenderedPageBreak/>
        <w:t xml:space="preserve">complete the simulation, then the need for increased cognitive load </w:t>
      </w:r>
      <w:r w:rsidR="0018723B">
        <w:rPr>
          <w:rFonts w:ascii="Times New Roman" w:hAnsi="Times New Roman" w:cs="Times New Roman"/>
        </w:rPr>
        <w:t>is minimized</w:t>
      </w:r>
      <w:r>
        <w:rPr>
          <w:rFonts w:ascii="Times New Roman" w:hAnsi="Times New Roman" w:cs="Times New Roman"/>
        </w:rPr>
        <w:t xml:space="preserve">, and thus resolves to lower levels of task motivation and concentration. More simply, the simulation runs the risk of becoming boring, and participants lose interest in completing the tasks earnestly. </w:t>
      </w:r>
    </w:p>
    <w:p w14:paraId="3B32AFFA" w14:textId="2777188B" w:rsidR="00E271E5" w:rsidRDefault="00EB7EE2" w:rsidP="00E271E5">
      <w:pPr>
        <w:rPr>
          <w:rFonts w:ascii="Times New Roman" w:hAnsi="Times New Roman" w:cs="Times New Roman"/>
        </w:rPr>
      </w:pPr>
      <w:r>
        <w:rPr>
          <w:rFonts w:ascii="Times New Roman" w:hAnsi="Times New Roman" w:cs="Times New Roman"/>
        </w:rPr>
        <w:t>Designers of today’s AAA video and tabletop games perform rigorous playtesting to attenuate for boredom and decreased engagement. Wargaming and “serious simulation” designers should take note of these entertainment industry practices, because the failure to encode the intended learning o</w:t>
      </w:r>
      <w:r w:rsidR="00E271E5">
        <w:rPr>
          <w:rFonts w:ascii="Times New Roman" w:hAnsi="Times New Roman" w:cs="Times New Roman"/>
        </w:rPr>
        <w:t>utcomes</w:t>
      </w:r>
      <w:r>
        <w:rPr>
          <w:rFonts w:ascii="Times New Roman" w:hAnsi="Times New Roman" w:cs="Times New Roman"/>
        </w:rPr>
        <w:t xml:space="preserve"> on players, such as in the case with the </w:t>
      </w:r>
      <w:r>
        <w:rPr>
          <w:rFonts w:ascii="Times New Roman" w:hAnsi="Times New Roman" w:cs="Times New Roman"/>
          <w:i/>
          <w:iCs/>
        </w:rPr>
        <w:t>Stop Disasters</w:t>
      </w:r>
      <w:r>
        <w:rPr>
          <w:rFonts w:ascii="Times New Roman" w:hAnsi="Times New Roman" w:cs="Times New Roman"/>
        </w:rPr>
        <w:t xml:space="preserve"> game, may have detrimental </w:t>
      </w:r>
      <w:r w:rsidR="00DC2D8F">
        <w:rPr>
          <w:rFonts w:ascii="Times New Roman" w:hAnsi="Times New Roman" w:cs="Times New Roman"/>
        </w:rPr>
        <w:t>residual</w:t>
      </w:r>
      <w:r>
        <w:rPr>
          <w:rFonts w:ascii="Times New Roman" w:hAnsi="Times New Roman" w:cs="Times New Roman"/>
        </w:rPr>
        <w:t xml:space="preserve"> effects on the targeted population of participants</w:t>
      </w:r>
      <w:r w:rsidR="00E271E5">
        <w:rPr>
          <w:rFonts w:ascii="Times New Roman" w:hAnsi="Times New Roman" w:cs="Times New Roman"/>
        </w:rPr>
        <w:t>.</w:t>
      </w:r>
    </w:p>
    <w:p w14:paraId="23803F13" w14:textId="77777777" w:rsidR="00E271E5" w:rsidRDefault="00E271E5">
      <w:pPr>
        <w:rPr>
          <w:rFonts w:ascii="Times New Roman" w:hAnsi="Times New Roman" w:cs="Times New Roman"/>
        </w:rPr>
      </w:pPr>
      <w:r>
        <w:rPr>
          <w:rFonts w:ascii="Times New Roman" w:hAnsi="Times New Roman" w:cs="Times New Roman"/>
        </w:rPr>
        <w:br w:type="page"/>
      </w:r>
    </w:p>
    <w:p w14:paraId="55D4D110" w14:textId="604E620F" w:rsidR="00EB7EE2" w:rsidRDefault="00E271E5" w:rsidP="00E271E5">
      <w:pPr>
        <w:jc w:val="center"/>
        <w:rPr>
          <w:rFonts w:ascii="Times New Roman" w:hAnsi="Times New Roman" w:cs="Times New Roman"/>
          <w:b/>
          <w:bCs/>
        </w:rPr>
      </w:pPr>
      <w:r>
        <w:rPr>
          <w:rFonts w:ascii="Times New Roman" w:hAnsi="Times New Roman" w:cs="Times New Roman"/>
          <w:b/>
          <w:bCs/>
        </w:rPr>
        <w:lastRenderedPageBreak/>
        <w:t>References</w:t>
      </w:r>
    </w:p>
    <w:p w14:paraId="14792513" w14:textId="3123601B" w:rsidR="00E271E5" w:rsidRDefault="00E271E5" w:rsidP="00E271E5">
      <w:pPr>
        <w:ind w:left="720" w:hanging="720"/>
        <w:rPr>
          <w:rFonts w:ascii="Times New Roman" w:hAnsi="Times New Roman" w:cs="Times New Roman"/>
        </w:rPr>
      </w:pPr>
      <w:r w:rsidRPr="00E271E5">
        <w:rPr>
          <w:rFonts w:ascii="Times New Roman" w:hAnsi="Times New Roman" w:cs="Times New Roman"/>
        </w:rPr>
        <w:t>Ryan, R. M., &amp; Deci, E. L. (2000). Self-determination theory and the facilitation of intrinsic motivation, social development, and well-being. </w:t>
      </w:r>
      <w:r w:rsidRPr="00E271E5">
        <w:rPr>
          <w:rFonts w:ascii="Times New Roman" w:hAnsi="Times New Roman" w:cs="Times New Roman"/>
          <w:i/>
          <w:iCs/>
        </w:rPr>
        <w:t>American Psychologist, 55</w:t>
      </w:r>
      <w:r w:rsidRPr="00E271E5">
        <w:rPr>
          <w:rFonts w:ascii="Times New Roman" w:hAnsi="Times New Roman" w:cs="Times New Roman"/>
        </w:rPr>
        <w:t>(1), 68–78. </w:t>
      </w:r>
      <w:hyperlink r:id="rId9" w:tgtFrame="_blank" w:history="1">
        <w:r w:rsidRPr="00E271E5">
          <w:rPr>
            <w:rStyle w:val="Hyperlink"/>
            <w:rFonts w:ascii="Times New Roman" w:hAnsi="Times New Roman" w:cs="Times New Roman"/>
          </w:rPr>
          <w:t>https://doi.org/10.1037/0003-066X.55.1.68</w:t>
        </w:r>
      </w:hyperlink>
    </w:p>
    <w:p w14:paraId="5F70A775" w14:textId="748B3381" w:rsidR="00E271E5" w:rsidRPr="00E271E5" w:rsidRDefault="00E271E5" w:rsidP="00E271E5">
      <w:pPr>
        <w:ind w:left="720" w:hanging="720"/>
        <w:rPr>
          <w:rFonts w:ascii="Times New Roman" w:hAnsi="Times New Roman" w:cs="Times New Roman"/>
        </w:rPr>
      </w:pPr>
      <w:r w:rsidRPr="00E271E5">
        <w:rPr>
          <w:rFonts w:ascii="Times New Roman" w:hAnsi="Times New Roman" w:cs="Times New Roman"/>
        </w:rPr>
        <w:t>Deci, E. L., &amp; Ryan, R. M. (1985). Intrinsic Motivation and Self-Determination in Human Behavior. Berlin: Springer Science &amp; Business Media.</w:t>
      </w:r>
      <w:r w:rsidRPr="00E271E5">
        <w:rPr>
          <w:rFonts w:ascii="Times New Roman" w:hAnsi="Times New Roman" w:cs="Times New Roman"/>
        </w:rPr>
        <w:br/>
        <w:t>https://doi.org/10.1007/978-1-4899-2271-7</w:t>
      </w:r>
    </w:p>
    <w:sectPr w:rsidR="00E271E5" w:rsidRPr="00E271E5" w:rsidSect="00E271E5">
      <w:headerReference w:type="even" r:id="rId10"/>
      <w:headerReference w:type="defaul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613F47B" w14:textId="77777777" w:rsidR="00F1244C" w:rsidRDefault="00F1244C" w:rsidP="00E271E5">
      <w:pPr>
        <w:spacing w:after="0" w:line="240" w:lineRule="auto"/>
      </w:pPr>
      <w:r>
        <w:separator/>
      </w:r>
    </w:p>
  </w:endnote>
  <w:endnote w:type="continuationSeparator" w:id="0">
    <w:p w14:paraId="1F7998DF" w14:textId="77777777" w:rsidR="00F1244C" w:rsidRDefault="00F1244C" w:rsidP="00E271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385E088" w14:textId="77777777" w:rsidR="00F1244C" w:rsidRDefault="00F1244C" w:rsidP="00E271E5">
      <w:pPr>
        <w:spacing w:after="0" w:line="240" w:lineRule="auto"/>
      </w:pPr>
      <w:r>
        <w:separator/>
      </w:r>
    </w:p>
  </w:footnote>
  <w:footnote w:type="continuationSeparator" w:id="0">
    <w:p w14:paraId="4C56D4DD" w14:textId="77777777" w:rsidR="00F1244C" w:rsidRDefault="00F1244C" w:rsidP="00E271E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70593454"/>
      <w:docPartObj>
        <w:docPartGallery w:val="Page Numbers (Top of Page)"/>
        <w:docPartUnique/>
      </w:docPartObj>
    </w:sdtPr>
    <w:sdtContent>
      <w:p w14:paraId="3F3302EF" w14:textId="77FE9D4D" w:rsidR="00E271E5" w:rsidRDefault="00E271E5" w:rsidP="00C00211">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E1A3A15" w14:textId="77777777" w:rsidR="00E271E5" w:rsidRDefault="00E271E5" w:rsidP="00E271E5">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03966881"/>
      <w:docPartObj>
        <w:docPartGallery w:val="Page Numbers (Top of Page)"/>
        <w:docPartUnique/>
      </w:docPartObj>
    </w:sdtPr>
    <w:sdtContent>
      <w:p w14:paraId="4BEA030F" w14:textId="1C9F77AD" w:rsidR="00E271E5" w:rsidRDefault="00E271E5" w:rsidP="00C00211">
        <w:pPr>
          <w:pStyle w:val="Header"/>
          <w:framePr w:wrap="none" w:vAnchor="text" w:hAnchor="margin" w:xAlign="right" w:y="1"/>
          <w:rPr>
            <w:rStyle w:val="PageNumber"/>
          </w:rPr>
        </w:pPr>
        <w:r w:rsidRPr="00E271E5">
          <w:rPr>
            <w:rStyle w:val="PageNumber"/>
            <w:rFonts w:ascii="Times New Roman" w:hAnsi="Times New Roman" w:cs="Times New Roman"/>
          </w:rPr>
          <w:fldChar w:fldCharType="begin"/>
        </w:r>
        <w:r w:rsidRPr="00E271E5">
          <w:rPr>
            <w:rStyle w:val="PageNumber"/>
            <w:rFonts w:ascii="Times New Roman" w:hAnsi="Times New Roman" w:cs="Times New Roman"/>
          </w:rPr>
          <w:instrText xml:space="preserve"> PAGE </w:instrText>
        </w:r>
        <w:r w:rsidRPr="00E271E5">
          <w:rPr>
            <w:rStyle w:val="PageNumber"/>
            <w:rFonts w:ascii="Times New Roman" w:hAnsi="Times New Roman" w:cs="Times New Roman"/>
          </w:rPr>
          <w:fldChar w:fldCharType="separate"/>
        </w:r>
        <w:r w:rsidRPr="00E271E5">
          <w:rPr>
            <w:rStyle w:val="PageNumber"/>
            <w:rFonts w:ascii="Times New Roman" w:hAnsi="Times New Roman" w:cs="Times New Roman"/>
            <w:noProof/>
          </w:rPr>
          <w:t>2</w:t>
        </w:r>
        <w:r w:rsidRPr="00E271E5">
          <w:rPr>
            <w:rStyle w:val="PageNumber"/>
            <w:rFonts w:ascii="Times New Roman" w:hAnsi="Times New Roman" w:cs="Times New Roman"/>
          </w:rPr>
          <w:fldChar w:fldCharType="end"/>
        </w:r>
      </w:p>
    </w:sdtContent>
  </w:sdt>
  <w:p w14:paraId="43A27EDF" w14:textId="77777777" w:rsidR="00E271E5" w:rsidRDefault="00E271E5" w:rsidP="00E271E5">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A736152"/>
    <w:multiLevelType w:val="hybridMultilevel"/>
    <w:tmpl w:val="3F1EBE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29152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216D"/>
    <w:rsid w:val="00126F18"/>
    <w:rsid w:val="0018723B"/>
    <w:rsid w:val="002320E2"/>
    <w:rsid w:val="00291542"/>
    <w:rsid w:val="004176B8"/>
    <w:rsid w:val="006F216D"/>
    <w:rsid w:val="0078645E"/>
    <w:rsid w:val="007E3750"/>
    <w:rsid w:val="009B7B8A"/>
    <w:rsid w:val="00AF14AA"/>
    <w:rsid w:val="00DC2D8F"/>
    <w:rsid w:val="00E271E5"/>
    <w:rsid w:val="00EB7EE2"/>
    <w:rsid w:val="00EC2CD3"/>
    <w:rsid w:val="00F124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1A1F07E"/>
  <w15:chartTrackingRefBased/>
  <w15:docId w15:val="{2B555F1F-BAB6-E642-99DB-E3AD0BC122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F216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F216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F216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F216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F216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F216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F216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F216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F216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216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F216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F216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F216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F216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F216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F216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F216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F216D"/>
    <w:rPr>
      <w:rFonts w:eastAsiaTheme="majorEastAsia" w:cstheme="majorBidi"/>
      <w:color w:val="272727" w:themeColor="text1" w:themeTint="D8"/>
    </w:rPr>
  </w:style>
  <w:style w:type="paragraph" w:styleId="Title">
    <w:name w:val="Title"/>
    <w:basedOn w:val="Normal"/>
    <w:next w:val="Normal"/>
    <w:link w:val="TitleChar"/>
    <w:uiPriority w:val="10"/>
    <w:qFormat/>
    <w:rsid w:val="006F216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216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F216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F216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F216D"/>
    <w:pPr>
      <w:spacing w:before="160"/>
      <w:jc w:val="center"/>
    </w:pPr>
    <w:rPr>
      <w:i/>
      <w:iCs/>
      <w:color w:val="404040" w:themeColor="text1" w:themeTint="BF"/>
    </w:rPr>
  </w:style>
  <w:style w:type="character" w:customStyle="1" w:styleId="QuoteChar">
    <w:name w:val="Quote Char"/>
    <w:basedOn w:val="DefaultParagraphFont"/>
    <w:link w:val="Quote"/>
    <w:uiPriority w:val="29"/>
    <w:rsid w:val="006F216D"/>
    <w:rPr>
      <w:i/>
      <w:iCs/>
      <w:color w:val="404040" w:themeColor="text1" w:themeTint="BF"/>
    </w:rPr>
  </w:style>
  <w:style w:type="paragraph" w:styleId="ListParagraph">
    <w:name w:val="List Paragraph"/>
    <w:basedOn w:val="Normal"/>
    <w:uiPriority w:val="34"/>
    <w:qFormat/>
    <w:rsid w:val="006F216D"/>
    <w:pPr>
      <w:ind w:left="720"/>
      <w:contextualSpacing/>
    </w:pPr>
  </w:style>
  <w:style w:type="character" w:styleId="IntenseEmphasis">
    <w:name w:val="Intense Emphasis"/>
    <w:basedOn w:val="DefaultParagraphFont"/>
    <w:uiPriority w:val="21"/>
    <w:qFormat/>
    <w:rsid w:val="006F216D"/>
    <w:rPr>
      <w:i/>
      <w:iCs/>
      <w:color w:val="0F4761" w:themeColor="accent1" w:themeShade="BF"/>
    </w:rPr>
  </w:style>
  <w:style w:type="paragraph" w:styleId="IntenseQuote">
    <w:name w:val="Intense Quote"/>
    <w:basedOn w:val="Normal"/>
    <w:next w:val="Normal"/>
    <w:link w:val="IntenseQuoteChar"/>
    <w:uiPriority w:val="30"/>
    <w:qFormat/>
    <w:rsid w:val="006F216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F216D"/>
    <w:rPr>
      <w:i/>
      <w:iCs/>
      <w:color w:val="0F4761" w:themeColor="accent1" w:themeShade="BF"/>
    </w:rPr>
  </w:style>
  <w:style w:type="character" w:styleId="IntenseReference">
    <w:name w:val="Intense Reference"/>
    <w:basedOn w:val="DefaultParagraphFont"/>
    <w:uiPriority w:val="32"/>
    <w:qFormat/>
    <w:rsid w:val="006F216D"/>
    <w:rPr>
      <w:b/>
      <w:bCs/>
      <w:smallCaps/>
      <w:color w:val="0F4761" w:themeColor="accent1" w:themeShade="BF"/>
      <w:spacing w:val="5"/>
    </w:rPr>
  </w:style>
  <w:style w:type="character" w:styleId="Hyperlink">
    <w:name w:val="Hyperlink"/>
    <w:basedOn w:val="DefaultParagraphFont"/>
    <w:uiPriority w:val="99"/>
    <w:unhideWhenUsed/>
    <w:rsid w:val="00E271E5"/>
    <w:rPr>
      <w:color w:val="467886" w:themeColor="hyperlink"/>
      <w:u w:val="single"/>
    </w:rPr>
  </w:style>
  <w:style w:type="character" w:styleId="UnresolvedMention">
    <w:name w:val="Unresolved Mention"/>
    <w:basedOn w:val="DefaultParagraphFont"/>
    <w:uiPriority w:val="99"/>
    <w:semiHidden/>
    <w:unhideWhenUsed/>
    <w:rsid w:val="00E271E5"/>
    <w:rPr>
      <w:color w:val="605E5C"/>
      <w:shd w:val="clear" w:color="auto" w:fill="E1DFDD"/>
    </w:rPr>
  </w:style>
  <w:style w:type="paragraph" w:styleId="Header">
    <w:name w:val="header"/>
    <w:basedOn w:val="Normal"/>
    <w:link w:val="HeaderChar"/>
    <w:uiPriority w:val="99"/>
    <w:unhideWhenUsed/>
    <w:rsid w:val="00E271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71E5"/>
  </w:style>
  <w:style w:type="character" w:styleId="PageNumber">
    <w:name w:val="page number"/>
    <w:basedOn w:val="DefaultParagraphFont"/>
    <w:uiPriority w:val="99"/>
    <w:semiHidden/>
    <w:unhideWhenUsed/>
    <w:rsid w:val="00E271E5"/>
  </w:style>
  <w:style w:type="paragraph" w:styleId="Footer">
    <w:name w:val="footer"/>
    <w:basedOn w:val="Normal"/>
    <w:link w:val="FooterChar"/>
    <w:uiPriority w:val="99"/>
    <w:unhideWhenUsed/>
    <w:rsid w:val="00E271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71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psycnet.apa.org/doi/10.1037/0003-066X.55.1.6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7</Pages>
  <Words>1308</Words>
  <Characters>6908</Characters>
  <Application>Microsoft Office Word</Application>
  <DocSecurity>0</DocSecurity>
  <Lines>97</Lines>
  <Paragraphs>29</Paragraphs>
  <ScaleCrop>false</ScaleCrop>
  <Company/>
  <LinksUpToDate>false</LinksUpToDate>
  <CharactersWithSpaces>8187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A Habit</dc:creator>
  <cp:keywords/>
  <dc:description/>
  <cp:lastModifiedBy>Ian A Habit</cp:lastModifiedBy>
  <cp:revision>3</cp:revision>
  <cp:lastPrinted>2024-11-09T16:38:00Z</cp:lastPrinted>
  <dcterms:created xsi:type="dcterms:W3CDTF">2024-11-09T16:38:00Z</dcterms:created>
  <dcterms:modified xsi:type="dcterms:W3CDTF">2024-11-09T16:40:00Z</dcterms:modified>
</cp:coreProperties>
</file>