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0"/>
        </w:rPr>
        <w:t>Ian Handley</w:t>
        <w:br/>
        <w:t>Email: ianhandley@gmail.com | Phone: (605) 415-2577</w:t>
      </w:r>
    </w:p>
    <w:p/>
    <w:p>
      <w:r>
        <w:t>April 21, 2026</w:t>
      </w:r>
    </w:p>
    <w:p>
      <w:r>
        <w:t>Dear Hiring Manager,</w:t>
      </w:r>
    </w:p>
    <w:p>
      <w:r>
        <w:t>I am excited to apply for the Senior Staff Software Engineer position with Webflow's Compose pillar. With over 20 years of experience architecting large-scale distributed systems and driving technical strategy across multi-team initiatives, I am confident in my ability to own the CMS and Localization technical strategy while mentoring the next generation of senior engineers.</w:t>
      </w:r>
    </w:p>
    <w:p>
      <w:r>
        <w:t>Throughout my career, I have demonstrated consistent success in establishing architectural governance frameworks and solving complex scalability challenges. At Equifax, I designed cross-cloud distributed systems across AWS and GCP while establishing architectural patterns and governance processes that improved system reliability across multiple teams. I led an engineering team to drive multi-initiative technical strategy, and importantly, established mentorship programs for emerging senior engineers—a capability critical to developing future Staff-level leaders. My experience designing API-driven systems with PostgreSQL and implementing complex data modeling solutions directly aligns with Webflow's need for someone who can define and drive multi-team initiatives that unlock competitive capabilities in platform environments.</w:t>
      </w:r>
    </w:p>
    <w:p>
      <w:r>
        <w:t>I bring deep technical expertise in the technologies central to this role: Go and Node.js for backend systems, PostgreSQL for relational databases, and extensive experience with AWS and GCP cloud architectures. At Nu Skin, I architected messaging platforms serving large-scale business-critical systems and led re-architecture efforts establishing cross-pillar technical alignment and governance patterns. I have consistently demonstrated the ability to eliminate structural sources of technical debt while establishing principled architectural approaches. My recent work with AI-assisted tooling and automation frameworks exemplifies my thoughtful perspective on leveraging emerging technologies to increase engineering leverage without compromising architectural integrity.</w:t>
      </w:r>
    </w:p>
    <w:p>
      <w:r>
        <w:t>I am particularly drawn to Webflow's commitment to building an AI-native platform and your emphasis on thoughtful automation. My experience building AI agents and exploring automation frameworks for internal workflows demonstrates not just technical capability with emerging technologies, but also a pragmatic approach to adoption. I am prepared to bring this same rigor to challenging assumptions at all levels and driving Webflow's competitive advantage through thoughtful technical strategy and architectural leadership.</w:t>
      </w:r>
    </w:p>
    <w:p/>
    <w:p>
      <w:r>
        <w:t>Sincerely,</w:t>
      </w:r>
    </w:p>
    <w:p/>
    <w:p>
      <w:r>
        <w:t>Ian Handley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