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4837" w14:textId="67B8AB07" w:rsidR="00EC3716" w:rsidRPr="00F72EAD" w:rsidRDefault="00F72EAD">
      <w:pPr>
        <w:pStyle w:val="1"/>
        <w:rPr>
          <w:rFonts w:ascii="Times New Roman" w:eastAsia="SimSun" w:hAnsi="Times New Roman" w:cs="Times New Roman"/>
          <w:b/>
          <w:bCs/>
          <w:color w:val="auto"/>
          <w:lang w:eastAsia="zh-CN"/>
        </w:rPr>
      </w:pPr>
      <w:bookmarkStart w:id="0" w:name="摘要"/>
      <w:r w:rsidRPr="00F72EAD">
        <w:rPr>
          <w:rFonts w:ascii="Times New Roman" w:eastAsia="SimSun" w:hAnsi="Times New Roman" w:cs="Times New Roman"/>
          <w:b/>
          <w:bCs/>
          <w:color w:val="auto"/>
          <w:lang w:eastAsia="zh-CN"/>
        </w:rPr>
        <w:t>一、</w:t>
      </w:r>
      <w:r w:rsidR="00000000" w:rsidRPr="00F72EAD">
        <w:rPr>
          <w:rFonts w:ascii="Times New Roman" w:eastAsia="SimSun" w:hAnsi="Times New Roman" w:cs="Times New Roman"/>
          <w:b/>
          <w:bCs/>
          <w:color w:val="auto"/>
          <w:lang w:eastAsia="zh-CN"/>
        </w:rPr>
        <w:t>摘要</w:t>
      </w:r>
    </w:p>
    <w:p w14:paraId="16A31F3B" w14:textId="77777777" w:rsidR="00EC3716" w:rsidRPr="00F72EAD" w:rsidRDefault="00000000">
      <w:pPr>
        <w:pStyle w:val="FirstParagraph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本文基于上证</w:t>
      </w:r>
      <w:r w:rsidRPr="00F72EAD">
        <w:rPr>
          <w:rFonts w:ascii="Times New Roman" w:eastAsia="SimSun" w:hAnsi="Times New Roman" w:cs="Times New Roman"/>
          <w:lang w:eastAsia="zh-CN"/>
        </w:rPr>
        <w:t>50</w:t>
      </w:r>
      <w:r w:rsidRPr="00F72EAD">
        <w:rPr>
          <w:rFonts w:ascii="Times New Roman" w:eastAsia="SimSun" w:hAnsi="Times New Roman" w:cs="Times New Roman"/>
          <w:lang w:eastAsia="zh-CN"/>
        </w:rPr>
        <w:t>指数及其当前</w:t>
      </w:r>
      <w:r w:rsidRPr="00F72EAD">
        <w:rPr>
          <w:rFonts w:ascii="Times New Roman" w:eastAsia="SimSun" w:hAnsi="Times New Roman" w:cs="Times New Roman"/>
          <w:lang w:eastAsia="zh-CN"/>
        </w:rPr>
        <w:t>50</w:t>
      </w:r>
      <w:r w:rsidRPr="00F72EAD">
        <w:rPr>
          <w:rFonts w:ascii="Times New Roman" w:eastAsia="SimSun" w:hAnsi="Times New Roman" w:cs="Times New Roman"/>
          <w:lang w:eastAsia="zh-CN"/>
        </w:rPr>
        <w:t>只成分股在</w:t>
      </w:r>
      <w:r w:rsidRPr="00F72EAD">
        <w:rPr>
          <w:rFonts w:ascii="Times New Roman" w:eastAsia="SimSun" w:hAnsi="Times New Roman" w:cs="Times New Roman"/>
          <w:lang w:eastAsia="zh-CN"/>
        </w:rPr>
        <w:t xml:space="preserve"> 2025-01-02 </w:t>
      </w:r>
      <w:r w:rsidRPr="00F72EAD">
        <w:rPr>
          <w:rFonts w:ascii="Times New Roman" w:eastAsia="SimSun" w:hAnsi="Times New Roman" w:cs="Times New Roman"/>
          <w:lang w:eastAsia="zh-CN"/>
        </w:rPr>
        <w:t>至</w:t>
      </w:r>
      <w:r w:rsidRPr="00F72EAD">
        <w:rPr>
          <w:rFonts w:ascii="Times New Roman" w:eastAsia="SimSun" w:hAnsi="Times New Roman" w:cs="Times New Roman"/>
          <w:lang w:eastAsia="zh-CN"/>
        </w:rPr>
        <w:t xml:space="preserve"> 2026-03-16 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的日度数据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，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剔除</w:t>
      </w:r>
      <w:r w:rsidRPr="00F72EAD">
        <w:rPr>
          <w:rFonts w:ascii="Times New Roman" w:eastAsia="SimSun" w:hAnsi="Times New Roman" w:cs="Times New Roman"/>
          <w:lang w:eastAsia="zh-CN"/>
        </w:rPr>
        <w:t xml:space="preserve"> 2025 </w:t>
      </w:r>
      <w:r w:rsidRPr="00F72EAD">
        <w:rPr>
          <w:rFonts w:ascii="Times New Roman" w:eastAsia="SimSun" w:hAnsi="Times New Roman" w:cs="Times New Roman"/>
          <w:lang w:eastAsia="zh-CN"/>
        </w:rPr>
        <w:t>年内新纳入且产生结构性缺失的成分股后，保留</w:t>
      </w:r>
      <w:r w:rsidRPr="00F72EAD">
        <w:rPr>
          <w:rFonts w:ascii="Times New Roman" w:eastAsia="SimSun" w:hAnsi="Times New Roman" w:cs="Times New Roman"/>
          <w:lang w:eastAsia="zh-CN"/>
        </w:rPr>
        <w:t xml:space="preserve"> 42 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只稳定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成分股建立</w:t>
      </w:r>
      <w:r w:rsidRPr="00F72EAD">
        <w:rPr>
          <w:rFonts w:ascii="Times New Roman" w:eastAsia="SimSun" w:hAnsi="Times New Roman" w:cs="Times New Roman"/>
          <w:lang w:eastAsia="zh-CN"/>
        </w:rPr>
        <w:t xml:space="preserve"> OLS </w:t>
      </w:r>
      <w:r w:rsidRPr="00F72EAD">
        <w:rPr>
          <w:rFonts w:ascii="Times New Roman" w:eastAsia="SimSun" w:hAnsi="Times New Roman" w:cs="Times New Roman"/>
          <w:lang w:eastAsia="zh-CN"/>
        </w:rPr>
        <w:t>基线模型，并使用学生化残差、杠杆值、</w:t>
      </w:r>
      <w:r w:rsidRPr="00F72EAD">
        <w:rPr>
          <w:rFonts w:ascii="Times New Roman" w:eastAsia="SimSun" w:hAnsi="Times New Roman" w:cs="Times New Roman"/>
          <w:lang w:eastAsia="zh-CN"/>
        </w:rPr>
        <w:t>Cook</w:t>
      </w:r>
      <w:r w:rsidRPr="00F72EAD">
        <w:rPr>
          <w:rFonts w:ascii="Times New Roman" w:eastAsia="SimSun" w:hAnsi="Times New Roman" w:cs="Times New Roman"/>
          <w:lang w:eastAsia="zh-CN"/>
        </w:rPr>
        <w:t>距离、</w:t>
      </w:r>
      <w:r w:rsidRPr="00F72EAD">
        <w:rPr>
          <w:rFonts w:ascii="Times New Roman" w:eastAsia="SimSun" w:hAnsi="Times New Roman" w:cs="Times New Roman"/>
          <w:lang w:eastAsia="zh-CN"/>
        </w:rPr>
        <w:t xml:space="preserve">DFFITS </w:t>
      </w:r>
      <w:r w:rsidRPr="00F72EAD">
        <w:rPr>
          <w:rFonts w:ascii="Times New Roman" w:eastAsia="SimSun" w:hAnsi="Times New Roman" w:cs="Times New Roman"/>
          <w:lang w:eastAsia="zh-CN"/>
        </w:rPr>
        <w:t>与</w:t>
      </w:r>
      <w:r w:rsidRPr="00F72EAD">
        <w:rPr>
          <w:rFonts w:ascii="Times New Roman" w:eastAsia="SimSun" w:hAnsi="Times New Roman" w:cs="Times New Roman"/>
          <w:lang w:eastAsia="zh-CN"/>
        </w:rPr>
        <w:t xml:space="preserve"> DFBETAS </w:t>
      </w:r>
      <w:r w:rsidRPr="00F72EAD">
        <w:rPr>
          <w:rFonts w:ascii="Times New Roman" w:eastAsia="SimSun" w:hAnsi="Times New Roman" w:cs="Times New Roman"/>
          <w:lang w:eastAsia="zh-CN"/>
        </w:rPr>
        <w:t>进行异常点诊断。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在</w:t>
      </w:r>
      <w:r w:rsidRPr="00F72EAD">
        <w:rPr>
          <w:rFonts w:ascii="Times New Roman" w:eastAsia="SimSun" w:hAnsi="Times New Roman" w:cs="Times New Roman"/>
          <w:lang w:eastAsia="zh-CN"/>
        </w:rPr>
        <w:t xml:space="preserve"> 288 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个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交易日样本上，正文重点解释</w:t>
      </w:r>
      <w:r w:rsidRPr="00F72EAD">
        <w:rPr>
          <w:rFonts w:ascii="Times New Roman" w:eastAsia="SimSun" w:hAnsi="Times New Roman" w:cs="Times New Roman"/>
          <w:lang w:eastAsia="zh-CN"/>
        </w:rPr>
        <w:t xml:space="preserve"> 2025-04-07</w:t>
      </w:r>
      <w:r w:rsidRPr="00F72EAD">
        <w:rPr>
          <w:rFonts w:ascii="Times New Roman" w:eastAsia="SimSun" w:hAnsi="Times New Roman" w:cs="Times New Roman"/>
          <w:lang w:eastAsia="zh-CN"/>
        </w:rPr>
        <w:t>、</w:t>
      </w:r>
      <w:r w:rsidRPr="00F72EAD">
        <w:rPr>
          <w:rFonts w:ascii="Times New Roman" w:eastAsia="SimSun" w:hAnsi="Times New Roman" w:cs="Times New Roman"/>
          <w:lang w:eastAsia="zh-CN"/>
        </w:rPr>
        <w:t>2025-04-08</w:t>
      </w:r>
      <w:r w:rsidRPr="00F72EAD">
        <w:rPr>
          <w:rFonts w:ascii="Times New Roman" w:eastAsia="SimSun" w:hAnsi="Times New Roman" w:cs="Times New Roman"/>
          <w:lang w:eastAsia="zh-CN"/>
        </w:rPr>
        <w:t>、</w:t>
      </w:r>
      <w:r w:rsidRPr="00F72EAD">
        <w:rPr>
          <w:rFonts w:ascii="Times New Roman" w:eastAsia="SimSun" w:hAnsi="Times New Roman" w:cs="Times New Roman"/>
          <w:lang w:eastAsia="zh-CN"/>
        </w:rPr>
        <w:t xml:space="preserve">2025-08-29 </w:t>
      </w:r>
      <w:r w:rsidRPr="00F72EAD">
        <w:rPr>
          <w:rFonts w:ascii="Times New Roman" w:eastAsia="SimSun" w:hAnsi="Times New Roman" w:cs="Times New Roman"/>
          <w:lang w:eastAsia="zh-CN"/>
        </w:rPr>
        <w:t>三类具有明确市场背景的异常交易日。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改进方法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基于近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一年稳健回归文献，比较</w:t>
      </w:r>
      <w:r w:rsidRPr="00F72EAD">
        <w:rPr>
          <w:rFonts w:ascii="Times New Roman" w:eastAsia="SimSun" w:hAnsi="Times New Roman" w:cs="Times New Roman"/>
          <w:lang w:eastAsia="zh-CN"/>
        </w:rPr>
        <w:t xml:space="preserve"> Huber</w:t>
      </w:r>
      <w:r w:rsidRPr="00F72EAD">
        <w:rPr>
          <w:rFonts w:ascii="Times New Roman" w:eastAsia="SimSun" w:hAnsi="Times New Roman" w:cs="Times New Roman"/>
          <w:lang w:eastAsia="zh-CN"/>
        </w:rPr>
        <w:t>、</w:t>
      </w:r>
      <w:r w:rsidRPr="00F72EAD">
        <w:rPr>
          <w:rFonts w:ascii="Times New Roman" w:eastAsia="SimSun" w:hAnsi="Times New Roman" w:cs="Times New Roman"/>
          <w:lang w:eastAsia="zh-CN"/>
        </w:rPr>
        <w:t xml:space="preserve">Hampel </w:t>
      </w:r>
      <w:r w:rsidRPr="00F72EAD">
        <w:rPr>
          <w:rFonts w:ascii="Times New Roman" w:eastAsia="SimSun" w:hAnsi="Times New Roman" w:cs="Times New Roman"/>
          <w:lang w:eastAsia="zh-CN"/>
        </w:rPr>
        <w:t>与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proofErr w:type="spellStart"/>
      <w:r w:rsidRPr="00F72EAD">
        <w:rPr>
          <w:rFonts w:ascii="Times New Roman" w:eastAsia="SimSun" w:hAnsi="Times New Roman" w:cs="Times New Roman"/>
          <w:lang w:eastAsia="zh-CN"/>
        </w:rPr>
        <w:t>bisquare</w:t>
      </w:r>
      <w:proofErr w:type="spellEnd"/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三种稳健回归，并以时间顺序测试集误差判断改进是否有效。</w:t>
      </w:r>
    </w:p>
    <w:p w14:paraId="0AF1C539" w14:textId="0C2EA4A8" w:rsidR="00EC3716" w:rsidRPr="00F72EAD" w:rsidRDefault="00F72EAD">
      <w:pPr>
        <w:pStyle w:val="1"/>
        <w:rPr>
          <w:rFonts w:ascii="Times New Roman" w:eastAsia="SimSun" w:hAnsi="Times New Roman" w:cs="Times New Roman"/>
          <w:b/>
          <w:bCs/>
          <w:color w:val="auto"/>
          <w:lang w:eastAsia="zh-CN"/>
        </w:rPr>
      </w:pPr>
      <w:bookmarkStart w:id="1" w:name="使用方法与改进措施"/>
      <w:bookmarkEnd w:id="0"/>
      <w:r w:rsidRPr="00F72EAD">
        <w:rPr>
          <w:rFonts w:ascii="Times New Roman" w:eastAsia="SimSun" w:hAnsi="Times New Roman" w:cs="Times New Roman"/>
          <w:b/>
          <w:bCs/>
          <w:color w:val="auto"/>
          <w:lang w:eastAsia="zh-CN"/>
        </w:rPr>
        <w:t>二、</w:t>
      </w:r>
      <w:r w:rsidR="00000000" w:rsidRPr="00F72EAD">
        <w:rPr>
          <w:rFonts w:ascii="Times New Roman" w:eastAsia="SimSun" w:hAnsi="Times New Roman" w:cs="Times New Roman"/>
          <w:b/>
          <w:bCs/>
          <w:color w:val="auto"/>
          <w:lang w:eastAsia="zh-CN"/>
        </w:rPr>
        <w:t>使用方法与改进措施</w:t>
      </w:r>
    </w:p>
    <w:p w14:paraId="7827C451" w14:textId="77777777" w:rsidR="00EC3716" w:rsidRPr="00F72EAD" w:rsidRDefault="00000000">
      <w:pPr>
        <w:pStyle w:val="FirstParagraph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教师提供的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Style w:val="VerbatimChar"/>
          <w:rFonts w:ascii="Times New Roman" w:eastAsia="SimSun" w:hAnsi="Times New Roman" w:cs="Times New Roman"/>
          <w:lang w:eastAsia="zh-CN"/>
        </w:rPr>
        <w:t>数据整理</w:t>
      </w:r>
      <w:r w:rsidRPr="00F72EAD">
        <w:rPr>
          <w:rStyle w:val="VerbatimChar"/>
          <w:rFonts w:ascii="Times New Roman" w:eastAsia="SimSun" w:hAnsi="Times New Roman" w:cs="Times New Roman"/>
          <w:lang w:eastAsia="zh-CN"/>
        </w:rPr>
        <w:t>.R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核心思想是先按交易日对齐指数与成分股数据，再形成可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直接回归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的宽表。本文保留这一思路，但将其适配到当前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Style w:val="VerbatimChar"/>
          <w:rFonts w:ascii="Times New Roman" w:eastAsia="SimSun" w:hAnsi="Times New Roman" w:cs="Times New Roman"/>
          <w:lang w:eastAsia="zh-CN"/>
        </w:rPr>
        <w:t>data/sse50/sse50_prices_long.csv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长表数据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，并将结构性缺失的新增成分股剔出主模型。</w:t>
      </w:r>
    </w:p>
    <w:p w14:paraId="28A34280" w14:textId="77777777" w:rsidR="00EC3716" w:rsidRPr="00F72EAD" w:rsidRDefault="00000000">
      <w:pPr>
        <w:pStyle w:val="a0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本次主模型不是直接把全部</w:t>
      </w:r>
      <w:r w:rsidRPr="00F72EAD">
        <w:rPr>
          <w:rFonts w:ascii="Times New Roman" w:eastAsia="SimSun" w:hAnsi="Times New Roman" w:cs="Times New Roman"/>
          <w:lang w:eastAsia="zh-CN"/>
        </w:rPr>
        <w:t xml:space="preserve"> 50 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只当前成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分股一起回归，而是保留了</w:t>
      </w:r>
      <w:r w:rsidRPr="00F72EAD">
        <w:rPr>
          <w:rFonts w:ascii="Times New Roman" w:eastAsia="SimSun" w:hAnsi="Times New Roman" w:cs="Times New Roman"/>
          <w:lang w:eastAsia="zh-CN"/>
        </w:rPr>
        <w:t xml:space="preserve"> 42 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只全样本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无缺失的稳定成分股，因此下面的公式记自变量个数为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m:oMath>
        <m:r>
          <w:rPr>
            <w:rFonts w:ascii="Cambria Math" w:eastAsia="SimSun" w:hAnsi="Cambria Math" w:cs="Times New Roman"/>
            <w:lang w:eastAsia="zh-CN"/>
          </w:rPr>
          <m:t>p</m:t>
        </m:r>
      </m:oMath>
      <w:r w:rsidRPr="00F72EAD">
        <w:rPr>
          <w:rFonts w:ascii="Times New Roman" w:eastAsia="SimSun" w:hAnsi="Times New Roman" w:cs="Times New Roman"/>
          <w:lang w:eastAsia="zh-CN"/>
        </w:rPr>
        <w:t>。</w:t>
      </w:r>
    </w:p>
    <w:p w14:paraId="1A3AF1B5" w14:textId="77777777" w:rsidR="00EC3716" w:rsidRPr="00F72EAD" w:rsidRDefault="00000000">
      <w:pPr>
        <w:pStyle w:val="a0"/>
        <w:rPr>
          <w:rFonts w:ascii="Times New Roman" w:eastAsia="SimSun" w:hAnsi="Times New Roman" w:cs="Times New Roman"/>
        </w:rPr>
      </w:pPr>
      <w:proofErr w:type="spellStart"/>
      <w:r w:rsidRPr="00F72EAD">
        <w:rPr>
          <w:rFonts w:ascii="Times New Roman" w:eastAsia="SimSun" w:hAnsi="Times New Roman" w:cs="Times New Roman"/>
        </w:rPr>
        <w:t>基准方法为</w:t>
      </w:r>
      <w:proofErr w:type="spellEnd"/>
      <w:r w:rsidRPr="00F72EAD">
        <w:rPr>
          <w:rFonts w:ascii="Times New Roman" w:eastAsia="SimSun" w:hAnsi="Times New Roman" w:cs="Times New Roman"/>
        </w:rPr>
        <w:t>：</w:t>
      </w:r>
    </w:p>
    <w:p w14:paraId="625771FC" w14:textId="77777777" w:rsidR="00EC3716" w:rsidRPr="00F72EAD" w:rsidRDefault="00000000">
      <w:pPr>
        <w:pStyle w:val="a0"/>
        <w:rPr>
          <w:rFonts w:ascii="Times New Roman" w:eastAsia="SimSu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SimSun" w:hAnsi="Cambria Math" w:cs="Times New Roman"/>
                </w:rPr>
              </m:ctrlPr>
            </m:sSubSupPr>
            <m:e>
              <m:r>
                <w:rPr>
                  <w:rFonts w:ascii="Cambria Math" w:eastAsia="SimSun" w:hAnsi="Cambria Math" w:cs="Times New Roman"/>
                </w:rPr>
                <m:t>R</m:t>
              </m:r>
            </m:e>
            <m:sub>
              <m:r>
                <w:rPr>
                  <w:rFonts w:ascii="Cambria Math" w:eastAsia="SimSun" w:hAnsi="Cambria Math" w:cs="Times New Roman"/>
                </w:rPr>
                <m:t>t</m:t>
              </m:r>
            </m:sub>
            <m:sup>
              <m:r>
                <w:rPr>
                  <w:rFonts w:ascii="Cambria Math" w:eastAsia="SimSun" w:hAnsi="Cambria Math" w:cs="Times New Roman"/>
                </w:rPr>
                <m:t>index</m:t>
              </m:r>
            </m:sup>
          </m:sSubSup>
          <m:r>
            <m:rPr>
              <m:sty m:val="p"/>
            </m:rPr>
            <w:rPr>
              <w:rFonts w:ascii="Cambria Math" w:eastAsia="SimSun" w:hAnsi="Cambria Math" w:cs="Times New Roman"/>
            </w:rPr>
            <m:t>=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β</m:t>
              </m:r>
            </m:e>
            <m:sub>
              <m:r>
                <w:rPr>
                  <w:rFonts w:ascii="Cambria Math" w:eastAsia="SimSun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SimSun" w:hAnsi="Cambria Math" w:cs="Times New Roman"/>
                </w:rPr>
              </m:ctrlPr>
            </m:naryPr>
            <m:sub>
              <m:r>
                <w:rPr>
                  <w:rFonts w:ascii="Cambria Math" w:eastAsia="SimSun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=</m:t>
              </m:r>
              <m:r>
                <w:rPr>
                  <w:rFonts w:ascii="Cambria Math" w:eastAsia="SimSun" w:hAnsi="Cambria Math" w:cs="Times New Roman"/>
                </w:rPr>
                <m:t>1</m:t>
              </m:r>
            </m:sub>
            <m:sup>
              <m:r>
                <w:rPr>
                  <w:rFonts w:ascii="Cambria Math" w:eastAsia="SimSun" w:hAnsi="Cambria Math" w:cs="Times New Roman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eastAsia="SimSun" w:hAnsi="Cambria Math" w:cs="Times New Roman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="SimSun" w:hAnsi="Cambria Math" w:cs="Times New Roman"/>
                    </w:rPr>
                    <m:t>j</m:t>
                  </m:r>
                </m:sub>
              </m:sSub>
            </m:e>
          </m:nary>
          <m:sSubSup>
            <m:sSubSupPr>
              <m:ctrlPr>
                <w:rPr>
                  <w:rFonts w:ascii="Cambria Math" w:eastAsia="SimSun" w:hAnsi="Cambria Math" w:cs="Times New Roman"/>
                </w:rPr>
              </m:ctrlPr>
            </m:sSubSupPr>
            <m:e>
              <m:r>
                <w:rPr>
                  <w:rFonts w:ascii="Cambria Math" w:eastAsia="SimSun" w:hAnsi="Cambria Math" w:cs="Times New Roman"/>
                </w:rPr>
                <m:t>R</m:t>
              </m:r>
            </m:e>
            <m:sub>
              <m:r>
                <w:rPr>
                  <w:rFonts w:ascii="Cambria Math" w:eastAsia="SimSun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,</m:t>
              </m:r>
              <m:r>
                <w:rPr>
                  <w:rFonts w:ascii="Cambria Math" w:eastAsia="SimSun" w:hAnsi="Cambria Math" w:cs="Times New Roman"/>
                </w:rPr>
                <m:t>j</m:t>
              </m:r>
            </m:sub>
            <m:sup>
              <m:r>
                <w:rPr>
                  <w:rFonts w:ascii="Cambria Math" w:eastAsia="SimSun" w:hAnsi="Cambria Math" w:cs="Times New Roman"/>
                </w:rPr>
                <m:t>stock</m:t>
              </m:r>
            </m:sup>
          </m:sSubSup>
          <m:r>
            <m:rPr>
              <m:sty m:val="p"/>
            </m:rPr>
            <w:rPr>
              <w:rFonts w:ascii="Cambria Math" w:eastAsia="SimSun" w:hAnsi="Cambria Math" w:cs="Times New Roman"/>
            </w:rPr>
            <m:t>+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ε</m:t>
              </m:r>
            </m:e>
            <m:sub>
              <m:r>
                <w:rPr>
                  <w:rFonts w:ascii="Cambria Math" w:eastAsia="SimSun" w:hAnsi="Cambria Math" w:cs="Times New Roman"/>
                </w:rPr>
                <m:t>t</m:t>
              </m:r>
            </m:sub>
          </m:sSub>
        </m:oMath>
      </m:oMathPara>
    </w:p>
    <w:p w14:paraId="4FBCCA74" w14:textId="77777777" w:rsidR="00EC3716" w:rsidRPr="00F72EAD" w:rsidRDefault="00000000">
      <w:pPr>
        <w:pStyle w:val="FirstParagraph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其中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m:oMath>
        <m:sSubSup>
          <m:sSubSupPr>
            <m:ctrlPr>
              <w:rPr>
                <w:rFonts w:ascii="Cambria Math" w:eastAsia="SimSun" w:hAnsi="Cambria Math" w:cs="Times New Roman"/>
              </w:rPr>
            </m:ctrlPr>
          </m:sSubSupPr>
          <m:e>
            <m:r>
              <w:rPr>
                <w:rFonts w:ascii="Cambria Math" w:eastAsia="SimSun" w:hAnsi="Cambria Math" w:cs="Times New Roman"/>
                <w:lang w:eastAsia="zh-CN"/>
              </w:rPr>
              <m:t>R</m:t>
            </m:r>
          </m:e>
          <m:sub>
            <m:r>
              <w:rPr>
                <w:rFonts w:ascii="Cambria Math" w:eastAsia="SimSun" w:hAnsi="Cambria Math" w:cs="Times New Roman"/>
                <w:lang w:eastAsia="zh-CN"/>
              </w:rPr>
              <m:t>t</m:t>
            </m:r>
          </m:sub>
          <m:sup>
            <m:r>
              <w:rPr>
                <w:rFonts w:ascii="Cambria Math" w:eastAsia="SimSun" w:hAnsi="Cambria Math" w:cs="Times New Roman"/>
                <w:lang w:eastAsia="zh-CN"/>
              </w:rPr>
              <m:t>index</m:t>
            </m:r>
          </m:sup>
        </m:sSubSup>
      </m:oMath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为上证</w:t>
      </w:r>
      <w:r w:rsidRPr="00F72EAD">
        <w:rPr>
          <w:rFonts w:ascii="Times New Roman" w:eastAsia="SimSun" w:hAnsi="Times New Roman" w:cs="Times New Roman"/>
          <w:lang w:eastAsia="zh-CN"/>
        </w:rPr>
        <w:t>50</w:t>
      </w:r>
      <w:r w:rsidRPr="00F72EAD">
        <w:rPr>
          <w:rFonts w:ascii="Times New Roman" w:eastAsia="SimSun" w:hAnsi="Times New Roman" w:cs="Times New Roman"/>
          <w:lang w:eastAsia="zh-CN"/>
        </w:rPr>
        <w:t>指数日收益率，</w:t>
      </w:r>
      <m:oMath>
        <m:sSubSup>
          <m:sSubSupPr>
            <m:ctrlPr>
              <w:rPr>
                <w:rFonts w:ascii="Cambria Math" w:eastAsia="SimSun" w:hAnsi="Cambria Math" w:cs="Times New Roman"/>
              </w:rPr>
            </m:ctrlPr>
          </m:sSubSupPr>
          <m:e>
            <m:r>
              <w:rPr>
                <w:rFonts w:ascii="Cambria Math" w:eastAsia="SimSun" w:hAnsi="Cambria Math" w:cs="Times New Roman"/>
                <w:lang w:eastAsia="zh-CN"/>
              </w:rPr>
              <m:t>R</m:t>
            </m:r>
          </m:e>
          <m:sub>
            <m:r>
              <w:rPr>
                <w:rFonts w:ascii="Cambria Math" w:eastAsia="SimSun" w:hAnsi="Cambria Math" w:cs="Times New Roman"/>
                <w:lang w:eastAsia="zh-CN"/>
              </w:rPr>
              <m:t>t</m:t>
            </m:r>
            <m:r>
              <m:rPr>
                <m:sty m:val="p"/>
              </m:rPr>
              <w:rPr>
                <w:rFonts w:ascii="Cambria Math" w:eastAsia="SimSun" w:hAnsi="Cambria Math" w:cs="Times New Roman"/>
                <w:lang w:eastAsia="zh-CN"/>
              </w:rPr>
              <m:t>,</m:t>
            </m:r>
            <m:r>
              <w:rPr>
                <w:rFonts w:ascii="Cambria Math" w:eastAsia="SimSun" w:hAnsi="Cambria Math" w:cs="Times New Roman"/>
                <w:lang w:eastAsia="zh-CN"/>
              </w:rPr>
              <m:t>j</m:t>
            </m:r>
          </m:sub>
          <m:sup>
            <m:r>
              <w:rPr>
                <w:rFonts w:ascii="Cambria Math" w:eastAsia="SimSun" w:hAnsi="Cambria Math" w:cs="Times New Roman"/>
                <w:lang w:eastAsia="zh-CN"/>
              </w:rPr>
              <m:t>stock</m:t>
            </m:r>
          </m:sup>
        </m:sSubSup>
      </m:oMath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为第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m:oMath>
        <m:r>
          <w:rPr>
            <w:rFonts w:ascii="Cambria Math" w:eastAsia="SimSun" w:hAnsi="Cambria Math" w:cs="Times New Roman"/>
            <w:lang w:eastAsia="zh-CN"/>
          </w:rPr>
          <m:t>j</m:t>
        </m:r>
      </m:oMath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只成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分股日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收益率。</w:t>
      </w:r>
    </w:p>
    <w:p w14:paraId="18AFB24A" w14:textId="77777777" w:rsidR="00EC3716" w:rsidRPr="00F72EAD" w:rsidRDefault="00000000">
      <w:pPr>
        <w:pStyle w:val="a0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将矩阵形式写为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m:oMath>
        <m:r>
          <w:rPr>
            <w:rFonts w:ascii="Cambria Math" w:eastAsia="SimSun" w:hAnsi="Cambria Math" w:cs="Times New Roman"/>
            <w:lang w:eastAsia="zh-CN"/>
          </w:rPr>
          <m:t>y</m:t>
        </m:r>
        <m:r>
          <m:rPr>
            <m:sty m:val="p"/>
          </m:rPr>
          <w:rPr>
            <w:rFonts w:ascii="Cambria Math" w:eastAsia="SimSun" w:hAnsi="Cambria Math" w:cs="Times New Roman"/>
            <w:lang w:eastAsia="zh-CN"/>
          </w:rPr>
          <m:t>=</m:t>
        </m:r>
        <m:r>
          <w:rPr>
            <w:rFonts w:ascii="Cambria Math" w:eastAsia="SimSun" w:hAnsi="Cambria Math" w:cs="Times New Roman"/>
            <w:lang w:eastAsia="zh-CN"/>
          </w:rPr>
          <m:t>Xβ</m:t>
        </m:r>
        <m:r>
          <m:rPr>
            <m:sty m:val="p"/>
          </m:rPr>
          <w:rPr>
            <w:rFonts w:ascii="Cambria Math" w:eastAsia="SimSun" w:hAnsi="Cambria Math" w:cs="Times New Roman"/>
            <w:lang w:eastAsia="zh-CN"/>
          </w:rPr>
          <m:t>+</m:t>
        </m:r>
        <m:r>
          <w:rPr>
            <w:rFonts w:ascii="Cambria Math" w:eastAsia="SimSun" w:hAnsi="Cambria Math" w:cs="Times New Roman"/>
            <w:lang w:eastAsia="zh-CN"/>
          </w:rPr>
          <m:t>ε</m:t>
        </m:r>
      </m:oMath>
      <w:r w:rsidRPr="00F72EAD">
        <w:rPr>
          <w:rFonts w:ascii="Times New Roman" w:eastAsia="SimSun" w:hAnsi="Times New Roman" w:cs="Times New Roman"/>
          <w:lang w:eastAsia="zh-CN"/>
        </w:rPr>
        <w:t>，则普通最小二乘估计量为：</w:t>
      </w:r>
    </w:p>
    <w:p w14:paraId="275774CF" w14:textId="77777777" w:rsidR="00EC3716" w:rsidRPr="00F72EAD" w:rsidRDefault="00000000">
      <w:pPr>
        <w:pStyle w:val="a0"/>
        <w:rPr>
          <w:rFonts w:ascii="Times New Roman" w:eastAsia="SimSu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 w:cs="Times New Roman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β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OLS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=(</m:t>
          </m:r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w:rPr>
                  <w:rFonts w:ascii="Cambria Math" w:eastAsia="SimSun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⊤</m:t>
              </m:r>
            </m:sup>
          </m:sSup>
          <m:r>
            <w:rPr>
              <w:rFonts w:ascii="Cambria Math" w:eastAsia="SimSun" w:hAnsi="Cambria Math" w:cs="Times New Roman"/>
            </w:rPr>
            <m:t>X</m:t>
          </m:r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-</m:t>
              </m:r>
              <m:r>
                <w:rPr>
                  <w:rFonts w:ascii="Cambria Math" w:eastAsia="SimSun" w:hAnsi="Cambria Math" w:cs="Times New Roman"/>
                </w:rPr>
                <m:t>1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w:rPr>
                  <w:rFonts w:ascii="Cambria Math" w:eastAsia="SimSun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⊤</m:t>
              </m:r>
            </m:sup>
          </m:sSup>
          <m:r>
            <w:rPr>
              <w:rFonts w:ascii="Cambria Math" w:eastAsia="SimSun" w:hAnsi="Cambria Math" w:cs="Times New Roman"/>
            </w:rPr>
            <m:t>y</m:t>
          </m:r>
        </m:oMath>
      </m:oMathPara>
    </w:p>
    <w:p w14:paraId="6128FE51" w14:textId="77777777" w:rsidR="00EC3716" w:rsidRPr="00F72EAD" w:rsidRDefault="00000000">
      <w:pPr>
        <w:pStyle w:val="FirstParagraph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为了定位异常点，本文重点使用学生化残差、杠杆值与</w:t>
      </w:r>
      <w:r w:rsidRPr="00F72EAD">
        <w:rPr>
          <w:rFonts w:ascii="Times New Roman" w:eastAsia="SimSun" w:hAnsi="Times New Roman" w:cs="Times New Roman"/>
          <w:lang w:eastAsia="zh-CN"/>
        </w:rPr>
        <w:t xml:space="preserve"> Cook </w:t>
      </w:r>
      <w:r w:rsidRPr="00F72EAD">
        <w:rPr>
          <w:rFonts w:ascii="Times New Roman" w:eastAsia="SimSun" w:hAnsi="Times New Roman" w:cs="Times New Roman"/>
          <w:lang w:eastAsia="zh-CN"/>
        </w:rPr>
        <w:t>距离：</w:t>
      </w:r>
    </w:p>
    <w:p w14:paraId="7CB15073" w14:textId="77777777" w:rsidR="00EC3716" w:rsidRPr="00F72EAD" w:rsidRDefault="00000000">
      <w:pPr>
        <w:pStyle w:val="a0"/>
        <w:rPr>
          <w:rFonts w:ascii="Times New Roman" w:eastAsia="SimSu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t</m:t>
              </m:r>
            </m:e>
            <m:sub>
              <m:r>
                <w:rPr>
                  <w:rFonts w:ascii="Cambria Math" w:eastAsia="SimSun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eastAsia="SimSun" w:hAnsi="Cambria Math" w:cs="Times New Roman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eastAsia="SimSun" w:hAnsi="Cambria Math" w:cs="Times New Roman"/>
                        </w:rPr>
                        <m:t>σ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(</m:t>
                  </m:r>
                  <m:r>
                    <w:rPr>
                      <w:rFonts w:ascii="Cambria Math" w:eastAsia="SimSun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)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</w:rPr>
                        <m:t>ii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SimSun" w:hAnsi="Cambria Math" w:cs="Times New Roman"/>
            </w:rPr>
            <m:t>,</m:t>
          </m:r>
          <m:r>
            <w:rPr>
              <w:rFonts w:ascii="Cambria Math" w:eastAsia="SimSun" w:hAnsi="Cambria Math" w:cs="Times New Roman"/>
            </w:rPr>
            <m:t>  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h</m:t>
              </m:r>
            </m:e>
            <m:sub>
              <m:r>
                <w:rPr>
                  <w:rFonts w:ascii="Cambria Math" w:eastAsia="SimSun" w:hAnsi="Cambria Math" w:cs="Times New Roman"/>
                </w:rPr>
                <m:t>ii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=</m:t>
          </m:r>
          <m:sSubSup>
            <m:sSubSupPr>
              <m:ctrlPr>
                <w:rPr>
                  <w:rFonts w:ascii="Cambria Math" w:eastAsia="SimSun" w:hAnsi="Cambria Math" w:cs="Times New Roman"/>
                </w:rPr>
              </m:ctrlPr>
            </m:sSubSupPr>
            <m:e>
              <m:r>
                <w:rPr>
                  <w:rFonts w:ascii="Cambria Math" w:eastAsia="SimSun" w:hAnsi="Cambria Math" w:cs="Times New Roman"/>
                </w:rPr>
                <m:t>x</m:t>
              </m:r>
            </m:e>
            <m:sub>
              <m:r>
                <w:rPr>
                  <w:rFonts w:ascii="Cambria Math" w:eastAsia="SimSun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⊤</m:t>
              </m:r>
            </m:sup>
          </m:sSubSup>
          <m:r>
            <m:rPr>
              <m:sty m:val="p"/>
            </m:rPr>
            <w:rPr>
              <w:rFonts w:ascii="Cambria Math" w:eastAsia="SimSun" w:hAnsi="Cambria Math" w:cs="Times New Roman"/>
            </w:rPr>
            <m:t>(</m:t>
          </m:r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w:rPr>
                  <w:rFonts w:ascii="Cambria Math" w:eastAsia="SimSun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⊤</m:t>
              </m:r>
            </m:sup>
          </m:sSup>
          <m:r>
            <w:rPr>
              <w:rFonts w:ascii="Cambria Math" w:eastAsia="SimSun" w:hAnsi="Cambria Math" w:cs="Times New Roman"/>
            </w:rPr>
            <m:t>X</m:t>
          </m:r>
          <m:sSup>
            <m:sSupPr>
              <m:ctrlPr>
                <w:rPr>
                  <w:rFonts w:ascii="Cambria Math" w:eastAsia="SimSun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-</m:t>
              </m:r>
              <m:r>
                <w:rPr>
                  <w:rFonts w:ascii="Cambria Math" w:eastAsia="SimSun" w:hAnsi="Cambria Math" w:cs="Times New Roman"/>
                </w:rPr>
                <m:t>1</m:t>
              </m:r>
            </m:sup>
          </m:sSup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x</m:t>
              </m:r>
            </m:e>
            <m:sub>
              <m:r>
                <w:rPr>
                  <w:rFonts w:ascii="Cambria Math" w:eastAsia="SimSun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,</m:t>
          </m:r>
          <m:r>
            <w:rPr>
              <w:rFonts w:ascii="Cambria Math" w:eastAsia="SimSun" w:hAnsi="Cambria Math" w:cs="Times New Roman"/>
            </w:rPr>
            <m:t>  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D</m:t>
              </m:r>
            </m:e>
            <m:sub>
              <m:r>
                <w:rPr>
                  <w:rFonts w:ascii="Cambria Math" w:eastAsia="SimSun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</w:rPr>
              </m:ctrlPr>
            </m:fPr>
            <m:num>
              <m:sSubSup>
                <m:sSubSupPr>
                  <m:ctrlPr>
                    <w:rPr>
                      <w:rFonts w:ascii="Cambria Math" w:eastAsia="SimSun" w:hAnsi="Cambria Math" w:cs="Times New Roman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eastAsia="SimSun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SimSun" w:hAnsi="Cambria Math" w:cs="Times New Roman"/>
                </w:rPr>
                <m:t>p</m:t>
              </m:r>
              <m:sSup>
                <m:sSupPr>
                  <m:ctrlPr>
                    <w:rPr>
                      <w:rFonts w:ascii="Cambria Math" w:eastAsia="SimSun" w:hAnsi="Cambria Math" w:cs="Times New Roman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eastAsia="SimSun" w:hAnsi="Cambria Math" w:cs="Times New Roman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="SimSun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 w:cs="Times New Roman"/>
                    </w:rPr>
                    <m:t>ii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(</m:t>
              </m:r>
              <m:r>
                <w:rPr>
                  <w:rFonts w:ascii="Cambria Math" w:eastAsia="SimSun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SimSun" w:hAnsi="Cambria Math" w:cs="Times New Roman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="SimSun" w:hAnsi="Cambria Math" w:cs="Times New Roman"/>
                    </w:rPr>
                    <m:t>ii</m:t>
                  </m:r>
                </m:sub>
              </m:sSub>
              <m:sSup>
                <m:sSupPr>
                  <m:ctrlPr>
                    <w:rPr>
                      <w:rFonts w:ascii="Cambria Math" w:eastAsia="SimSun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3968429D" w14:textId="77777777" w:rsidR="00EC3716" w:rsidRPr="00F72EAD" w:rsidRDefault="00000000">
      <w:pPr>
        <w:pStyle w:val="FirstParagraph"/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</w:rPr>
        <w:t>改进措施参考近一年关于</w:t>
      </w:r>
      <w:r w:rsidRPr="00F72EAD">
        <w:rPr>
          <w:rFonts w:ascii="Times New Roman" w:eastAsia="SimSun" w:hAnsi="Times New Roman" w:cs="Times New Roman"/>
        </w:rPr>
        <w:t xml:space="preserve"> Hampel </w:t>
      </w:r>
      <w:r w:rsidRPr="00F72EAD">
        <w:rPr>
          <w:rFonts w:ascii="Times New Roman" w:eastAsia="SimSun" w:hAnsi="Times New Roman" w:cs="Times New Roman"/>
        </w:rPr>
        <w:t>与稳健回归处理高杠杆异常值的在线论文，在</w:t>
      </w:r>
      <w:r w:rsidRPr="00F72EAD">
        <w:rPr>
          <w:rFonts w:ascii="Times New Roman" w:eastAsia="SimSun" w:hAnsi="Times New Roman" w:cs="Times New Roman"/>
        </w:rPr>
        <w:t xml:space="preserve"> R </w:t>
      </w:r>
      <w:r w:rsidRPr="00F72EAD">
        <w:rPr>
          <w:rFonts w:ascii="Times New Roman" w:eastAsia="SimSun" w:hAnsi="Times New Roman" w:cs="Times New Roman"/>
        </w:rPr>
        <w:t>中使用</w:t>
      </w:r>
      <w:r w:rsidRPr="00F72EAD">
        <w:rPr>
          <w:rFonts w:ascii="Times New Roman" w:eastAsia="SimSun" w:hAnsi="Times New Roman" w:cs="Times New Roman"/>
        </w:rPr>
        <w:t xml:space="preserve"> </w:t>
      </w:r>
      <w:r w:rsidRPr="00F72EAD">
        <w:rPr>
          <w:rStyle w:val="VerbatimChar"/>
          <w:rFonts w:ascii="Times New Roman" w:eastAsia="SimSun" w:hAnsi="Times New Roman" w:cs="Times New Roman"/>
        </w:rPr>
        <w:t>MASS::rlm()</w:t>
      </w:r>
      <w:r w:rsidRPr="00F72EAD">
        <w:rPr>
          <w:rFonts w:ascii="Times New Roman" w:eastAsia="SimSun" w:hAnsi="Times New Roman" w:cs="Times New Roman"/>
        </w:rPr>
        <w:t xml:space="preserve"> </w:t>
      </w:r>
      <w:r w:rsidRPr="00F72EAD">
        <w:rPr>
          <w:rFonts w:ascii="Times New Roman" w:eastAsia="SimSun" w:hAnsi="Times New Roman" w:cs="Times New Roman"/>
        </w:rPr>
        <w:t>分别实现</w:t>
      </w:r>
      <w:r w:rsidRPr="00F72EAD">
        <w:rPr>
          <w:rFonts w:ascii="Times New Roman" w:eastAsia="SimSun" w:hAnsi="Times New Roman" w:cs="Times New Roman"/>
        </w:rPr>
        <w:t xml:space="preserve"> Huber</w:t>
      </w:r>
      <w:r w:rsidRPr="00F72EAD">
        <w:rPr>
          <w:rFonts w:ascii="Times New Roman" w:eastAsia="SimSun" w:hAnsi="Times New Roman" w:cs="Times New Roman"/>
        </w:rPr>
        <w:t>、</w:t>
      </w:r>
      <w:r w:rsidRPr="00F72EAD">
        <w:rPr>
          <w:rFonts w:ascii="Times New Roman" w:eastAsia="SimSun" w:hAnsi="Times New Roman" w:cs="Times New Roman"/>
        </w:rPr>
        <w:t xml:space="preserve">Hampel </w:t>
      </w:r>
      <w:r w:rsidRPr="00F72EAD">
        <w:rPr>
          <w:rFonts w:ascii="Times New Roman" w:eastAsia="SimSun" w:hAnsi="Times New Roman" w:cs="Times New Roman"/>
        </w:rPr>
        <w:t>与</w:t>
      </w:r>
      <w:r w:rsidRPr="00F72EAD">
        <w:rPr>
          <w:rFonts w:ascii="Times New Roman" w:eastAsia="SimSun" w:hAnsi="Times New Roman" w:cs="Times New Roman"/>
        </w:rPr>
        <w:t xml:space="preserve"> bisquare M </w:t>
      </w:r>
      <w:r w:rsidRPr="00F72EAD">
        <w:rPr>
          <w:rFonts w:ascii="Times New Roman" w:eastAsia="SimSun" w:hAnsi="Times New Roman" w:cs="Times New Roman"/>
        </w:rPr>
        <w:t>估计，并与</w:t>
      </w:r>
      <w:r w:rsidRPr="00F72EAD">
        <w:rPr>
          <w:rFonts w:ascii="Times New Roman" w:eastAsia="SimSun" w:hAnsi="Times New Roman" w:cs="Times New Roman"/>
        </w:rPr>
        <w:t xml:space="preserve"> OLS </w:t>
      </w:r>
      <w:r w:rsidRPr="00F72EAD">
        <w:rPr>
          <w:rFonts w:ascii="Times New Roman" w:eastAsia="SimSun" w:hAnsi="Times New Roman" w:cs="Times New Roman"/>
        </w:rPr>
        <w:t>做训练集</w:t>
      </w:r>
      <w:r w:rsidRPr="00F72EAD">
        <w:rPr>
          <w:rFonts w:ascii="Times New Roman" w:eastAsia="SimSun" w:hAnsi="Times New Roman" w:cs="Times New Roman"/>
        </w:rPr>
        <w:t>/</w:t>
      </w:r>
      <w:r w:rsidRPr="00F72EAD">
        <w:rPr>
          <w:rFonts w:ascii="Times New Roman" w:eastAsia="SimSun" w:hAnsi="Times New Roman" w:cs="Times New Roman"/>
        </w:rPr>
        <w:t>测试集比较。</w:t>
      </w:r>
    </w:p>
    <w:p w14:paraId="6FD05E2B" w14:textId="77777777" w:rsidR="00EC3716" w:rsidRPr="00F72EAD" w:rsidRDefault="00000000">
      <w:pPr>
        <w:pStyle w:val="a0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稳健回归使用</w:t>
      </w:r>
      <w:r w:rsidRPr="00F72EAD">
        <w:rPr>
          <w:rFonts w:ascii="Times New Roman" w:eastAsia="SimSun" w:hAnsi="Times New Roman" w:cs="Times New Roman"/>
          <w:lang w:eastAsia="zh-CN"/>
        </w:rPr>
        <w:t xml:space="preserve"> M </w:t>
      </w:r>
      <w:r w:rsidRPr="00F72EAD">
        <w:rPr>
          <w:rFonts w:ascii="Times New Roman" w:eastAsia="SimSun" w:hAnsi="Times New Roman" w:cs="Times New Roman"/>
          <w:lang w:eastAsia="zh-CN"/>
        </w:rPr>
        <w:t>估计降低异常点对参数的影响，其目标函数为：</w:t>
      </w:r>
    </w:p>
    <w:p w14:paraId="27B98F5C" w14:textId="77777777" w:rsidR="00EC3716" w:rsidRPr="00F72EAD" w:rsidRDefault="00000000">
      <w:pPr>
        <w:pStyle w:val="a0"/>
        <w:rPr>
          <w:rFonts w:ascii="Times New Roman" w:eastAsia="SimSu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eastAsia="SimSun" w:hAnsi="Cambria Math" w:cs="Times New Roman"/>
                    </w:rPr>
                  </m:ctrlPr>
                </m:accPr>
                <m:e>
                  <m:r>
                    <w:rPr>
                      <w:rFonts w:ascii="Cambria Math" w:eastAsia="SimSun" w:hAnsi="Cambria Math" w:cs="Times New Roman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="SimSun" w:hAnsi="Cambria Math" w:cs="Times New Roman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=arg</m:t>
          </m:r>
          <m:limLow>
            <m:limLowPr>
              <m:ctrlPr>
                <w:rPr>
                  <w:rFonts w:ascii="Cambria Math" w:eastAsia="SimSun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min</m:t>
              </m:r>
            </m:e>
            <m:lim>
              <m:r>
                <w:rPr>
                  <w:rFonts w:ascii="Cambria Math" w:eastAsia="SimSun" w:hAnsi="Cambria Math" w:cs="Times New Roman"/>
                </w:rPr>
                <m:t>β</m:t>
              </m:r>
            </m:lim>
          </m:limLow>
          <m:nary>
            <m:naryPr>
              <m:chr m:val="∑"/>
              <m:limLoc m:val="undOvr"/>
              <m:ctrlPr>
                <w:rPr>
                  <w:rFonts w:ascii="Cambria Math" w:eastAsia="SimSun" w:hAnsi="Cambria Math" w:cs="Times New Roman"/>
                </w:rPr>
              </m:ctrlPr>
            </m:naryPr>
            <m:sub>
              <m:r>
                <w:rPr>
                  <w:rFonts w:ascii="Cambria Math" w:eastAsia="SimSun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=</m:t>
              </m:r>
              <m:r>
                <w:rPr>
                  <w:rFonts w:ascii="Cambria Math" w:eastAsia="SimSun" w:hAnsi="Cambria Math" w:cs="Times New Roman"/>
                </w:rPr>
                <m:t>1</m:t>
              </m:r>
            </m:sub>
            <m:sup>
              <m:r>
                <w:rPr>
                  <w:rFonts w:ascii="Cambria Math" w:eastAsia="SimSun" w:hAnsi="Cambria Math" w:cs="Times New Roman"/>
                </w:rPr>
                <m:t>n</m:t>
              </m:r>
            </m:sup>
            <m:e>
              <m:r>
                <w:rPr>
                  <w:rFonts w:ascii="Cambria Math" w:eastAsia="SimSun" w:hAnsi="Cambria Math" w:cs="Times New Roman"/>
                </w:rPr>
                <m:t>ρ</m:t>
              </m:r>
            </m:e>
          </m:nary>
          <m:r>
            <w:rPr>
              <w:rFonts w:ascii="Cambria Math" w:eastAsia="SimSun" w:hAnsi="Cambria Math" w:cs="Times New Roman"/>
            </w:rPr>
            <m:t>​</m:t>
          </m:r>
          <m:d>
            <m:dPr>
              <m:ctrlPr>
                <w:rPr>
                  <w:rFonts w:ascii="Cambria Math" w:eastAsia="SimSun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eastAsia="SimSun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</w:rPr>
                        <m:t>⊤</m:t>
                      </m:r>
                    </m:sup>
                  </m:sSubSup>
                  <m:r>
                    <w:rPr>
                      <w:rFonts w:ascii="Cambria Math" w:eastAsia="SimSun" w:hAnsi="Cambria Math" w:cs="Times New Roman"/>
                    </w:rPr>
                    <m:t>β</m:t>
                  </m:r>
                </m:num>
                <m:den>
                  <m:acc>
                    <m:accPr>
                      <m:ctrlPr>
                        <w:rPr>
                          <w:rFonts w:ascii="Cambria Math" w:eastAsia="SimSun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eastAsia="SimSun" w:hAnsi="Cambria Math" w:cs="Times New Roman"/>
                        </w:rPr>
                        <m:t>σ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eastAsia="SimSun" w:hAnsi="Cambria Math" w:cs="Times New Roman"/>
            </w:rPr>
            <m:t>,</m:t>
          </m:r>
          <m:r>
            <w:rPr>
              <w:rFonts w:ascii="Cambria Math" w:eastAsia="SimSun" w:hAnsi="Cambria Math" w:cs="Times New Roman"/>
            </w:rPr>
            <m:t>  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w</m:t>
              </m:r>
            </m:e>
            <m:sub>
              <m:r>
                <w:rPr>
                  <w:rFonts w:ascii="Cambria Math" w:eastAsia="SimSun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</w:rPr>
              </m:ctrlPr>
            </m:fPr>
            <m:num>
              <m:r>
                <w:rPr>
                  <w:rFonts w:ascii="Cambria Math" w:eastAsia="SimSun" w:hAnsi="Cambria Math" w:cs="Times New Roman"/>
                </w:rPr>
                <m:t>ψ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eastAsia="SimSun" w:hAnsi="Cambria Math" w:cs="Times New Roman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SimSun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SimSun" w:hAnsi="Cambria Math" w:cs="Times New Roman"/>
                    </w:rPr>
                    <m:t>i</m:t>
                  </m:r>
                </m:sub>
              </m:sSub>
            </m:den>
          </m:f>
        </m:oMath>
      </m:oMathPara>
    </w:p>
    <w:p w14:paraId="14BD7A17" w14:textId="5EBA8C99" w:rsidR="00EC3716" w:rsidRPr="00F72EAD" w:rsidRDefault="00F72EAD">
      <w:pPr>
        <w:pStyle w:val="1"/>
        <w:rPr>
          <w:rFonts w:ascii="Times New Roman" w:eastAsia="SimSun" w:hAnsi="Times New Roman" w:cs="Times New Roman"/>
          <w:b/>
          <w:bCs/>
          <w:color w:val="auto"/>
        </w:rPr>
      </w:pPr>
      <w:bookmarkStart w:id="2" w:name="数据来源和采集时间"/>
      <w:bookmarkEnd w:id="1"/>
      <w:r w:rsidRPr="00F72EAD">
        <w:rPr>
          <w:rFonts w:ascii="Times New Roman" w:eastAsia="SimSun" w:hAnsi="Times New Roman" w:cs="Times New Roman"/>
          <w:b/>
          <w:bCs/>
          <w:color w:val="auto"/>
          <w:lang w:eastAsia="zh-CN"/>
        </w:rPr>
        <w:t>三、</w:t>
      </w:r>
      <w:proofErr w:type="spellStart"/>
      <w:r w:rsidR="00000000" w:rsidRPr="00F72EAD">
        <w:rPr>
          <w:rFonts w:ascii="Times New Roman" w:eastAsia="SimSun" w:hAnsi="Times New Roman" w:cs="Times New Roman"/>
          <w:b/>
          <w:bCs/>
          <w:color w:val="auto"/>
        </w:rPr>
        <w:t>数据来源和采集时间</w:t>
      </w:r>
      <w:proofErr w:type="spellEnd"/>
    </w:p>
    <w:p w14:paraId="44018AA3" w14:textId="77777777" w:rsidR="00EC3716" w:rsidRPr="00F72EAD" w:rsidRDefault="00000000">
      <w:pPr>
        <w:pStyle w:val="Compact"/>
        <w:numPr>
          <w:ilvl w:val="0"/>
          <w:numId w:val="2"/>
        </w:numPr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</w:rPr>
        <w:t>数据来源：</w:t>
      </w:r>
    </w:p>
    <w:p w14:paraId="0A307798" w14:textId="77777777" w:rsidR="00EC3716" w:rsidRPr="00F72EAD" w:rsidRDefault="00000000">
      <w:pPr>
        <w:pStyle w:val="Compact"/>
        <w:numPr>
          <w:ilvl w:val="1"/>
          <w:numId w:val="3"/>
        </w:numPr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新浪财经上证</w:t>
      </w:r>
      <w:r w:rsidRPr="00F72EAD">
        <w:rPr>
          <w:rFonts w:ascii="Times New Roman" w:eastAsia="SimSun" w:hAnsi="Times New Roman" w:cs="Times New Roman"/>
          <w:lang w:eastAsia="zh-CN"/>
        </w:rPr>
        <w:t>50</w:t>
      </w:r>
      <w:r w:rsidRPr="00F72EAD">
        <w:rPr>
          <w:rFonts w:ascii="Times New Roman" w:eastAsia="SimSun" w:hAnsi="Times New Roman" w:cs="Times New Roman"/>
          <w:lang w:eastAsia="zh-CN"/>
        </w:rPr>
        <w:t>当前成分股页面</w:t>
      </w:r>
    </w:p>
    <w:p w14:paraId="0068B6AC" w14:textId="77777777" w:rsidR="00EC3716" w:rsidRPr="00F72EAD" w:rsidRDefault="00000000">
      <w:pPr>
        <w:pStyle w:val="Compact"/>
        <w:numPr>
          <w:ilvl w:val="1"/>
          <w:numId w:val="3"/>
        </w:numPr>
        <w:rPr>
          <w:rFonts w:ascii="Times New Roman" w:eastAsia="SimSun" w:hAnsi="Times New Roman" w:cs="Times New Roman"/>
        </w:rPr>
      </w:pPr>
      <w:proofErr w:type="spellStart"/>
      <w:r w:rsidRPr="00F72EAD">
        <w:rPr>
          <w:rFonts w:ascii="Times New Roman" w:eastAsia="SimSun" w:hAnsi="Times New Roman" w:cs="Times New Roman"/>
        </w:rPr>
        <w:t>东方财富历史行情接口</w:t>
      </w:r>
      <w:proofErr w:type="spellEnd"/>
    </w:p>
    <w:p w14:paraId="4C349DA7" w14:textId="77777777" w:rsidR="00EC3716" w:rsidRPr="00F72EAD" w:rsidRDefault="00000000">
      <w:pPr>
        <w:pStyle w:val="Compact"/>
        <w:numPr>
          <w:ilvl w:val="1"/>
          <w:numId w:val="3"/>
        </w:numPr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上海证券交易所指数调整公告页面</w:t>
      </w:r>
    </w:p>
    <w:p w14:paraId="19910037" w14:textId="77777777" w:rsidR="00EC3716" w:rsidRPr="00F72EAD" w:rsidRDefault="00000000">
      <w:pPr>
        <w:pStyle w:val="Compact"/>
        <w:numPr>
          <w:ilvl w:val="0"/>
          <w:numId w:val="2"/>
        </w:numPr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</w:rPr>
        <w:t>采集时间：</w:t>
      </w:r>
      <w:r w:rsidRPr="00F72EAD">
        <w:rPr>
          <w:rFonts w:ascii="Times New Roman" w:eastAsia="SimSun" w:hAnsi="Times New Roman" w:cs="Times New Roman"/>
        </w:rPr>
        <w:t>2026-03-16T17:49:08.915730+00:00</w:t>
      </w:r>
    </w:p>
    <w:p w14:paraId="6AC1F919" w14:textId="77777777" w:rsidR="00EC3716" w:rsidRPr="00F72EAD" w:rsidRDefault="00000000">
      <w:pPr>
        <w:pStyle w:val="Compact"/>
        <w:numPr>
          <w:ilvl w:val="0"/>
          <w:numId w:val="2"/>
        </w:numPr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</w:rPr>
        <w:t>样本区间：</w:t>
      </w:r>
      <w:r w:rsidRPr="00F72EAD">
        <w:rPr>
          <w:rFonts w:ascii="Times New Roman" w:eastAsia="SimSun" w:hAnsi="Times New Roman" w:cs="Times New Roman"/>
        </w:rPr>
        <w:t xml:space="preserve">2025-01-02 </w:t>
      </w:r>
      <w:r w:rsidRPr="00F72EAD">
        <w:rPr>
          <w:rFonts w:ascii="Times New Roman" w:eastAsia="SimSun" w:hAnsi="Times New Roman" w:cs="Times New Roman"/>
        </w:rPr>
        <w:t>至</w:t>
      </w:r>
      <w:r w:rsidRPr="00F72EAD">
        <w:rPr>
          <w:rFonts w:ascii="Times New Roman" w:eastAsia="SimSun" w:hAnsi="Times New Roman" w:cs="Times New Roman"/>
        </w:rPr>
        <w:t xml:space="preserve"> 2026-03-16</w:t>
      </w:r>
    </w:p>
    <w:p w14:paraId="2E7E19FC" w14:textId="77777777" w:rsidR="00EC3716" w:rsidRPr="00F72EAD" w:rsidRDefault="00000000">
      <w:pPr>
        <w:pStyle w:val="Compact"/>
        <w:numPr>
          <w:ilvl w:val="0"/>
          <w:numId w:val="2"/>
        </w:numPr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</w:rPr>
        <w:t>建模区间：</w:t>
      </w:r>
      <w:r w:rsidRPr="00F72EAD">
        <w:rPr>
          <w:rFonts w:ascii="Times New Roman" w:eastAsia="SimSun" w:hAnsi="Times New Roman" w:cs="Times New Roman"/>
        </w:rPr>
        <w:t xml:space="preserve">2025-01-02 </w:t>
      </w:r>
      <w:r w:rsidRPr="00F72EAD">
        <w:rPr>
          <w:rFonts w:ascii="Times New Roman" w:eastAsia="SimSun" w:hAnsi="Times New Roman" w:cs="Times New Roman"/>
        </w:rPr>
        <w:t>至</w:t>
      </w:r>
      <w:r w:rsidRPr="00F72EAD">
        <w:rPr>
          <w:rFonts w:ascii="Times New Roman" w:eastAsia="SimSun" w:hAnsi="Times New Roman" w:cs="Times New Roman"/>
        </w:rPr>
        <w:t xml:space="preserve"> 2026-03-16</w:t>
      </w:r>
    </w:p>
    <w:p w14:paraId="36B7B396" w14:textId="77777777" w:rsidR="00EC3716" w:rsidRPr="00F72EAD" w:rsidRDefault="00000000">
      <w:pPr>
        <w:pStyle w:val="Compact"/>
        <w:numPr>
          <w:ilvl w:val="0"/>
          <w:numId w:val="2"/>
        </w:numPr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变量说明：因变量为上证</w:t>
      </w:r>
      <w:r w:rsidRPr="00F72EAD">
        <w:rPr>
          <w:rFonts w:ascii="Times New Roman" w:eastAsia="SimSun" w:hAnsi="Times New Roman" w:cs="Times New Roman"/>
          <w:lang w:eastAsia="zh-CN"/>
        </w:rPr>
        <w:t>50</w:t>
      </w:r>
      <w:r w:rsidRPr="00F72EAD">
        <w:rPr>
          <w:rFonts w:ascii="Times New Roman" w:eastAsia="SimSun" w:hAnsi="Times New Roman" w:cs="Times New Roman"/>
          <w:lang w:eastAsia="zh-CN"/>
        </w:rPr>
        <w:t>指数日收益率，自变量为</w:t>
      </w:r>
      <w:r w:rsidRPr="00F72EAD">
        <w:rPr>
          <w:rFonts w:ascii="Times New Roman" w:eastAsia="SimSun" w:hAnsi="Times New Roman" w:cs="Times New Roman"/>
          <w:lang w:eastAsia="zh-CN"/>
        </w:rPr>
        <w:t xml:space="preserve"> 42 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只稳定成分股日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收益率</w:t>
      </w:r>
    </w:p>
    <w:p w14:paraId="40714F91" w14:textId="77777777" w:rsidR="00EC3716" w:rsidRPr="00F72EAD" w:rsidRDefault="00000000">
      <w:pPr>
        <w:pStyle w:val="Compact"/>
        <w:numPr>
          <w:ilvl w:val="0"/>
          <w:numId w:val="2"/>
        </w:numPr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缺失处理：不对结构性缺失做插值，保留全区间无缺失的稳定成分股，因此保留</w:t>
      </w:r>
      <w:r w:rsidRPr="00F72EAD">
        <w:rPr>
          <w:rFonts w:ascii="Times New Roman" w:eastAsia="SimSun" w:hAnsi="Times New Roman" w:cs="Times New Roman"/>
          <w:lang w:eastAsia="zh-CN"/>
        </w:rPr>
        <w:t xml:space="preserve"> 288 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个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交易日样本</w:t>
      </w:r>
    </w:p>
    <w:p w14:paraId="560651DB" w14:textId="00333761" w:rsidR="00EC3716" w:rsidRPr="00F72EAD" w:rsidRDefault="00F72EAD">
      <w:pPr>
        <w:pStyle w:val="1"/>
        <w:rPr>
          <w:rFonts w:ascii="Times New Roman" w:eastAsia="SimSun" w:hAnsi="Times New Roman" w:cs="Times New Roman"/>
          <w:b/>
          <w:bCs/>
          <w:color w:val="auto"/>
          <w:lang w:eastAsia="zh-CN"/>
        </w:rPr>
      </w:pPr>
      <w:bookmarkStart w:id="3" w:name="r程序分析结果改进措施是否有效"/>
      <w:bookmarkEnd w:id="2"/>
      <w:r w:rsidRPr="00F72EAD">
        <w:rPr>
          <w:rFonts w:ascii="Times New Roman" w:eastAsia="SimSun" w:hAnsi="Times New Roman" w:cs="Times New Roman"/>
          <w:b/>
          <w:bCs/>
          <w:color w:val="auto"/>
          <w:lang w:eastAsia="zh-CN"/>
        </w:rPr>
        <w:t>四、</w:t>
      </w:r>
      <w:r w:rsidR="00000000" w:rsidRPr="00F72EAD">
        <w:rPr>
          <w:rFonts w:ascii="Times New Roman" w:eastAsia="SimSun" w:hAnsi="Times New Roman" w:cs="Times New Roman"/>
          <w:b/>
          <w:bCs/>
          <w:color w:val="auto"/>
          <w:lang w:eastAsia="zh-CN"/>
        </w:rPr>
        <w:t>R</w:t>
      </w:r>
      <w:r w:rsidR="00000000" w:rsidRPr="00F72EAD">
        <w:rPr>
          <w:rFonts w:ascii="Times New Roman" w:eastAsia="SimSun" w:hAnsi="Times New Roman" w:cs="Times New Roman"/>
          <w:b/>
          <w:bCs/>
          <w:color w:val="auto"/>
          <w:lang w:eastAsia="zh-CN"/>
        </w:rPr>
        <w:t>程序分析结果，改进措施是否有效</w:t>
      </w:r>
    </w:p>
    <w:p w14:paraId="4B7F12C7" w14:textId="0C67C17D" w:rsidR="00EC3716" w:rsidRPr="00F72EAD" w:rsidRDefault="00F72EAD">
      <w:pPr>
        <w:pStyle w:val="2"/>
        <w:rPr>
          <w:rFonts w:ascii="Times New Roman" w:eastAsia="SimSun" w:hAnsi="Times New Roman" w:cs="Times New Roman"/>
          <w:color w:val="auto"/>
          <w:lang w:eastAsia="zh-CN"/>
        </w:rPr>
      </w:pPr>
      <w:bookmarkStart w:id="4" w:name="数据完整性与缺失情况"/>
      <w:r w:rsidRPr="00F72EAD">
        <w:rPr>
          <w:rFonts w:ascii="Times New Roman" w:eastAsia="SimSun" w:hAnsi="Times New Roman" w:cs="Times New Roman"/>
          <w:color w:val="auto"/>
          <w:lang w:eastAsia="zh-CN"/>
        </w:rPr>
        <w:t xml:space="preserve">4.1 </w:t>
      </w:r>
      <w:r w:rsidR="00000000" w:rsidRPr="00F72EAD">
        <w:rPr>
          <w:rFonts w:ascii="Times New Roman" w:eastAsia="SimSun" w:hAnsi="Times New Roman" w:cs="Times New Roman"/>
          <w:color w:val="auto"/>
          <w:lang w:eastAsia="zh-CN"/>
        </w:rPr>
        <w:t>数据完整性与缺失情况</w:t>
      </w:r>
    </w:p>
    <w:tbl>
      <w:tblPr>
        <w:tblStyle w:val="Table"/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020" w:firstRow="1" w:lastRow="0" w:firstColumn="0" w:lastColumn="0" w:noHBand="0" w:noVBand="0"/>
      </w:tblPr>
      <w:tblGrid>
        <w:gridCol w:w="1296"/>
        <w:gridCol w:w="1363"/>
        <w:gridCol w:w="1617"/>
      </w:tblGrid>
      <w:tr w:rsidR="00EC3716" w:rsidRPr="00F72EAD" w14:paraId="44892B4C" w14:textId="77777777" w:rsidTr="00F72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auto"/>
              <w:bottom w:val="single" w:sz="2" w:space="0" w:color="auto"/>
            </w:tcBorders>
          </w:tcPr>
          <w:p w14:paraId="65003C6D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proofErr w:type="spellStart"/>
            <w:r w:rsidRPr="00F72EAD">
              <w:rPr>
                <w:rFonts w:ascii="Times New Roman" w:eastAsia="SimSun" w:hAnsi="Times New Roman" w:cs="Times New Roman"/>
              </w:rPr>
              <w:t>stock_code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bottom w:val="single" w:sz="2" w:space="0" w:color="auto"/>
            </w:tcBorders>
          </w:tcPr>
          <w:p w14:paraId="551AFD29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stock_name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2" w:space="0" w:color="auto"/>
            </w:tcBorders>
          </w:tcPr>
          <w:p w14:paraId="076EE663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missing_count</w:t>
            </w:r>
          </w:p>
        </w:tc>
      </w:tr>
      <w:tr w:rsidR="00EC3716" w:rsidRPr="00F72EAD" w14:paraId="57CDD9BC" w14:textId="77777777" w:rsidTr="00F72EAD">
        <w:trPr>
          <w:jc w:val="center"/>
        </w:trPr>
        <w:tc>
          <w:tcPr>
            <w:tcW w:w="0" w:type="auto"/>
            <w:tcBorders>
              <w:top w:val="single" w:sz="2" w:space="0" w:color="auto"/>
            </w:tcBorders>
          </w:tcPr>
          <w:p w14:paraId="5D4ED973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600930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34F8FEA0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华电新能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4F4CFE8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128</w:t>
            </w:r>
          </w:p>
        </w:tc>
      </w:tr>
      <w:tr w:rsidR="00EC3716" w:rsidRPr="00F72EAD" w14:paraId="417CBAEA" w14:textId="77777777" w:rsidTr="00F72EAD">
        <w:trPr>
          <w:jc w:val="center"/>
        </w:trPr>
        <w:tc>
          <w:tcPr>
            <w:tcW w:w="0" w:type="auto"/>
          </w:tcPr>
          <w:p w14:paraId="0F26E6D4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601088</w:t>
            </w:r>
          </w:p>
        </w:tc>
        <w:tc>
          <w:tcPr>
            <w:tcW w:w="0" w:type="auto"/>
          </w:tcPr>
          <w:p w14:paraId="62720B36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中国神华</w:t>
            </w:r>
          </w:p>
        </w:tc>
        <w:tc>
          <w:tcPr>
            <w:tcW w:w="0" w:type="auto"/>
          </w:tcPr>
          <w:p w14:paraId="4C24F94C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10</w:t>
            </w:r>
          </w:p>
        </w:tc>
      </w:tr>
      <w:tr w:rsidR="00EC3716" w:rsidRPr="00F72EAD" w14:paraId="7FCD5447" w14:textId="77777777" w:rsidTr="00F72EAD">
        <w:trPr>
          <w:jc w:val="center"/>
        </w:trPr>
        <w:tc>
          <w:tcPr>
            <w:tcW w:w="0" w:type="auto"/>
          </w:tcPr>
          <w:p w14:paraId="691B88D5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603019</w:t>
            </w:r>
          </w:p>
        </w:tc>
        <w:tc>
          <w:tcPr>
            <w:tcW w:w="0" w:type="auto"/>
          </w:tcPr>
          <w:p w14:paraId="605D4DCF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中科曙光</w:t>
            </w:r>
          </w:p>
        </w:tc>
        <w:tc>
          <w:tcPr>
            <w:tcW w:w="0" w:type="auto"/>
          </w:tcPr>
          <w:p w14:paraId="767EF6C1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10</w:t>
            </w:r>
          </w:p>
        </w:tc>
      </w:tr>
      <w:tr w:rsidR="00EC3716" w:rsidRPr="00F72EAD" w14:paraId="7A4AF6CB" w14:textId="77777777" w:rsidTr="00F72EAD">
        <w:trPr>
          <w:jc w:val="center"/>
        </w:trPr>
        <w:tc>
          <w:tcPr>
            <w:tcW w:w="0" w:type="auto"/>
          </w:tcPr>
          <w:p w14:paraId="032725E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688041</w:t>
            </w:r>
          </w:p>
        </w:tc>
        <w:tc>
          <w:tcPr>
            <w:tcW w:w="0" w:type="auto"/>
          </w:tcPr>
          <w:p w14:paraId="0FE5B702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海光信息</w:t>
            </w:r>
          </w:p>
        </w:tc>
        <w:tc>
          <w:tcPr>
            <w:tcW w:w="0" w:type="auto"/>
          </w:tcPr>
          <w:p w14:paraId="7AAA8205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10</w:t>
            </w:r>
          </w:p>
        </w:tc>
      </w:tr>
      <w:tr w:rsidR="00EC3716" w:rsidRPr="00F72EAD" w14:paraId="2E84ACCE" w14:textId="77777777" w:rsidTr="00F72EAD">
        <w:trPr>
          <w:jc w:val="center"/>
        </w:trPr>
        <w:tc>
          <w:tcPr>
            <w:tcW w:w="0" w:type="auto"/>
          </w:tcPr>
          <w:p w14:paraId="28EAC90D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688012</w:t>
            </w:r>
          </w:p>
        </w:tc>
        <w:tc>
          <w:tcPr>
            <w:tcW w:w="0" w:type="auto"/>
          </w:tcPr>
          <w:p w14:paraId="522FC293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中微公司</w:t>
            </w:r>
          </w:p>
        </w:tc>
        <w:tc>
          <w:tcPr>
            <w:tcW w:w="0" w:type="auto"/>
          </w:tcPr>
          <w:p w14:paraId="0D486CD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9</w:t>
            </w:r>
          </w:p>
        </w:tc>
      </w:tr>
      <w:tr w:rsidR="00EC3716" w:rsidRPr="00F72EAD" w14:paraId="045D606C" w14:textId="77777777" w:rsidTr="00F72EAD">
        <w:trPr>
          <w:jc w:val="center"/>
        </w:trPr>
        <w:tc>
          <w:tcPr>
            <w:tcW w:w="0" w:type="auto"/>
          </w:tcPr>
          <w:p w14:paraId="32E62ADC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688981</w:t>
            </w:r>
          </w:p>
        </w:tc>
        <w:tc>
          <w:tcPr>
            <w:tcW w:w="0" w:type="auto"/>
          </w:tcPr>
          <w:p w14:paraId="43071376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中芯国际</w:t>
            </w:r>
          </w:p>
        </w:tc>
        <w:tc>
          <w:tcPr>
            <w:tcW w:w="0" w:type="auto"/>
          </w:tcPr>
          <w:p w14:paraId="0182720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6</w:t>
            </w:r>
          </w:p>
        </w:tc>
      </w:tr>
      <w:tr w:rsidR="00EC3716" w:rsidRPr="00F72EAD" w14:paraId="4BE2AB48" w14:textId="77777777" w:rsidTr="00F72EAD">
        <w:trPr>
          <w:jc w:val="center"/>
        </w:trPr>
        <w:tc>
          <w:tcPr>
            <w:tcW w:w="0" w:type="auto"/>
          </w:tcPr>
          <w:p w14:paraId="0D48B59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600150</w:t>
            </w:r>
          </w:p>
        </w:tc>
        <w:tc>
          <w:tcPr>
            <w:tcW w:w="0" w:type="auto"/>
          </w:tcPr>
          <w:p w14:paraId="396B93EB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中国船舶</w:t>
            </w:r>
          </w:p>
        </w:tc>
        <w:tc>
          <w:tcPr>
            <w:tcW w:w="0" w:type="auto"/>
          </w:tcPr>
          <w:p w14:paraId="6F167711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4</w:t>
            </w:r>
          </w:p>
        </w:tc>
      </w:tr>
      <w:tr w:rsidR="00EC3716" w:rsidRPr="00F72EAD" w14:paraId="51B5A097" w14:textId="77777777" w:rsidTr="00F72EAD">
        <w:trPr>
          <w:jc w:val="center"/>
        </w:trPr>
        <w:tc>
          <w:tcPr>
            <w:tcW w:w="0" w:type="auto"/>
          </w:tcPr>
          <w:p w14:paraId="51D1B66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601211</w:t>
            </w:r>
          </w:p>
        </w:tc>
        <w:tc>
          <w:tcPr>
            <w:tcW w:w="0" w:type="auto"/>
          </w:tcPr>
          <w:p w14:paraId="754F9808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国泰海通</w:t>
            </w:r>
          </w:p>
        </w:tc>
        <w:tc>
          <w:tcPr>
            <w:tcW w:w="0" w:type="auto"/>
          </w:tcPr>
          <w:p w14:paraId="09886C76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</w:t>
            </w:r>
          </w:p>
        </w:tc>
      </w:tr>
    </w:tbl>
    <w:p w14:paraId="3FDEA3C3" w14:textId="1D3F8231" w:rsidR="00EC3716" w:rsidRPr="00F72EAD" w:rsidRDefault="00F72EAD">
      <w:pPr>
        <w:pStyle w:val="2"/>
        <w:rPr>
          <w:rFonts w:ascii="Times New Roman" w:eastAsia="SimSun" w:hAnsi="Times New Roman" w:cs="Times New Roman"/>
          <w:color w:val="auto"/>
        </w:rPr>
      </w:pPr>
      <w:bookmarkStart w:id="5" w:name="ols-基线模型诊断"/>
      <w:bookmarkEnd w:id="4"/>
      <w:r w:rsidRPr="00F72EAD">
        <w:rPr>
          <w:rFonts w:ascii="Times New Roman" w:eastAsia="SimSun" w:hAnsi="Times New Roman" w:cs="Times New Roman"/>
          <w:color w:val="auto"/>
          <w:lang w:eastAsia="zh-CN"/>
        </w:rPr>
        <w:t xml:space="preserve">4.2 </w:t>
      </w:r>
      <w:r w:rsidR="00000000" w:rsidRPr="00F72EAD">
        <w:rPr>
          <w:rFonts w:ascii="Times New Roman" w:eastAsia="SimSun" w:hAnsi="Times New Roman" w:cs="Times New Roman"/>
          <w:color w:val="auto"/>
        </w:rPr>
        <w:t xml:space="preserve">OLS </w:t>
      </w:r>
      <w:proofErr w:type="spellStart"/>
      <w:r w:rsidR="00000000" w:rsidRPr="00F72EAD">
        <w:rPr>
          <w:rFonts w:ascii="Times New Roman" w:eastAsia="SimSun" w:hAnsi="Times New Roman" w:cs="Times New Roman"/>
          <w:color w:val="auto"/>
        </w:rPr>
        <w:t>基线模型诊断</w:t>
      </w:r>
      <w:proofErr w:type="spellEnd"/>
    </w:p>
    <w:p w14:paraId="5B3D40B0" w14:textId="77777777" w:rsidR="00EC3716" w:rsidRPr="00F72EAD" w:rsidRDefault="00000000">
      <w:pPr>
        <w:pStyle w:val="FirstParagraph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从整体回归诊断看，模型的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SimSun" w:hAnsi="Cambria Math" w:cs="Times New Roman"/>
              </w:rPr>
            </m:ctrlPr>
          </m:sSupPr>
          <m:e>
            <m:r>
              <w:rPr>
                <w:rFonts w:ascii="Cambria Math" w:eastAsia="SimSun" w:hAnsi="Cambria Math" w:cs="Times New Roman"/>
                <w:lang w:eastAsia="zh-CN"/>
              </w:rPr>
              <m:t>R</m:t>
            </m:r>
          </m:e>
          <m:sup>
            <m:r>
              <w:rPr>
                <w:rFonts w:ascii="Cambria Math" w:eastAsia="SimSun" w:hAnsi="Cambria Math" w:cs="Times New Roman"/>
                <w:lang w:eastAsia="zh-CN"/>
              </w:rPr>
              <m:t>2</m:t>
            </m:r>
          </m:sup>
        </m:sSup>
      </m:oMath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为</w:t>
      </w:r>
      <w:r w:rsidRPr="00F72EAD">
        <w:rPr>
          <w:rFonts w:ascii="Times New Roman" w:eastAsia="SimSun" w:hAnsi="Times New Roman" w:cs="Times New Roman"/>
          <w:lang w:eastAsia="zh-CN"/>
        </w:rPr>
        <w:t xml:space="preserve"> 0.9728</w:t>
      </w:r>
      <w:r w:rsidRPr="00F72EAD">
        <w:rPr>
          <w:rFonts w:ascii="Times New Roman" w:eastAsia="SimSun" w:hAnsi="Times New Roman" w:cs="Times New Roman"/>
          <w:lang w:eastAsia="zh-CN"/>
        </w:rPr>
        <w:t>，调整后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m:oMath>
        <m:sSup>
          <m:sSupPr>
            <m:ctrlPr>
              <w:rPr>
                <w:rFonts w:ascii="Cambria Math" w:eastAsia="SimSun" w:hAnsi="Cambria Math" w:cs="Times New Roman"/>
              </w:rPr>
            </m:ctrlPr>
          </m:sSupPr>
          <m:e>
            <m:r>
              <w:rPr>
                <w:rFonts w:ascii="Cambria Math" w:eastAsia="SimSun" w:hAnsi="Cambria Math" w:cs="Times New Roman"/>
                <w:lang w:eastAsia="zh-CN"/>
              </w:rPr>
              <m:t>R</m:t>
            </m:r>
          </m:e>
          <m:sup>
            <m:r>
              <w:rPr>
                <w:rFonts w:ascii="Cambria Math" w:eastAsia="SimSun" w:hAnsi="Cambria Math" w:cs="Times New Roman"/>
                <w:lang w:eastAsia="zh-CN"/>
              </w:rPr>
              <m:t>2</m:t>
            </m:r>
          </m:sup>
        </m:sSup>
      </m:oMath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为</w:t>
      </w:r>
      <w:r w:rsidRPr="00F72EAD">
        <w:rPr>
          <w:rFonts w:ascii="Times New Roman" w:eastAsia="SimSun" w:hAnsi="Times New Roman" w:cs="Times New Roman"/>
          <w:lang w:eastAsia="zh-CN"/>
        </w:rPr>
        <w:t xml:space="preserve"> 0.9681</w:t>
      </w:r>
      <w:r w:rsidRPr="00F72EAD">
        <w:rPr>
          <w:rFonts w:ascii="Times New Roman" w:eastAsia="SimSun" w:hAnsi="Times New Roman" w:cs="Times New Roman"/>
          <w:lang w:eastAsia="zh-CN"/>
        </w:rPr>
        <w:t>。</w:t>
      </w:r>
      <w:r w:rsidRPr="00F72EAD">
        <w:rPr>
          <w:rFonts w:ascii="Times New Roman" w:eastAsia="SimSun" w:hAnsi="Times New Roman" w:cs="Times New Roman"/>
          <w:lang w:eastAsia="zh-CN"/>
        </w:rPr>
        <w:t xml:space="preserve"> F </w:t>
      </w:r>
      <w:r w:rsidRPr="00F72EAD">
        <w:rPr>
          <w:rFonts w:ascii="Times New Roman" w:eastAsia="SimSun" w:hAnsi="Times New Roman" w:cs="Times New Roman"/>
          <w:lang w:eastAsia="zh-CN"/>
        </w:rPr>
        <w:t>统计量为</w:t>
      </w:r>
      <w:r w:rsidRPr="00F72EAD">
        <w:rPr>
          <w:rFonts w:ascii="Times New Roman" w:eastAsia="SimSun" w:hAnsi="Times New Roman" w:cs="Times New Roman"/>
          <w:lang w:eastAsia="zh-CN"/>
        </w:rPr>
        <w:t xml:space="preserve"> 208.59</w:t>
      </w:r>
      <w:r w:rsidRPr="00F72EAD">
        <w:rPr>
          <w:rFonts w:ascii="Times New Roman" w:eastAsia="SimSun" w:hAnsi="Times New Roman" w:cs="Times New Roman"/>
          <w:lang w:eastAsia="zh-CN"/>
        </w:rPr>
        <w:t>，对应</w:t>
      </w:r>
      <w:r w:rsidRPr="00F72EAD">
        <w:rPr>
          <w:rFonts w:ascii="Times New Roman" w:eastAsia="SimSun" w:hAnsi="Times New Roman" w:cs="Times New Roman"/>
          <w:lang w:eastAsia="zh-CN"/>
        </w:rPr>
        <w:t xml:space="preserve"> p </w:t>
      </w:r>
      <w:r w:rsidRPr="00F72EAD">
        <w:rPr>
          <w:rFonts w:ascii="Times New Roman" w:eastAsia="SimSun" w:hAnsi="Times New Roman" w:cs="Times New Roman"/>
          <w:lang w:eastAsia="zh-CN"/>
        </w:rPr>
        <w:t>值为</w:t>
      </w:r>
      <w:r w:rsidRPr="00F72EAD">
        <w:rPr>
          <w:rFonts w:ascii="Times New Roman" w:eastAsia="SimSun" w:hAnsi="Times New Roman" w:cs="Times New Roman"/>
          <w:lang w:eastAsia="zh-CN"/>
        </w:rPr>
        <w:t xml:space="preserve"> 1.23e-168</w:t>
      </w:r>
      <w:r w:rsidRPr="00F72EAD">
        <w:rPr>
          <w:rFonts w:ascii="Times New Roman" w:eastAsia="SimSun" w:hAnsi="Times New Roman" w:cs="Times New Roman"/>
          <w:lang w:eastAsia="zh-CN"/>
        </w:rPr>
        <w:t>，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说明稳定成分股收益率对指数收益率仍具有很强的整体解释力，问题不在于模型完全失效，而在于高波动阶段的方差放大和影响点。</w:t>
      </w:r>
    </w:p>
    <w:p w14:paraId="57E77967" w14:textId="77777777" w:rsidR="00EC3716" w:rsidRPr="00F72EAD" w:rsidRDefault="00000000">
      <w:pPr>
        <w:pStyle w:val="a0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lastRenderedPageBreak/>
        <w:t>进一步看三类诊断检验：残差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正态性没有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明显问题，</w:t>
      </w:r>
      <w:r w:rsidRPr="00F72EAD">
        <w:rPr>
          <w:rFonts w:ascii="Times New Roman" w:eastAsia="SimSun" w:hAnsi="Times New Roman" w:cs="Times New Roman"/>
          <w:lang w:eastAsia="zh-CN"/>
        </w:rPr>
        <w:t xml:space="preserve">Durbin-Watson </w:t>
      </w:r>
      <w:r w:rsidRPr="00F72EAD">
        <w:rPr>
          <w:rFonts w:ascii="Times New Roman" w:eastAsia="SimSun" w:hAnsi="Times New Roman" w:cs="Times New Roman"/>
          <w:lang w:eastAsia="zh-CN"/>
        </w:rPr>
        <w:t>检验也未发现显著自相关，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但</w:t>
      </w:r>
      <w:r w:rsidRPr="00F72EAD">
        <w:rPr>
          <w:rFonts w:ascii="Times New Roman" w:eastAsia="SimSun" w:hAnsi="Times New Roman" w:cs="Times New Roman"/>
          <w:lang w:eastAsia="zh-CN"/>
        </w:rPr>
        <w:t xml:space="preserve"> Breusch-Pagan </w:t>
      </w:r>
      <w:r w:rsidRPr="00F72EAD">
        <w:rPr>
          <w:rFonts w:ascii="Times New Roman" w:eastAsia="SimSun" w:hAnsi="Times New Roman" w:cs="Times New Roman"/>
          <w:lang w:eastAsia="zh-CN"/>
        </w:rPr>
        <w:t>检验提示存在异方差。因此当前模型最需要解释的是</w:t>
      </w:r>
      <w:r w:rsidRPr="00F72EAD">
        <w:rPr>
          <w:rFonts w:ascii="Times New Roman" w:eastAsia="SimSun" w:hAnsi="Times New Roman" w:cs="Times New Roman"/>
          <w:lang w:eastAsia="zh-CN"/>
        </w:rPr>
        <w:t>“</w:t>
      </w:r>
      <w:r w:rsidRPr="00F72EAD">
        <w:rPr>
          <w:rFonts w:ascii="Times New Roman" w:eastAsia="SimSun" w:hAnsi="Times New Roman" w:cs="Times New Roman"/>
          <w:lang w:eastAsia="zh-CN"/>
        </w:rPr>
        <w:t>哪些交易日显著改变了回归关系</w:t>
      </w:r>
      <w:r w:rsidRPr="00F72EAD">
        <w:rPr>
          <w:rFonts w:ascii="Times New Roman" w:eastAsia="SimSun" w:hAnsi="Times New Roman" w:cs="Times New Roman"/>
          <w:lang w:eastAsia="zh-CN"/>
        </w:rPr>
        <w:t>”</w:t>
      </w:r>
      <w:r w:rsidRPr="00F72EAD">
        <w:rPr>
          <w:rFonts w:ascii="Times New Roman" w:eastAsia="SimSun" w:hAnsi="Times New Roman" w:cs="Times New Roman"/>
          <w:lang w:eastAsia="zh-CN"/>
        </w:rPr>
        <w:t>，而不是再去做差分或修正序列相关。</w:t>
      </w:r>
    </w:p>
    <w:p w14:paraId="6629399C" w14:textId="77777777" w:rsidR="00EC3716" w:rsidRPr="00F72EAD" w:rsidRDefault="00000000">
      <w:pPr>
        <w:pStyle w:val="a0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本文用以下经验阈值综合筛选异常观测：</w:t>
      </w:r>
    </w:p>
    <w:p w14:paraId="569403AA" w14:textId="68A25689" w:rsidR="00EC3716" w:rsidRPr="00F72EAD" w:rsidRDefault="00000000">
      <w:pPr>
        <w:pStyle w:val="a0"/>
        <w:rPr>
          <w:rFonts w:ascii="Times New Roman" w:eastAsia="SimSu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SimSun" w:hAnsi="Cambria Math" w:cs="Times New Roman"/>
            </w:rPr>
            <m:t>|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t</m:t>
              </m:r>
            </m:e>
            <m:sub>
              <m:r>
                <w:rPr>
                  <w:rFonts w:ascii="Cambria Math" w:eastAsia="SimSun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|&gt;</m:t>
          </m:r>
          <m:r>
            <w:rPr>
              <w:rFonts w:ascii="Cambria Math" w:eastAsia="SimSun" w:hAnsi="Cambria Math" w:cs="Times New Roman"/>
            </w:rPr>
            <m:t>2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,</m:t>
          </m:r>
          <m:r>
            <w:rPr>
              <w:rFonts w:ascii="Cambria Math" w:eastAsia="SimSun" w:hAnsi="Cambria Math" w:cs="Times New Roman"/>
            </w:rPr>
            <m:t> 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h</m:t>
              </m:r>
            </m:e>
            <m:sub>
              <m:r>
                <w:rPr>
                  <w:rFonts w:ascii="Cambria Math" w:eastAsia="SimSun" w:hAnsi="Cambria Math" w:cs="Times New Roman"/>
                </w:rPr>
                <m:t>ii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&gt;</m:t>
          </m:r>
          <m:f>
            <m:fPr>
              <m:ctrlPr>
                <w:rPr>
                  <w:rFonts w:ascii="Cambria Math" w:eastAsia="SimSun" w:hAnsi="Cambria Math" w:cs="Times New Roman"/>
                </w:rPr>
              </m:ctrlPr>
            </m:fPr>
            <m:num>
              <m:r>
                <w:rPr>
                  <w:rFonts w:ascii="Cambria Math" w:eastAsia="SimSun" w:hAnsi="Cambria Math" w:cs="Times New Roman"/>
                </w:rPr>
                <m:t>2p</m:t>
              </m:r>
            </m:num>
            <m:den>
              <m:r>
                <w:rPr>
                  <w:rFonts w:ascii="Cambria Math" w:eastAsia="SimSun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SimSun" w:hAnsi="Cambria Math" w:cs="Times New Roman"/>
            </w:rPr>
            <m:t>,</m:t>
          </m:r>
          <m:r>
            <w:rPr>
              <w:rFonts w:ascii="Cambria Math" w:eastAsia="SimSun" w:hAnsi="Cambria Math" w:cs="Times New Roman"/>
            </w:rPr>
            <m:t> 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w:rPr>
                  <w:rFonts w:ascii="Cambria Math" w:eastAsia="SimSun" w:hAnsi="Cambria Math" w:cs="Times New Roman"/>
                </w:rPr>
                <m:t>D</m:t>
              </m:r>
            </m:e>
            <m:sub>
              <m:r>
                <w:rPr>
                  <w:rFonts w:ascii="Cambria Math" w:eastAsia="SimSun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&gt;</m:t>
          </m:r>
          <m:f>
            <m:fPr>
              <m:ctrlPr>
                <w:rPr>
                  <w:rFonts w:ascii="Cambria Math" w:eastAsia="SimSun" w:hAnsi="Cambria Math" w:cs="Times New Roman"/>
                </w:rPr>
              </m:ctrlPr>
            </m:fPr>
            <m:num>
              <m:r>
                <w:rPr>
                  <w:rFonts w:ascii="Cambria Math" w:eastAsia="SimSun" w:hAnsi="Cambria Math" w:cs="Times New Roman"/>
                </w:rPr>
                <m:t>4</m:t>
              </m:r>
            </m:num>
            <m:den>
              <m:r>
                <w:rPr>
                  <w:rFonts w:ascii="Cambria Math" w:eastAsia="SimSun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-</m:t>
              </m:r>
              <m:r>
                <w:rPr>
                  <w:rFonts w:ascii="Cambria Math" w:eastAsia="SimSun" w:hAnsi="Cambria Math" w:cs="Times New Roman"/>
                </w:rPr>
                <m:t>p</m:t>
              </m:r>
            </m:den>
          </m:f>
          <m:r>
            <m:rPr>
              <m:sty m:val="p"/>
            </m:rPr>
            <w:rPr>
              <w:rFonts w:ascii="Cambria Math" w:eastAsia="SimSun" w:hAnsi="Cambria Math" w:cs="Times New Roman"/>
            </w:rPr>
            <m:t>,</m:t>
          </m:r>
          <m:r>
            <w:rPr>
              <w:rFonts w:ascii="Cambria Math" w:eastAsia="SimSun" w:hAnsi="Cambria Math" w:cs="Times New Roman"/>
            </w:rPr>
            <m:t> </m:t>
          </m:r>
          <m:r>
            <m:rPr>
              <m:sty m:val="p"/>
            </m:rPr>
            <w:rPr>
              <w:rFonts w:ascii="Cambria Math" w:eastAsia="SimSun" w:hAnsi="Cambria Math" w:cs="Times New Roman"/>
            </w:rPr>
            <m:t>|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DFFITS</m:t>
              </m:r>
            </m:e>
            <m:sub>
              <m:r>
                <w:rPr>
                  <w:rFonts w:ascii="Cambria Math" w:eastAsia="SimSun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|&gt;</m:t>
          </m:r>
          <m:r>
            <w:rPr>
              <w:rFonts w:ascii="Cambria Math" w:eastAsia="SimSun" w:hAnsi="Cambria Math" w:cs="Times New Roman"/>
            </w:rPr>
            <m:t>2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SimSun" w:hAnsi="Cambria Math" w:cs="Times New Roman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</w:rPr>
                    <m:t>p</m:t>
                  </m:r>
                </m:num>
                <m:den>
                  <m:r>
                    <w:rPr>
                      <w:rFonts w:ascii="Cambria Math" w:eastAsia="SimSun" w:hAnsi="Cambria Math" w:cs="Times New Roman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="SimSun" w:hAnsi="Cambria Math" w:cs="Times New Roman"/>
            </w:rPr>
            <m:t>,</m:t>
          </m:r>
          <m:r>
            <w:rPr>
              <w:rFonts w:ascii="Cambria Math" w:eastAsia="SimSun" w:hAnsi="Cambria Math" w:cs="Times New Roman"/>
            </w:rPr>
            <m:t> </m:t>
          </m:r>
          <m:limLow>
            <m:limLowPr>
              <m:ctrlPr>
                <w:rPr>
                  <w:rFonts w:ascii="Cambria Math" w:eastAsia="SimSun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max</m:t>
              </m:r>
            </m:e>
            <m:lim>
              <m:r>
                <w:rPr>
                  <w:rFonts w:ascii="Cambria Math" w:eastAsia="SimSun" w:hAnsi="Cambria Math" w:cs="Times New Roman"/>
                </w:rPr>
                <m:t>j</m:t>
              </m:r>
            </m:lim>
          </m:limLow>
          <m:r>
            <m:rPr>
              <m:sty m:val="p"/>
            </m:rPr>
            <w:rPr>
              <w:rFonts w:ascii="Cambria Math" w:eastAsia="SimSun" w:hAnsi="Cambria Math" w:cs="Times New Roman"/>
            </w:rPr>
            <m:t>|</m:t>
          </m:r>
          <m:sSub>
            <m:sSubPr>
              <m:ctrlPr>
                <w:rPr>
                  <w:rFonts w:ascii="Cambria Math" w:eastAsia="SimSu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SimSun" w:hAnsi="Cambria Math" w:cs="Times New Roman"/>
                </w:rPr>
                <m:t>DFBETAS</m:t>
              </m:r>
            </m:e>
            <m:sub>
              <m:r>
                <w:rPr>
                  <w:rFonts w:ascii="Cambria Math" w:eastAsia="SimSun" w:hAnsi="Cambria Math" w:cs="Times New Roman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SimSun" w:hAnsi="Cambria Math" w:cs="Times New Roman"/>
            </w:rPr>
            <m:t>|&gt;</m:t>
          </m:r>
          <m:f>
            <m:fPr>
              <m:ctrlPr>
                <w:rPr>
                  <w:rFonts w:ascii="Cambria Math" w:eastAsia="SimSun" w:hAnsi="Cambria Math" w:cs="Times New Roman"/>
                </w:rPr>
              </m:ctrlPr>
            </m:fPr>
            <m:num>
              <m:r>
                <w:rPr>
                  <w:rFonts w:ascii="Cambria Math" w:eastAsia="SimSun" w:hAnsi="Cambria Math" w:cs="Times New Roman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n</m:t>
                  </m:r>
                </m:e>
              </m:rad>
            </m:den>
          </m:f>
        </m:oMath>
      </m:oMathPara>
    </w:p>
    <w:tbl>
      <w:tblPr>
        <w:tblStyle w:val="Table"/>
        <w:tblW w:w="0" w:type="auto"/>
        <w:tblBorders>
          <w:top w:val="single" w:sz="12" w:space="0" w:color="auto"/>
          <w:bottom w:val="single" w:sz="12" w:space="0" w:color="auto"/>
        </w:tblBorders>
        <w:tblLook w:val="0020" w:firstRow="1" w:lastRow="0" w:firstColumn="0" w:lastColumn="0" w:noHBand="0" w:noVBand="0"/>
      </w:tblPr>
      <w:tblGrid>
        <w:gridCol w:w="3251"/>
        <w:gridCol w:w="996"/>
        <w:gridCol w:w="976"/>
        <w:gridCol w:w="2616"/>
      </w:tblGrid>
      <w:tr w:rsidR="00EC3716" w:rsidRPr="00F72EAD" w14:paraId="49B3331D" w14:textId="77777777" w:rsidTr="00F72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075D837A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test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29899652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statistic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1E5887B5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p_value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4" w:space="0" w:color="auto"/>
            </w:tcBorders>
          </w:tcPr>
          <w:p w14:paraId="455ADBE8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interpretation</w:t>
            </w:r>
          </w:p>
        </w:tc>
      </w:tr>
      <w:tr w:rsidR="00EC3716" w:rsidRPr="00F72EAD" w14:paraId="45ACD11C" w14:textId="77777777" w:rsidTr="00F72EAD">
        <w:tc>
          <w:tcPr>
            <w:tcW w:w="0" w:type="auto"/>
            <w:tcBorders>
              <w:top w:val="single" w:sz="4" w:space="0" w:color="auto"/>
            </w:tcBorders>
          </w:tcPr>
          <w:p w14:paraId="7ABCC596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Shapiro-Wilk</w:t>
            </w:r>
            <w:r w:rsidRPr="00F72EAD">
              <w:rPr>
                <w:rFonts w:ascii="Times New Roman" w:eastAsia="SimSun" w:hAnsi="Times New Roman" w:cs="Times New Roman"/>
              </w:rPr>
              <w:t>残差正态性检验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6F4F47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0.9939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536580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0.3043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9CB66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  <w:lang w:eastAsia="zh-CN"/>
              </w:rPr>
            </w:pPr>
            <w:r w:rsidRPr="00F72EAD">
              <w:rPr>
                <w:rFonts w:ascii="Times New Roman" w:eastAsia="SimSun" w:hAnsi="Times New Roman" w:cs="Times New Roman"/>
                <w:lang w:eastAsia="zh-CN"/>
              </w:rPr>
              <w:t>残差近似服从正态分布</w:t>
            </w:r>
          </w:p>
        </w:tc>
      </w:tr>
      <w:tr w:rsidR="00EC3716" w:rsidRPr="00F72EAD" w14:paraId="2978B6F8" w14:textId="77777777" w:rsidTr="00F72EAD">
        <w:tc>
          <w:tcPr>
            <w:tcW w:w="0" w:type="auto"/>
          </w:tcPr>
          <w:p w14:paraId="11DEFCD6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Breusch-</w:t>
            </w:r>
            <w:proofErr w:type="spellStart"/>
            <w:r w:rsidRPr="00F72EAD">
              <w:rPr>
                <w:rFonts w:ascii="Times New Roman" w:eastAsia="SimSun" w:hAnsi="Times New Roman" w:cs="Times New Roman"/>
              </w:rPr>
              <w:t>Pagan</w:t>
            </w:r>
            <w:r w:rsidRPr="00F72EAD">
              <w:rPr>
                <w:rFonts w:ascii="Times New Roman" w:eastAsia="SimSun" w:hAnsi="Times New Roman" w:cs="Times New Roman"/>
              </w:rPr>
              <w:t>异方差检验</w:t>
            </w:r>
            <w:proofErr w:type="spellEnd"/>
          </w:p>
        </w:tc>
        <w:tc>
          <w:tcPr>
            <w:tcW w:w="0" w:type="auto"/>
          </w:tcPr>
          <w:p w14:paraId="3296532B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59.1582</w:t>
            </w:r>
          </w:p>
        </w:tc>
        <w:tc>
          <w:tcPr>
            <w:tcW w:w="0" w:type="auto"/>
          </w:tcPr>
          <w:p w14:paraId="4C015FA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0.0413</w:t>
            </w:r>
          </w:p>
        </w:tc>
        <w:tc>
          <w:tcPr>
            <w:tcW w:w="0" w:type="auto"/>
          </w:tcPr>
          <w:p w14:paraId="6BBF6AFF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存在异方差证据</w:t>
            </w:r>
          </w:p>
        </w:tc>
      </w:tr>
      <w:tr w:rsidR="00EC3716" w:rsidRPr="00F72EAD" w14:paraId="1E441E21" w14:textId="77777777" w:rsidTr="00F72EAD">
        <w:tc>
          <w:tcPr>
            <w:tcW w:w="0" w:type="auto"/>
          </w:tcPr>
          <w:p w14:paraId="1710052A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Durbin-Watson</w:t>
            </w:r>
            <w:r w:rsidRPr="00F72EAD">
              <w:rPr>
                <w:rFonts w:ascii="Times New Roman" w:eastAsia="SimSun" w:hAnsi="Times New Roman" w:cs="Times New Roman"/>
              </w:rPr>
              <w:t>自相关检验</w:t>
            </w:r>
          </w:p>
        </w:tc>
        <w:tc>
          <w:tcPr>
            <w:tcW w:w="0" w:type="auto"/>
          </w:tcPr>
          <w:p w14:paraId="5CA2D12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2.0428</w:t>
            </w:r>
          </w:p>
        </w:tc>
        <w:tc>
          <w:tcPr>
            <w:tcW w:w="0" w:type="auto"/>
          </w:tcPr>
          <w:p w14:paraId="6D3ECE82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0.6462</w:t>
            </w:r>
          </w:p>
        </w:tc>
        <w:tc>
          <w:tcPr>
            <w:tcW w:w="0" w:type="auto"/>
          </w:tcPr>
          <w:p w14:paraId="1D854F69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未发现显著自相关</w:t>
            </w:r>
          </w:p>
        </w:tc>
      </w:tr>
    </w:tbl>
    <w:p w14:paraId="36448732" w14:textId="23D4CAC3" w:rsidR="00EC3716" w:rsidRPr="00F72EAD" w:rsidRDefault="00F72EAD">
      <w:pPr>
        <w:pStyle w:val="2"/>
        <w:rPr>
          <w:rFonts w:ascii="Times New Roman" w:eastAsia="SimSun" w:hAnsi="Times New Roman" w:cs="Times New Roman"/>
          <w:color w:val="auto"/>
        </w:rPr>
      </w:pPr>
      <w:bookmarkStart w:id="6" w:name="异常点定位"/>
      <w:bookmarkEnd w:id="5"/>
      <w:r w:rsidRPr="00F72EAD">
        <w:rPr>
          <w:rFonts w:ascii="Times New Roman" w:eastAsia="SimSun" w:hAnsi="Times New Roman" w:cs="Times New Roman"/>
          <w:color w:val="auto"/>
          <w:lang w:eastAsia="zh-CN"/>
        </w:rPr>
        <w:t xml:space="preserve">4.3 </w:t>
      </w:r>
      <w:proofErr w:type="spellStart"/>
      <w:r w:rsidR="00000000" w:rsidRPr="00F72EAD">
        <w:rPr>
          <w:rFonts w:ascii="Times New Roman" w:eastAsia="SimSun" w:hAnsi="Times New Roman" w:cs="Times New Roman"/>
          <w:color w:val="auto"/>
        </w:rPr>
        <w:t>异常点定位</w:t>
      </w:r>
      <w:proofErr w:type="spellEnd"/>
    </w:p>
    <w:p w14:paraId="7E034D45" w14:textId="77777777" w:rsidR="00EC3716" w:rsidRPr="00F72EAD" w:rsidRDefault="00000000">
      <w:pPr>
        <w:pStyle w:val="FirstParagraph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从回归诊断角度看，</w:t>
      </w:r>
      <w:r w:rsidRPr="00F72EAD">
        <w:rPr>
          <w:rStyle w:val="VerbatimChar"/>
          <w:rFonts w:ascii="Times New Roman" w:eastAsia="SimSun" w:hAnsi="Times New Roman" w:cs="Times New Roman"/>
          <w:lang w:eastAsia="zh-CN"/>
        </w:rPr>
        <w:t>2025-04-07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与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Style w:val="VerbatimChar"/>
          <w:rFonts w:ascii="Times New Roman" w:eastAsia="SimSun" w:hAnsi="Times New Roman" w:cs="Times New Roman"/>
          <w:lang w:eastAsia="zh-CN"/>
        </w:rPr>
        <w:t>2025-04-08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同时具有较高学生化残差、杠杆值和</w:t>
      </w:r>
      <w:r w:rsidRPr="00F72EAD">
        <w:rPr>
          <w:rFonts w:ascii="Times New Roman" w:eastAsia="SimSun" w:hAnsi="Times New Roman" w:cs="Times New Roman"/>
          <w:lang w:eastAsia="zh-CN"/>
        </w:rPr>
        <w:t xml:space="preserve"> Cook </w:t>
      </w:r>
      <w:r w:rsidRPr="00F72EAD">
        <w:rPr>
          <w:rFonts w:ascii="Times New Roman" w:eastAsia="SimSun" w:hAnsi="Times New Roman" w:cs="Times New Roman"/>
          <w:lang w:eastAsia="zh-CN"/>
        </w:rPr>
        <w:t>距离，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说明它们不是普通的大涨大跌日，而是会实质影响系数估计的影响点。</w:t>
      </w:r>
      <w:r w:rsidRPr="00F72EAD">
        <w:rPr>
          <w:rStyle w:val="VerbatimChar"/>
          <w:rFonts w:ascii="Times New Roman" w:eastAsia="SimSun" w:hAnsi="Times New Roman" w:cs="Times New Roman"/>
          <w:lang w:eastAsia="zh-CN"/>
        </w:rPr>
        <w:t>2025-08-28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至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Style w:val="VerbatimChar"/>
          <w:rFonts w:ascii="Times New Roman" w:eastAsia="SimSun" w:hAnsi="Times New Roman" w:cs="Times New Roman"/>
          <w:lang w:eastAsia="zh-CN"/>
        </w:rPr>
        <w:t>2025-08-29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的连续异常，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则提示指数与成分股线性关系在该阶段出现了结构性偏离。</w:t>
      </w:r>
    </w:p>
    <w:p w14:paraId="5FB8548A" w14:textId="77777777" w:rsidR="00EC3716" w:rsidRPr="00F72EAD" w:rsidRDefault="00000000">
      <w:pPr>
        <w:pStyle w:val="a0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异常原因可以结合指数实际走势理解：</w:t>
      </w:r>
    </w:p>
    <w:p w14:paraId="3D90115E" w14:textId="77777777" w:rsidR="00EC3716" w:rsidRPr="00F72EAD" w:rsidRDefault="00000000">
      <w:pPr>
        <w:pStyle w:val="Compact"/>
        <w:numPr>
          <w:ilvl w:val="0"/>
          <w:numId w:val="4"/>
        </w:numPr>
        <w:rPr>
          <w:rFonts w:ascii="Times New Roman" w:eastAsia="SimSun" w:hAnsi="Times New Roman" w:cs="Times New Roman"/>
          <w:lang w:eastAsia="zh-CN"/>
        </w:rPr>
      </w:pPr>
      <w:r w:rsidRPr="00F72EAD">
        <w:rPr>
          <w:rStyle w:val="VerbatimChar"/>
          <w:rFonts w:ascii="Times New Roman" w:eastAsia="SimSun" w:hAnsi="Times New Roman" w:cs="Times New Roman"/>
          <w:lang w:eastAsia="zh-CN"/>
        </w:rPr>
        <w:t>2025-04-07</w:t>
      </w:r>
      <w:r w:rsidRPr="00F72EAD">
        <w:rPr>
          <w:rFonts w:ascii="Times New Roman" w:eastAsia="SimSun" w:hAnsi="Times New Roman" w:cs="Times New Roman"/>
          <w:lang w:eastAsia="zh-CN"/>
        </w:rPr>
        <w:t>：关税升级引发全球风险资产同步重估，市场从平稳联动切换到恐慌抛售状态，因此被识别为高影响异常点。</w:t>
      </w:r>
    </w:p>
    <w:p w14:paraId="5AF717D1" w14:textId="0586989C" w:rsidR="00EC3716" w:rsidRPr="00F72EAD" w:rsidRDefault="00000000">
      <w:pPr>
        <w:pStyle w:val="Compact"/>
        <w:numPr>
          <w:ilvl w:val="0"/>
          <w:numId w:val="4"/>
        </w:numPr>
        <w:rPr>
          <w:rFonts w:ascii="Times New Roman" w:eastAsia="SimSun" w:hAnsi="Times New Roman" w:cs="Times New Roman"/>
          <w:lang w:eastAsia="zh-CN"/>
        </w:rPr>
      </w:pPr>
      <w:r w:rsidRPr="00F72EAD">
        <w:rPr>
          <w:rStyle w:val="VerbatimChar"/>
          <w:rFonts w:ascii="Times New Roman" w:eastAsia="SimSun" w:hAnsi="Times New Roman" w:cs="Times New Roman"/>
          <w:lang w:eastAsia="zh-CN"/>
        </w:rPr>
        <w:t>2025-04-08</w:t>
      </w:r>
      <w:r w:rsidRPr="00F72EAD">
        <w:rPr>
          <w:rFonts w:ascii="Times New Roman" w:eastAsia="SimSun" w:hAnsi="Times New Roman" w:cs="Times New Roman"/>
          <w:lang w:eastAsia="zh-CN"/>
        </w:rPr>
        <w:t>：前一日大跌后出现政策性修复。中央汇金增持</w:t>
      </w:r>
      <w:r w:rsidRPr="00F72EAD">
        <w:rPr>
          <w:rFonts w:ascii="Times New Roman" w:eastAsia="SimSun" w:hAnsi="Times New Roman" w:cs="Times New Roman"/>
          <w:lang w:eastAsia="zh-CN"/>
        </w:rPr>
        <w:t xml:space="preserve"> ETF</w:t>
      </w:r>
      <w:r w:rsidRPr="00F72EAD">
        <w:rPr>
          <w:rFonts w:ascii="Times New Roman" w:eastAsia="SimSun" w:hAnsi="Times New Roman" w:cs="Times New Roman"/>
          <w:lang w:eastAsia="zh-CN"/>
        </w:rPr>
        <w:t>、中国人民银行表态支持，是这里的重要事件证据</w:t>
      </w:r>
      <w:r w:rsidR="00371E26">
        <w:rPr>
          <w:rFonts w:ascii="Times New Roman" w:eastAsia="SimSun" w:hAnsi="Times New Roman" w:cs="Times New Roman" w:hint="eastAsia"/>
          <w:lang w:eastAsia="zh-CN"/>
        </w:rPr>
        <w:t>，详见参考文献</w:t>
      </w:r>
      <w:r w:rsidR="00371E26" w:rsidRPr="00371E26">
        <w:rPr>
          <w:rFonts w:ascii="Times New Roman" w:eastAsia="SimSun" w:hAnsi="Times New Roman" w:cs="Times New Roman" w:hint="eastAsia"/>
          <w:sz w:val="28"/>
          <w:szCs w:val="28"/>
          <w:lang w:eastAsia="zh-CN"/>
        </w:rPr>
        <w:t>4</w:t>
      </w:r>
      <w:r w:rsidR="00371E26">
        <w:rPr>
          <w:rFonts w:ascii="Times New Roman" w:eastAsia="SimSun" w:hAnsi="Times New Roman" w:cs="Times New Roman" w:hint="eastAsia"/>
          <w:lang w:eastAsia="zh-CN"/>
        </w:rPr>
        <w:t>。</w:t>
      </w:r>
    </w:p>
    <w:p w14:paraId="54599081" w14:textId="21377A31" w:rsidR="00EC3716" w:rsidRPr="00F72EAD" w:rsidRDefault="00000000">
      <w:pPr>
        <w:pStyle w:val="Compact"/>
        <w:numPr>
          <w:ilvl w:val="0"/>
          <w:numId w:val="4"/>
        </w:numPr>
        <w:rPr>
          <w:rFonts w:ascii="Times New Roman" w:eastAsia="SimSun" w:hAnsi="Times New Roman" w:cs="Times New Roman"/>
          <w:lang w:eastAsia="zh-CN"/>
        </w:rPr>
      </w:pPr>
      <w:r w:rsidRPr="00F72EAD">
        <w:rPr>
          <w:rStyle w:val="VerbatimChar"/>
          <w:rFonts w:ascii="Times New Roman" w:eastAsia="SimSun" w:hAnsi="Times New Roman" w:cs="Times New Roman"/>
          <w:lang w:eastAsia="zh-CN"/>
        </w:rPr>
        <w:t>2025-08-29</w:t>
      </w:r>
      <w:r w:rsidRPr="00F72EAD">
        <w:rPr>
          <w:rFonts w:ascii="Times New Roman" w:eastAsia="SimSun" w:hAnsi="Times New Roman" w:cs="Times New Roman"/>
          <w:lang w:eastAsia="zh-CN"/>
        </w:rPr>
        <w:t>：</w:t>
      </w:r>
      <w:r w:rsidRPr="00F72EAD">
        <w:rPr>
          <w:rFonts w:ascii="Times New Roman" w:eastAsia="SimSun" w:hAnsi="Times New Roman" w:cs="Times New Roman"/>
          <w:lang w:eastAsia="zh-CN"/>
        </w:rPr>
        <w:t xml:space="preserve">8 </w:t>
      </w:r>
      <w:r w:rsidRPr="00F72EAD">
        <w:rPr>
          <w:rFonts w:ascii="Times New Roman" w:eastAsia="SimSun" w:hAnsi="Times New Roman" w:cs="Times New Roman"/>
          <w:lang w:eastAsia="zh-CN"/>
        </w:rPr>
        <w:t>月下旬</w:t>
      </w:r>
      <w:r w:rsidRPr="00F72EAD">
        <w:rPr>
          <w:rFonts w:ascii="Times New Roman" w:eastAsia="SimSun" w:hAnsi="Times New Roman" w:cs="Times New Roman"/>
          <w:lang w:eastAsia="zh-CN"/>
        </w:rPr>
        <w:t xml:space="preserve"> AI </w:t>
      </w:r>
      <w:r w:rsidRPr="00F72EAD">
        <w:rPr>
          <w:rFonts w:ascii="Times New Roman" w:eastAsia="SimSun" w:hAnsi="Times New Roman" w:cs="Times New Roman"/>
          <w:lang w:eastAsia="zh-CN"/>
        </w:rPr>
        <w:t>与半导体行情强化，科技风格对指数的带动明显增强；而主模型为了保留全样本，只保留了</w:t>
      </w:r>
      <w:r w:rsidRPr="00F72EAD">
        <w:rPr>
          <w:rFonts w:ascii="Times New Roman" w:eastAsia="SimSun" w:hAnsi="Times New Roman" w:cs="Times New Roman"/>
          <w:lang w:eastAsia="zh-CN"/>
        </w:rPr>
        <w:t xml:space="preserve"> 42 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只稳定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成分股，未纳入部分后续调整进指数、且更偏科技风格的成分股，因此这一阶段更容易出现结构性残差</w:t>
      </w:r>
      <w:r w:rsidR="00446F7F">
        <w:rPr>
          <w:rFonts w:ascii="Times New Roman" w:eastAsia="SimSun" w:hAnsi="Times New Roman" w:cs="Times New Roman" w:hint="eastAsia"/>
          <w:lang w:eastAsia="zh-CN"/>
        </w:rPr>
        <w:t>，</w:t>
      </w:r>
      <w:r w:rsidR="00446F7F">
        <w:rPr>
          <w:rFonts w:ascii="Times New Roman" w:eastAsia="SimSun" w:hAnsi="Times New Roman" w:cs="Times New Roman" w:hint="eastAsia"/>
          <w:lang w:eastAsia="zh-CN"/>
        </w:rPr>
        <w:t>详见参考文献</w:t>
      </w:r>
      <w:r w:rsidR="00446F7F">
        <w:rPr>
          <w:rFonts w:ascii="Times New Roman" w:eastAsia="SimSun" w:hAnsi="Times New Roman" w:cs="Times New Roman" w:hint="eastAsia"/>
          <w:sz w:val="28"/>
          <w:szCs w:val="28"/>
          <w:lang w:eastAsia="zh-CN"/>
        </w:rPr>
        <w:t>5</w:t>
      </w:r>
      <w:r w:rsidR="00446F7F">
        <w:rPr>
          <w:rFonts w:ascii="Times New Roman" w:eastAsia="SimSun" w:hAnsi="Times New Roman" w:cs="Times New Roman" w:hint="eastAsia"/>
          <w:lang w:eastAsia="zh-CN"/>
        </w:rPr>
        <w:t>。</w:t>
      </w:r>
    </w:p>
    <w:p w14:paraId="0B098E11" w14:textId="77777777" w:rsidR="00EC3716" w:rsidRPr="00F72EAD" w:rsidRDefault="00000000">
      <w:pPr>
        <w:pStyle w:val="FirstParagraph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因此，报告中的异常点不是数据录入错误，而是外部冲击、政策修复和成分调整口径共同作用下的统计投影。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992"/>
        <w:gridCol w:w="993"/>
        <w:gridCol w:w="992"/>
        <w:gridCol w:w="992"/>
        <w:gridCol w:w="992"/>
        <w:gridCol w:w="1134"/>
        <w:gridCol w:w="1134"/>
        <w:gridCol w:w="810"/>
      </w:tblGrid>
      <w:tr w:rsidR="00C51A4C" w:rsidRPr="00F72EAD" w14:paraId="31CB64ED" w14:textId="77777777" w:rsidTr="00C51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  <w:tcBorders>
              <w:top w:val="single" w:sz="12" w:space="0" w:color="auto"/>
              <w:bottom w:val="single" w:sz="4" w:space="0" w:color="auto"/>
            </w:tcBorders>
          </w:tcPr>
          <w:p w14:paraId="089BD68E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date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</w:tcPr>
          <w:p w14:paraId="5D82B7C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index_ret_pct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</w:tcPr>
          <w:p w14:paraId="7AD18EAE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rstudent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</w:tcPr>
          <w:p w14:paraId="545BA24B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leverage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</w:tcPr>
          <w:p w14:paraId="5A6E057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cooks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</w:tcPr>
          <w:p w14:paraId="49D4877D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dffits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</w:tcPr>
          <w:p w14:paraId="795E976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max_abs_dfbeta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</w:tcPr>
          <w:p w14:paraId="3CE3582F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robust_weight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4" w:space="0" w:color="auto"/>
            </w:tcBorders>
          </w:tcPr>
          <w:p w14:paraId="78BAD006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flag_count</w:t>
            </w:r>
          </w:p>
        </w:tc>
      </w:tr>
      <w:tr w:rsidR="00C51A4C" w:rsidRPr="00F72EAD" w14:paraId="4AE7DF71" w14:textId="77777777" w:rsidTr="00C51A4C">
        <w:tc>
          <w:tcPr>
            <w:tcW w:w="817" w:type="dxa"/>
            <w:tcBorders>
              <w:top w:val="single" w:sz="4" w:space="0" w:color="auto"/>
            </w:tcBorders>
          </w:tcPr>
          <w:p w14:paraId="62EB9D8E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2025-04-07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408390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-5.46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4A80F00D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2.5896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F85FE22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0.4450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2734F44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0.1222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CB4D9A3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2.3188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10E3EAC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0.5670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A871B15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0.9476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0C26E33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5</w:t>
            </w:r>
          </w:p>
        </w:tc>
      </w:tr>
      <w:tr w:rsidR="00C51A4C" w:rsidRPr="00F72EAD" w14:paraId="0245E98C" w14:textId="77777777" w:rsidTr="00C51A4C">
        <w:tc>
          <w:tcPr>
            <w:tcW w:w="817" w:type="dxa"/>
            <w:tcBorders>
              <w:bottom w:val="single" w:sz="4" w:space="0" w:color="auto"/>
            </w:tcBorders>
          </w:tcPr>
          <w:p w14:paraId="3C73D4CF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2026-01-29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2B7CC1C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1.65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01E2FE1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-2.0698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11F9F2F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0.3017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52A9CBF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0.0425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ECC40F2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-1.3606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CE483F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0.6136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5A784E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0.8951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6A27A9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5</w:t>
            </w:r>
          </w:p>
        </w:tc>
      </w:tr>
      <w:tr w:rsidR="00C51A4C" w:rsidRPr="00F72EAD" w14:paraId="14ACB396" w14:textId="77777777" w:rsidTr="00C51A4C">
        <w:tc>
          <w:tcPr>
            <w:tcW w:w="817" w:type="dxa"/>
            <w:tcBorders>
              <w:top w:val="single" w:sz="4" w:space="0" w:color="auto"/>
            </w:tcBorders>
          </w:tcPr>
          <w:p w14:paraId="4F1D488B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2025-04-08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174EE8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2.28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DF00024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2.0185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B426761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0.3969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D84C94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0.0616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A2AAF3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1.6374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290A593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0.4732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22CD503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1.0000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3CF4C16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5</w:t>
            </w:r>
          </w:p>
        </w:tc>
      </w:tr>
      <w:tr w:rsidR="00C51A4C" w:rsidRPr="00F72EAD" w14:paraId="6898B03E" w14:textId="77777777" w:rsidTr="00C51A4C">
        <w:tc>
          <w:tcPr>
            <w:tcW w:w="817" w:type="dxa"/>
          </w:tcPr>
          <w:p w14:paraId="40723E2F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lastRenderedPageBreak/>
              <w:t>2026-01-21</w:t>
            </w:r>
          </w:p>
        </w:tc>
        <w:tc>
          <w:tcPr>
            <w:tcW w:w="992" w:type="dxa"/>
          </w:tcPr>
          <w:p w14:paraId="79C86FDB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-0.11</w:t>
            </w:r>
          </w:p>
        </w:tc>
        <w:tc>
          <w:tcPr>
            <w:tcW w:w="993" w:type="dxa"/>
          </w:tcPr>
          <w:p w14:paraId="19781C26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4.1565</w:t>
            </w:r>
          </w:p>
        </w:tc>
        <w:tc>
          <w:tcPr>
            <w:tcW w:w="992" w:type="dxa"/>
          </w:tcPr>
          <w:p w14:paraId="2FDC8D63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0.1448</w:t>
            </w:r>
          </w:p>
        </w:tc>
        <w:tc>
          <w:tcPr>
            <w:tcW w:w="992" w:type="dxa"/>
          </w:tcPr>
          <w:p w14:paraId="3B28CF8E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0.0638</w:t>
            </w:r>
          </w:p>
        </w:tc>
        <w:tc>
          <w:tcPr>
            <w:tcW w:w="992" w:type="dxa"/>
          </w:tcPr>
          <w:p w14:paraId="27AF441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1.7105</w:t>
            </w:r>
          </w:p>
        </w:tc>
        <w:tc>
          <w:tcPr>
            <w:tcW w:w="1134" w:type="dxa"/>
          </w:tcPr>
          <w:p w14:paraId="09D4077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0.9108</w:t>
            </w:r>
          </w:p>
        </w:tc>
        <w:tc>
          <w:tcPr>
            <w:tcW w:w="1134" w:type="dxa"/>
          </w:tcPr>
          <w:p w14:paraId="262F234B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0.3037</w:t>
            </w:r>
          </w:p>
        </w:tc>
        <w:tc>
          <w:tcPr>
            <w:tcW w:w="810" w:type="dxa"/>
          </w:tcPr>
          <w:p w14:paraId="7969BD86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4</w:t>
            </w:r>
          </w:p>
        </w:tc>
      </w:tr>
      <w:tr w:rsidR="00C51A4C" w:rsidRPr="00F72EAD" w14:paraId="5483B02F" w14:textId="77777777" w:rsidTr="00C51A4C">
        <w:tc>
          <w:tcPr>
            <w:tcW w:w="817" w:type="dxa"/>
          </w:tcPr>
          <w:p w14:paraId="44AE3063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2025-08-29</w:t>
            </w:r>
          </w:p>
        </w:tc>
        <w:tc>
          <w:tcPr>
            <w:tcW w:w="992" w:type="dxa"/>
          </w:tcPr>
          <w:p w14:paraId="69831516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0.53</w:t>
            </w:r>
          </w:p>
        </w:tc>
        <w:tc>
          <w:tcPr>
            <w:tcW w:w="993" w:type="dxa"/>
          </w:tcPr>
          <w:p w14:paraId="64CCE600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-3.3725</w:t>
            </w:r>
          </w:p>
        </w:tc>
        <w:tc>
          <w:tcPr>
            <w:tcW w:w="992" w:type="dxa"/>
          </w:tcPr>
          <w:p w14:paraId="23A07541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0.2324</w:t>
            </w:r>
          </w:p>
        </w:tc>
        <w:tc>
          <w:tcPr>
            <w:tcW w:w="992" w:type="dxa"/>
          </w:tcPr>
          <w:p w14:paraId="5DBEFDA0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0.0768</w:t>
            </w:r>
          </w:p>
        </w:tc>
        <w:tc>
          <w:tcPr>
            <w:tcW w:w="992" w:type="dxa"/>
          </w:tcPr>
          <w:p w14:paraId="0314DA1D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-1.8554</w:t>
            </w:r>
          </w:p>
        </w:tc>
        <w:tc>
          <w:tcPr>
            <w:tcW w:w="1134" w:type="dxa"/>
          </w:tcPr>
          <w:p w14:paraId="52004F1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0.5682</w:t>
            </w:r>
          </w:p>
        </w:tc>
        <w:tc>
          <w:tcPr>
            <w:tcW w:w="1134" w:type="dxa"/>
          </w:tcPr>
          <w:p w14:paraId="70E72D46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0.5182</w:t>
            </w:r>
          </w:p>
        </w:tc>
        <w:tc>
          <w:tcPr>
            <w:tcW w:w="810" w:type="dxa"/>
          </w:tcPr>
          <w:p w14:paraId="6FC0DA4D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4</w:t>
            </w:r>
          </w:p>
        </w:tc>
      </w:tr>
      <w:tr w:rsidR="00C51A4C" w:rsidRPr="00F72EAD" w14:paraId="10A56616" w14:textId="77777777" w:rsidTr="00C51A4C">
        <w:tc>
          <w:tcPr>
            <w:tcW w:w="817" w:type="dxa"/>
          </w:tcPr>
          <w:p w14:paraId="5B0AF0C9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2025-08-28</w:t>
            </w:r>
          </w:p>
        </w:tc>
        <w:tc>
          <w:tcPr>
            <w:tcW w:w="992" w:type="dxa"/>
          </w:tcPr>
          <w:p w14:paraId="4DC43692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1.45</w:t>
            </w:r>
          </w:p>
        </w:tc>
        <w:tc>
          <w:tcPr>
            <w:tcW w:w="993" w:type="dxa"/>
          </w:tcPr>
          <w:p w14:paraId="7B6E59EC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3.0943</w:t>
            </w:r>
          </w:p>
        </w:tc>
        <w:tc>
          <w:tcPr>
            <w:tcW w:w="992" w:type="dxa"/>
          </w:tcPr>
          <w:p w14:paraId="537CBF9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0.1542</w:t>
            </w:r>
          </w:p>
        </w:tc>
        <w:tc>
          <w:tcPr>
            <w:tcW w:w="992" w:type="dxa"/>
          </w:tcPr>
          <w:p w14:paraId="73CF3D00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0.0392</w:t>
            </w:r>
          </w:p>
        </w:tc>
        <w:tc>
          <w:tcPr>
            <w:tcW w:w="992" w:type="dxa"/>
          </w:tcPr>
          <w:p w14:paraId="706422D5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1.3214</w:t>
            </w:r>
          </w:p>
        </w:tc>
        <w:tc>
          <w:tcPr>
            <w:tcW w:w="1134" w:type="dxa"/>
          </w:tcPr>
          <w:p w14:paraId="4C992CB4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0.5835</w:t>
            </w:r>
          </w:p>
        </w:tc>
        <w:tc>
          <w:tcPr>
            <w:tcW w:w="1134" w:type="dxa"/>
          </w:tcPr>
          <w:p w14:paraId="2B54E1D0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0.5283</w:t>
            </w:r>
          </w:p>
        </w:tc>
        <w:tc>
          <w:tcPr>
            <w:tcW w:w="810" w:type="dxa"/>
          </w:tcPr>
          <w:p w14:paraId="7267BC0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4</w:t>
            </w:r>
          </w:p>
        </w:tc>
      </w:tr>
      <w:tr w:rsidR="00C51A4C" w:rsidRPr="00F72EAD" w14:paraId="43A9ADBF" w14:textId="77777777" w:rsidTr="00C51A4C">
        <w:tc>
          <w:tcPr>
            <w:tcW w:w="817" w:type="dxa"/>
          </w:tcPr>
          <w:p w14:paraId="344A121D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2026-02-02</w:t>
            </w:r>
          </w:p>
        </w:tc>
        <w:tc>
          <w:tcPr>
            <w:tcW w:w="992" w:type="dxa"/>
          </w:tcPr>
          <w:p w14:paraId="18A5BE40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-2.07</w:t>
            </w:r>
          </w:p>
        </w:tc>
        <w:tc>
          <w:tcPr>
            <w:tcW w:w="993" w:type="dxa"/>
          </w:tcPr>
          <w:p w14:paraId="29805D51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-2.6176</w:t>
            </w:r>
          </w:p>
        </w:tc>
        <w:tc>
          <w:tcPr>
            <w:tcW w:w="992" w:type="dxa"/>
          </w:tcPr>
          <w:p w14:paraId="3C88AB84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0.2676</w:t>
            </w:r>
          </w:p>
        </w:tc>
        <w:tc>
          <w:tcPr>
            <w:tcW w:w="992" w:type="dxa"/>
          </w:tcPr>
          <w:p w14:paraId="6228BE8B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0.0569</w:t>
            </w:r>
          </w:p>
        </w:tc>
        <w:tc>
          <w:tcPr>
            <w:tcW w:w="992" w:type="dxa"/>
          </w:tcPr>
          <w:p w14:paraId="5022C14C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-1.5822</w:t>
            </w:r>
          </w:p>
        </w:tc>
        <w:tc>
          <w:tcPr>
            <w:tcW w:w="1134" w:type="dxa"/>
          </w:tcPr>
          <w:p w14:paraId="605E628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0.4981</w:t>
            </w:r>
          </w:p>
        </w:tc>
        <w:tc>
          <w:tcPr>
            <w:tcW w:w="1134" w:type="dxa"/>
          </w:tcPr>
          <w:p w14:paraId="1FF7317C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0.7464</w:t>
            </w:r>
          </w:p>
        </w:tc>
        <w:tc>
          <w:tcPr>
            <w:tcW w:w="810" w:type="dxa"/>
          </w:tcPr>
          <w:p w14:paraId="6932245B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4</w:t>
            </w:r>
          </w:p>
        </w:tc>
      </w:tr>
      <w:tr w:rsidR="00C51A4C" w:rsidRPr="00F72EAD" w14:paraId="7882E69C" w14:textId="77777777" w:rsidTr="00C51A4C">
        <w:tc>
          <w:tcPr>
            <w:tcW w:w="817" w:type="dxa"/>
          </w:tcPr>
          <w:p w14:paraId="5F7B476F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2025-10-10</w:t>
            </w:r>
          </w:p>
        </w:tc>
        <w:tc>
          <w:tcPr>
            <w:tcW w:w="992" w:type="dxa"/>
          </w:tcPr>
          <w:p w14:paraId="17705F5E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-1.51</w:t>
            </w:r>
          </w:p>
        </w:tc>
        <w:tc>
          <w:tcPr>
            <w:tcW w:w="993" w:type="dxa"/>
          </w:tcPr>
          <w:p w14:paraId="4D075E2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-2.6131</w:t>
            </w:r>
          </w:p>
        </w:tc>
        <w:tc>
          <w:tcPr>
            <w:tcW w:w="992" w:type="dxa"/>
          </w:tcPr>
          <w:p w14:paraId="2EB4098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0.1813</w:t>
            </w:r>
          </w:p>
        </w:tc>
        <w:tc>
          <w:tcPr>
            <w:tcW w:w="992" w:type="dxa"/>
          </w:tcPr>
          <w:p w14:paraId="4BDEA0E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0.0344</w:t>
            </w:r>
          </w:p>
        </w:tc>
        <w:tc>
          <w:tcPr>
            <w:tcW w:w="992" w:type="dxa"/>
          </w:tcPr>
          <w:p w14:paraId="36D00A2C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-1.2298</w:t>
            </w:r>
          </w:p>
        </w:tc>
        <w:tc>
          <w:tcPr>
            <w:tcW w:w="1134" w:type="dxa"/>
          </w:tcPr>
          <w:p w14:paraId="662319A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0.4888</w:t>
            </w:r>
          </w:p>
        </w:tc>
        <w:tc>
          <w:tcPr>
            <w:tcW w:w="1134" w:type="dxa"/>
          </w:tcPr>
          <w:p w14:paraId="6B9C8D3C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0.6739</w:t>
            </w:r>
          </w:p>
        </w:tc>
        <w:tc>
          <w:tcPr>
            <w:tcW w:w="810" w:type="dxa"/>
          </w:tcPr>
          <w:p w14:paraId="6FE32803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4</w:t>
            </w:r>
          </w:p>
        </w:tc>
      </w:tr>
      <w:tr w:rsidR="00C51A4C" w:rsidRPr="00F72EAD" w14:paraId="6C959A60" w14:textId="77777777" w:rsidTr="00C51A4C">
        <w:tc>
          <w:tcPr>
            <w:tcW w:w="817" w:type="dxa"/>
          </w:tcPr>
          <w:p w14:paraId="50D5E1B0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2026-01-30</w:t>
            </w:r>
          </w:p>
        </w:tc>
        <w:tc>
          <w:tcPr>
            <w:tcW w:w="992" w:type="dxa"/>
          </w:tcPr>
          <w:p w14:paraId="383FEFE2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-1.43</w:t>
            </w:r>
          </w:p>
        </w:tc>
        <w:tc>
          <w:tcPr>
            <w:tcW w:w="993" w:type="dxa"/>
          </w:tcPr>
          <w:p w14:paraId="07E28DDE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-2.4939</w:t>
            </w:r>
          </w:p>
        </w:tc>
        <w:tc>
          <w:tcPr>
            <w:tcW w:w="992" w:type="dxa"/>
          </w:tcPr>
          <w:p w14:paraId="19692C2E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0.2909</w:t>
            </w:r>
          </w:p>
        </w:tc>
        <w:tc>
          <w:tcPr>
            <w:tcW w:w="992" w:type="dxa"/>
          </w:tcPr>
          <w:p w14:paraId="72D0B2D4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0.0581</w:t>
            </w:r>
          </w:p>
        </w:tc>
        <w:tc>
          <w:tcPr>
            <w:tcW w:w="992" w:type="dxa"/>
          </w:tcPr>
          <w:p w14:paraId="4B69723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-1.5973</w:t>
            </w:r>
          </w:p>
        </w:tc>
        <w:tc>
          <w:tcPr>
            <w:tcW w:w="1134" w:type="dxa"/>
          </w:tcPr>
          <w:p w14:paraId="274F83EB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0.9484</w:t>
            </w:r>
          </w:p>
        </w:tc>
        <w:tc>
          <w:tcPr>
            <w:tcW w:w="1134" w:type="dxa"/>
          </w:tcPr>
          <w:p w14:paraId="3084A35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0.9540</w:t>
            </w:r>
          </w:p>
        </w:tc>
        <w:tc>
          <w:tcPr>
            <w:tcW w:w="810" w:type="dxa"/>
          </w:tcPr>
          <w:p w14:paraId="6B7B19B1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4</w:t>
            </w:r>
          </w:p>
        </w:tc>
      </w:tr>
      <w:tr w:rsidR="00C51A4C" w:rsidRPr="00F72EAD" w14:paraId="43DA84A8" w14:textId="77777777" w:rsidTr="00C51A4C">
        <w:tc>
          <w:tcPr>
            <w:tcW w:w="817" w:type="dxa"/>
            <w:tcBorders>
              <w:bottom w:val="single" w:sz="12" w:space="0" w:color="auto"/>
            </w:tcBorders>
          </w:tcPr>
          <w:p w14:paraId="4250577A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2025-12-22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1F38ADE0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0.53</w:t>
            </w:r>
          </w:p>
        </w:tc>
        <w:tc>
          <w:tcPr>
            <w:tcW w:w="993" w:type="dxa"/>
            <w:tcBorders>
              <w:bottom w:val="single" w:sz="12" w:space="0" w:color="auto"/>
            </w:tcBorders>
          </w:tcPr>
          <w:p w14:paraId="5C7339F3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2.1739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4B82F55F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0.1728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7A0C0C0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0.0226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3B369CE5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0.9937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392DDF20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0.7185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2FD5919D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0.7838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2F3FF65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4</w:t>
            </w:r>
          </w:p>
        </w:tc>
      </w:tr>
    </w:tbl>
    <w:p w14:paraId="311FF015" w14:textId="77777777" w:rsidR="00EC3716" w:rsidRPr="00F72EAD" w:rsidRDefault="00000000">
      <w:pPr>
        <w:pStyle w:val="a0"/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  <w:noProof/>
        </w:rPr>
        <w:drawing>
          <wp:inline distT="0" distB="0" distL="0" distR="0" wp14:anchorId="6E230670" wp14:editId="50BAD6AC">
            <wp:extent cx="5334000" cy="2560319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../output/figures/index_returns_with_anomalie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4A214F" w14:textId="77777777" w:rsidR="00EC3716" w:rsidRPr="00F72EAD" w:rsidRDefault="00000000">
      <w:pPr>
        <w:pStyle w:val="a0"/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  <w:noProof/>
        </w:rPr>
        <w:lastRenderedPageBreak/>
        <w:drawing>
          <wp:inline distT="0" distB="0" distL="0" distR="0" wp14:anchorId="2ACA5230" wp14:editId="2EBFBCC7">
            <wp:extent cx="5334000" cy="33020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../output/figures/residual_leverage_diagnostic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EC98B6" w14:textId="77777777" w:rsidR="00EC3716" w:rsidRPr="00F72EAD" w:rsidRDefault="00000000">
      <w:pPr>
        <w:pStyle w:val="a0"/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  <w:noProof/>
        </w:rPr>
        <w:drawing>
          <wp:inline distT="0" distB="0" distL="0" distR="0" wp14:anchorId="0CB9E0C2" wp14:editId="51F02A5F">
            <wp:extent cx="5334000" cy="4473677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../output/figures/qq_plot_studentized_residual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AB3CC2" w14:textId="6A0C5362" w:rsidR="00EC3716" w:rsidRPr="00F72EAD" w:rsidRDefault="00F72EAD">
      <w:pPr>
        <w:pStyle w:val="2"/>
        <w:rPr>
          <w:rFonts w:ascii="Times New Roman" w:eastAsia="SimSun" w:hAnsi="Times New Roman" w:cs="Times New Roman"/>
          <w:color w:val="auto"/>
        </w:rPr>
      </w:pPr>
      <w:bookmarkStart w:id="7" w:name="模型比较"/>
      <w:bookmarkEnd w:id="6"/>
      <w:r w:rsidRPr="00F72EAD">
        <w:rPr>
          <w:rFonts w:ascii="Times New Roman" w:eastAsia="SimSun" w:hAnsi="Times New Roman" w:cs="Times New Roman"/>
          <w:color w:val="auto"/>
          <w:lang w:eastAsia="zh-CN"/>
        </w:rPr>
        <w:lastRenderedPageBreak/>
        <w:t xml:space="preserve">4.4 </w:t>
      </w:r>
      <w:proofErr w:type="spellStart"/>
      <w:r w:rsidR="00000000" w:rsidRPr="00F72EAD">
        <w:rPr>
          <w:rFonts w:ascii="Times New Roman" w:eastAsia="SimSun" w:hAnsi="Times New Roman" w:cs="Times New Roman"/>
          <w:color w:val="auto"/>
        </w:rPr>
        <w:t>模型比较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1"/>
        <w:gridCol w:w="1107"/>
        <w:gridCol w:w="1006"/>
        <w:gridCol w:w="1610"/>
        <w:gridCol w:w="1006"/>
        <w:gridCol w:w="1039"/>
        <w:gridCol w:w="1377"/>
      </w:tblGrid>
      <w:tr w:rsidR="00EC3716" w:rsidRPr="00F72EAD" w14:paraId="0576F4E6" w14:textId="77777777" w:rsidTr="00C51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1" w:type="dxa"/>
            <w:tcBorders>
              <w:top w:val="single" w:sz="12" w:space="0" w:color="auto"/>
              <w:bottom w:val="single" w:sz="2" w:space="0" w:color="auto"/>
            </w:tcBorders>
          </w:tcPr>
          <w:p w14:paraId="1246B2A0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method</w:t>
            </w:r>
          </w:p>
        </w:tc>
        <w:tc>
          <w:tcPr>
            <w:tcW w:w="1107" w:type="dxa"/>
            <w:tcBorders>
              <w:top w:val="single" w:sz="12" w:space="0" w:color="auto"/>
              <w:bottom w:val="single" w:sz="2" w:space="0" w:color="auto"/>
            </w:tcBorders>
          </w:tcPr>
          <w:p w14:paraId="3D3F56ED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proofErr w:type="spellStart"/>
            <w:r w:rsidRPr="00F72EAD">
              <w:rPr>
                <w:rFonts w:ascii="Times New Roman" w:eastAsia="SimSun" w:hAnsi="Times New Roman" w:cs="Times New Roman"/>
              </w:rPr>
              <w:t>train_rmse</w:t>
            </w:r>
            <w:proofErr w:type="spellEnd"/>
          </w:p>
        </w:tc>
        <w:tc>
          <w:tcPr>
            <w:tcW w:w="1006" w:type="dxa"/>
            <w:tcBorders>
              <w:top w:val="single" w:sz="12" w:space="0" w:color="auto"/>
              <w:bottom w:val="single" w:sz="2" w:space="0" w:color="auto"/>
            </w:tcBorders>
          </w:tcPr>
          <w:p w14:paraId="41F6A1C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proofErr w:type="spellStart"/>
            <w:r w:rsidRPr="00F72EAD">
              <w:rPr>
                <w:rFonts w:ascii="Times New Roman" w:eastAsia="SimSun" w:hAnsi="Times New Roman" w:cs="Times New Roman"/>
              </w:rPr>
              <w:t>train_mae</w:t>
            </w:r>
            <w:proofErr w:type="spellEnd"/>
          </w:p>
        </w:tc>
        <w:tc>
          <w:tcPr>
            <w:tcW w:w="1610" w:type="dxa"/>
            <w:tcBorders>
              <w:top w:val="single" w:sz="12" w:space="0" w:color="auto"/>
              <w:bottom w:val="single" w:sz="2" w:space="0" w:color="auto"/>
            </w:tcBorders>
          </w:tcPr>
          <w:p w14:paraId="2DA94DC6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proofErr w:type="spellStart"/>
            <w:r w:rsidRPr="00F72EAD">
              <w:rPr>
                <w:rFonts w:ascii="Times New Roman" w:eastAsia="SimSun" w:hAnsi="Times New Roman" w:cs="Times New Roman"/>
              </w:rPr>
              <w:t>train_median_ae</w:t>
            </w:r>
            <w:proofErr w:type="spellEnd"/>
          </w:p>
        </w:tc>
        <w:tc>
          <w:tcPr>
            <w:tcW w:w="1006" w:type="dxa"/>
            <w:tcBorders>
              <w:top w:val="single" w:sz="12" w:space="0" w:color="auto"/>
              <w:bottom w:val="single" w:sz="2" w:space="0" w:color="auto"/>
            </w:tcBorders>
          </w:tcPr>
          <w:p w14:paraId="53196FC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proofErr w:type="spellStart"/>
            <w:r w:rsidRPr="00F72EAD">
              <w:rPr>
                <w:rFonts w:ascii="Times New Roman" w:eastAsia="SimSun" w:hAnsi="Times New Roman" w:cs="Times New Roman"/>
              </w:rPr>
              <w:t>test_rmse</w:t>
            </w:r>
            <w:proofErr w:type="spellEnd"/>
          </w:p>
        </w:tc>
        <w:tc>
          <w:tcPr>
            <w:tcW w:w="1039" w:type="dxa"/>
            <w:tcBorders>
              <w:top w:val="single" w:sz="12" w:space="0" w:color="auto"/>
              <w:bottom w:val="single" w:sz="2" w:space="0" w:color="auto"/>
            </w:tcBorders>
          </w:tcPr>
          <w:p w14:paraId="11E2371B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proofErr w:type="spellStart"/>
            <w:r w:rsidRPr="00F72EAD">
              <w:rPr>
                <w:rFonts w:ascii="Times New Roman" w:eastAsia="SimSun" w:hAnsi="Times New Roman" w:cs="Times New Roman"/>
              </w:rPr>
              <w:t>test_mae</w:t>
            </w:r>
            <w:proofErr w:type="spellEnd"/>
          </w:p>
        </w:tc>
        <w:tc>
          <w:tcPr>
            <w:tcW w:w="1377" w:type="dxa"/>
            <w:tcBorders>
              <w:top w:val="single" w:sz="12" w:space="0" w:color="auto"/>
              <w:bottom w:val="single" w:sz="2" w:space="0" w:color="auto"/>
            </w:tcBorders>
          </w:tcPr>
          <w:p w14:paraId="2E68CC6B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proofErr w:type="spellStart"/>
            <w:r w:rsidRPr="00F72EAD">
              <w:rPr>
                <w:rFonts w:ascii="Times New Roman" w:eastAsia="SimSun" w:hAnsi="Times New Roman" w:cs="Times New Roman"/>
              </w:rPr>
              <w:t>test_median_ae</w:t>
            </w:r>
            <w:proofErr w:type="spellEnd"/>
          </w:p>
        </w:tc>
      </w:tr>
      <w:tr w:rsidR="00EC3716" w:rsidRPr="00F72EAD" w14:paraId="6486ED5E" w14:textId="77777777" w:rsidTr="00C51A4C">
        <w:tc>
          <w:tcPr>
            <w:tcW w:w="1711" w:type="dxa"/>
            <w:tcBorders>
              <w:top w:val="single" w:sz="2" w:space="0" w:color="auto"/>
            </w:tcBorders>
          </w:tcPr>
          <w:p w14:paraId="3F9DCEBB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OLS</w:t>
            </w:r>
          </w:p>
        </w:tc>
        <w:tc>
          <w:tcPr>
            <w:tcW w:w="1107" w:type="dxa"/>
            <w:tcBorders>
              <w:top w:val="single" w:sz="2" w:space="0" w:color="auto"/>
            </w:tcBorders>
          </w:tcPr>
          <w:p w14:paraId="2410B81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0.00123</w:t>
            </w:r>
          </w:p>
        </w:tc>
        <w:tc>
          <w:tcPr>
            <w:tcW w:w="1006" w:type="dxa"/>
            <w:tcBorders>
              <w:top w:val="single" w:sz="2" w:space="0" w:color="auto"/>
            </w:tcBorders>
          </w:tcPr>
          <w:p w14:paraId="30735A9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0.00093</w:t>
            </w:r>
          </w:p>
        </w:tc>
        <w:tc>
          <w:tcPr>
            <w:tcW w:w="1610" w:type="dxa"/>
            <w:tcBorders>
              <w:top w:val="single" w:sz="2" w:space="0" w:color="auto"/>
            </w:tcBorders>
          </w:tcPr>
          <w:p w14:paraId="546745F2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0.00077</w:t>
            </w:r>
          </w:p>
        </w:tc>
        <w:tc>
          <w:tcPr>
            <w:tcW w:w="1006" w:type="dxa"/>
            <w:tcBorders>
              <w:top w:val="single" w:sz="2" w:space="0" w:color="auto"/>
            </w:tcBorders>
          </w:tcPr>
          <w:p w14:paraId="18F32EC1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0.00228</w:t>
            </w:r>
          </w:p>
        </w:tc>
        <w:tc>
          <w:tcPr>
            <w:tcW w:w="1039" w:type="dxa"/>
            <w:tcBorders>
              <w:top w:val="single" w:sz="2" w:space="0" w:color="auto"/>
            </w:tcBorders>
          </w:tcPr>
          <w:p w14:paraId="445573C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0.00170</w:t>
            </w:r>
          </w:p>
        </w:tc>
        <w:tc>
          <w:tcPr>
            <w:tcW w:w="1377" w:type="dxa"/>
            <w:tcBorders>
              <w:top w:val="single" w:sz="2" w:space="0" w:color="auto"/>
            </w:tcBorders>
          </w:tcPr>
          <w:p w14:paraId="1D47BF6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0.00128</w:t>
            </w:r>
          </w:p>
        </w:tc>
      </w:tr>
      <w:tr w:rsidR="00EC3716" w:rsidRPr="00F72EAD" w14:paraId="5C6497FC" w14:textId="77777777" w:rsidTr="00C51A4C">
        <w:tc>
          <w:tcPr>
            <w:tcW w:w="1711" w:type="dxa"/>
          </w:tcPr>
          <w:p w14:paraId="274D2144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proofErr w:type="spellStart"/>
            <w:r w:rsidRPr="00F72EAD">
              <w:rPr>
                <w:rFonts w:ascii="Times New Roman" w:eastAsia="SimSun" w:hAnsi="Times New Roman" w:cs="Times New Roman"/>
              </w:rPr>
              <w:t>Hampel</w:t>
            </w:r>
            <w:r w:rsidRPr="00F72EAD">
              <w:rPr>
                <w:rFonts w:ascii="Times New Roman" w:eastAsia="SimSun" w:hAnsi="Times New Roman" w:cs="Times New Roman"/>
              </w:rPr>
              <w:t>稳健回归</w:t>
            </w:r>
            <w:proofErr w:type="spellEnd"/>
          </w:p>
        </w:tc>
        <w:tc>
          <w:tcPr>
            <w:tcW w:w="1107" w:type="dxa"/>
          </w:tcPr>
          <w:p w14:paraId="5501F9AE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0.00125</w:t>
            </w:r>
          </w:p>
        </w:tc>
        <w:tc>
          <w:tcPr>
            <w:tcW w:w="1006" w:type="dxa"/>
          </w:tcPr>
          <w:p w14:paraId="47D46918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0.00091</w:t>
            </w:r>
          </w:p>
        </w:tc>
        <w:tc>
          <w:tcPr>
            <w:tcW w:w="1610" w:type="dxa"/>
          </w:tcPr>
          <w:p w14:paraId="3AD0923D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0.00071</w:t>
            </w:r>
          </w:p>
        </w:tc>
        <w:tc>
          <w:tcPr>
            <w:tcW w:w="1006" w:type="dxa"/>
          </w:tcPr>
          <w:p w14:paraId="6E8703CD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0.00230</w:t>
            </w:r>
          </w:p>
        </w:tc>
        <w:tc>
          <w:tcPr>
            <w:tcW w:w="1039" w:type="dxa"/>
          </w:tcPr>
          <w:p w14:paraId="4CA9C0E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0.00172</w:t>
            </w:r>
          </w:p>
        </w:tc>
        <w:tc>
          <w:tcPr>
            <w:tcW w:w="1377" w:type="dxa"/>
          </w:tcPr>
          <w:p w14:paraId="275AAB26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0.00127</w:t>
            </w:r>
          </w:p>
        </w:tc>
      </w:tr>
      <w:tr w:rsidR="00EC3716" w:rsidRPr="00F72EAD" w14:paraId="1F43F21C" w14:textId="77777777" w:rsidTr="00C51A4C">
        <w:tc>
          <w:tcPr>
            <w:tcW w:w="1711" w:type="dxa"/>
          </w:tcPr>
          <w:p w14:paraId="1A278DD1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Huber</w:t>
            </w:r>
            <w:r w:rsidRPr="00F72EAD">
              <w:rPr>
                <w:rFonts w:ascii="Times New Roman" w:eastAsia="SimSun" w:hAnsi="Times New Roman" w:cs="Times New Roman"/>
              </w:rPr>
              <w:t>稳健回归</w:t>
            </w:r>
          </w:p>
        </w:tc>
        <w:tc>
          <w:tcPr>
            <w:tcW w:w="1107" w:type="dxa"/>
          </w:tcPr>
          <w:p w14:paraId="7A785AA5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0.00125</w:t>
            </w:r>
          </w:p>
        </w:tc>
        <w:tc>
          <w:tcPr>
            <w:tcW w:w="1006" w:type="dxa"/>
          </w:tcPr>
          <w:p w14:paraId="763A7655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0.00090</w:t>
            </w:r>
          </w:p>
        </w:tc>
        <w:tc>
          <w:tcPr>
            <w:tcW w:w="1610" w:type="dxa"/>
          </w:tcPr>
          <w:p w14:paraId="3BDA879A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0.00070</w:t>
            </w:r>
          </w:p>
        </w:tc>
        <w:tc>
          <w:tcPr>
            <w:tcW w:w="1006" w:type="dxa"/>
          </w:tcPr>
          <w:p w14:paraId="4990E800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0.00235</w:t>
            </w:r>
          </w:p>
        </w:tc>
        <w:tc>
          <w:tcPr>
            <w:tcW w:w="1039" w:type="dxa"/>
          </w:tcPr>
          <w:p w14:paraId="572125A9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0.00174</w:t>
            </w:r>
          </w:p>
        </w:tc>
        <w:tc>
          <w:tcPr>
            <w:tcW w:w="1377" w:type="dxa"/>
          </w:tcPr>
          <w:p w14:paraId="2DAEA02F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0.00123</w:t>
            </w:r>
          </w:p>
        </w:tc>
      </w:tr>
      <w:tr w:rsidR="00EC3716" w:rsidRPr="00F72EAD" w14:paraId="243BFC56" w14:textId="77777777" w:rsidTr="00C51A4C">
        <w:tc>
          <w:tcPr>
            <w:tcW w:w="1711" w:type="dxa"/>
            <w:tcBorders>
              <w:bottom w:val="single" w:sz="12" w:space="0" w:color="auto"/>
            </w:tcBorders>
          </w:tcPr>
          <w:p w14:paraId="0CABD725" w14:textId="77777777" w:rsidR="00EC3716" w:rsidRPr="00F72EAD" w:rsidRDefault="00000000">
            <w:pPr>
              <w:pStyle w:val="Compac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Bisquare</w:t>
            </w:r>
            <w:r w:rsidRPr="00F72EAD">
              <w:rPr>
                <w:rFonts w:ascii="Times New Roman" w:eastAsia="SimSun" w:hAnsi="Times New Roman" w:cs="Times New Roman"/>
              </w:rPr>
              <w:t>稳健回归</w:t>
            </w:r>
          </w:p>
        </w:tc>
        <w:tc>
          <w:tcPr>
            <w:tcW w:w="1107" w:type="dxa"/>
            <w:tcBorders>
              <w:bottom w:val="single" w:sz="12" w:space="0" w:color="auto"/>
            </w:tcBorders>
          </w:tcPr>
          <w:p w14:paraId="3769580B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0.00134</w:t>
            </w:r>
          </w:p>
        </w:tc>
        <w:tc>
          <w:tcPr>
            <w:tcW w:w="1006" w:type="dxa"/>
            <w:tcBorders>
              <w:bottom w:val="single" w:sz="12" w:space="0" w:color="auto"/>
            </w:tcBorders>
          </w:tcPr>
          <w:p w14:paraId="5F638146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0.00090</w:t>
            </w:r>
          </w:p>
        </w:tc>
        <w:tc>
          <w:tcPr>
            <w:tcW w:w="1610" w:type="dxa"/>
            <w:tcBorders>
              <w:bottom w:val="single" w:sz="12" w:space="0" w:color="auto"/>
            </w:tcBorders>
          </w:tcPr>
          <w:p w14:paraId="07634E1F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0.00068</w:t>
            </w:r>
          </w:p>
        </w:tc>
        <w:tc>
          <w:tcPr>
            <w:tcW w:w="1006" w:type="dxa"/>
            <w:tcBorders>
              <w:bottom w:val="single" w:sz="12" w:space="0" w:color="auto"/>
            </w:tcBorders>
          </w:tcPr>
          <w:p w14:paraId="07B8C020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0.00243</w:t>
            </w:r>
          </w:p>
        </w:tc>
        <w:tc>
          <w:tcPr>
            <w:tcW w:w="1039" w:type="dxa"/>
            <w:tcBorders>
              <w:bottom w:val="single" w:sz="12" w:space="0" w:color="auto"/>
            </w:tcBorders>
          </w:tcPr>
          <w:p w14:paraId="55AF3C54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0.00181</w:t>
            </w:r>
          </w:p>
        </w:tc>
        <w:tc>
          <w:tcPr>
            <w:tcW w:w="1377" w:type="dxa"/>
            <w:tcBorders>
              <w:bottom w:val="single" w:sz="12" w:space="0" w:color="auto"/>
            </w:tcBorders>
          </w:tcPr>
          <w:p w14:paraId="3EAA3EE7" w14:textId="77777777" w:rsidR="00EC3716" w:rsidRPr="00F72EAD" w:rsidRDefault="00000000">
            <w:pPr>
              <w:pStyle w:val="Compact"/>
              <w:jc w:val="right"/>
              <w:rPr>
                <w:rFonts w:ascii="Times New Roman" w:eastAsia="SimSun" w:hAnsi="Times New Roman" w:cs="Times New Roman"/>
              </w:rPr>
            </w:pPr>
            <w:r w:rsidRPr="00F72EAD">
              <w:rPr>
                <w:rFonts w:ascii="Times New Roman" w:eastAsia="SimSun" w:hAnsi="Times New Roman" w:cs="Times New Roman"/>
              </w:rPr>
              <w:t>0.00136</w:t>
            </w:r>
          </w:p>
        </w:tc>
      </w:tr>
    </w:tbl>
    <w:p w14:paraId="2C4C2F9B" w14:textId="77777777" w:rsidR="00EC3716" w:rsidRPr="00F72EAD" w:rsidRDefault="00000000">
      <w:pPr>
        <w:pStyle w:val="a0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若最优模型不是</w:t>
      </w:r>
      <w:r w:rsidRPr="00F72EAD">
        <w:rPr>
          <w:rFonts w:ascii="Times New Roman" w:eastAsia="SimSun" w:hAnsi="Times New Roman" w:cs="Times New Roman"/>
          <w:lang w:eastAsia="zh-CN"/>
        </w:rPr>
        <w:t xml:space="preserve"> OLS</w:t>
      </w:r>
      <w:r w:rsidRPr="00F72EAD">
        <w:rPr>
          <w:rFonts w:ascii="Times New Roman" w:eastAsia="SimSun" w:hAnsi="Times New Roman" w:cs="Times New Roman"/>
          <w:lang w:eastAsia="zh-CN"/>
        </w:rPr>
        <w:t>，则说明稳健权重对异常观测的下调改善了样本外表现；若最优模型仍为</w:t>
      </w:r>
      <w:r w:rsidRPr="00F72EAD">
        <w:rPr>
          <w:rFonts w:ascii="Times New Roman" w:eastAsia="SimSun" w:hAnsi="Times New Roman" w:cs="Times New Roman"/>
          <w:lang w:eastAsia="zh-CN"/>
        </w:rPr>
        <w:t xml:space="preserve"> OLS</w:t>
      </w:r>
      <w:r w:rsidRPr="00F72EAD">
        <w:rPr>
          <w:rFonts w:ascii="Times New Roman" w:eastAsia="SimSun" w:hAnsi="Times New Roman" w:cs="Times New Roman"/>
          <w:lang w:eastAsia="zh-CN"/>
        </w:rPr>
        <w:t>，则说明本次改进更多体现在诊断解释而非总体预测误差改善。</w:t>
      </w:r>
    </w:p>
    <w:p w14:paraId="5870A24B" w14:textId="609052A0" w:rsidR="00F72EAD" w:rsidRPr="00F72EAD" w:rsidRDefault="00F72EAD">
      <w:pPr>
        <w:pStyle w:val="a0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显然，我们可以看出最优模型并非</w:t>
      </w:r>
      <w:r w:rsidRPr="00F72EAD">
        <w:rPr>
          <w:rFonts w:ascii="Times New Roman" w:eastAsia="SimSun" w:hAnsi="Times New Roman" w:cs="Times New Roman"/>
          <w:lang w:eastAsia="zh-CN"/>
        </w:rPr>
        <w:t>OLS</w:t>
      </w:r>
      <w:r w:rsidRPr="00F72EAD">
        <w:rPr>
          <w:rFonts w:ascii="Times New Roman" w:eastAsia="SimSun" w:hAnsi="Times New Roman" w:cs="Times New Roman"/>
          <w:lang w:eastAsia="zh-CN"/>
        </w:rPr>
        <w:t>，因此可以认为</w:t>
      </w:r>
      <w:r w:rsidRPr="00F72EAD">
        <w:rPr>
          <w:rFonts w:ascii="Times New Roman" w:eastAsia="SimSun" w:hAnsi="Times New Roman" w:cs="Times New Roman"/>
          <w:lang w:eastAsia="zh-CN"/>
        </w:rPr>
        <w:t>稳健权重对异常观测的下调改善了样本外表现</w:t>
      </w:r>
      <w:r w:rsidRPr="00F72EAD">
        <w:rPr>
          <w:rFonts w:ascii="Times New Roman" w:eastAsia="SimSun" w:hAnsi="Times New Roman" w:cs="Times New Roman"/>
          <w:lang w:eastAsia="zh-CN"/>
        </w:rPr>
        <w:t>。</w:t>
      </w:r>
    </w:p>
    <w:p w14:paraId="72B8DD98" w14:textId="290F46B9" w:rsidR="00F72EAD" w:rsidRPr="00F72EAD" w:rsidRDefault="00F72EAD">
      <w:pPr>
        <w:pStyle w:val="1"/>
        <w:rPr>
          <w:rFonts w:ascii="Times New Roman" w:eastAsia="SimSun" w:hAnsi="Times New Roman" w:cs="Times New Roman"/>
          <w:b/>
          <w:bCs/>
          <w:color w:val="auto"/>
          <w:lang w:eastAsia="zh-CN"/>
        </w:rPr>
      </w:pPr>
      <w:bookmarkStart w:id="8" w:name="结论和展望"/>
      <w:bookmarkEnd w:id="3"/>
      <w:bookmarkEnd w:id="7"/>
      <w:r w:rsidRPr="00F72EAD">
        <w:rPr>
          <w:rFonts w:ascii="Times New Roman" w:eastAsia="SimSun" w:hAnsi="Times New Roman" w:cs="Times New Roman"/>
          <w:b/>
          <w:bCs/>
          <w:color w:val="auto"/>
          <w:lang w:eastAsia="zh-CN"/>
        </w:rPr>
        <w:t>五、结论和展望</w:t>
      </w:r>
    </w:p>
    <w:p w14:paraId="3919FCA4" w14:textId="77777777" w:rsidR="00F72EAD" w:rsidRPr="00F72EAD" w:rsidRDefault="00F72EAD">
      <w:pPr>
        <w:pStyle w:val="FirstParagraph"/>
        <w:rPr>
          <w:rFonts w:ascii="Times New Roman" w:eastAsia="SimSun" w:hAnsi="Times New Roman" w:cs="Times New Roman"/>
          <w:lang w:eastAsia="zh-CN"/>
        </w:rPr>
      </w:pPr>
      <w:r w:rsidRPr="00F72EAD">
        <w:rPr>
          <w:rFonts w:ascii="Times New Roman" w:eastAsia="SimSun" w:hAnsi="Times New Roman" w:cs="Times New Roman"/>
          <w:lang w:eastAsia="zh-CN"/>
        </w:rPr>
        <w:t>收益率模型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较价格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模型更能揭示真实异常交易日。异常点主要集中在关税冲击、</w:t>
      </w:r>
      <w:proofErr w:type="gramStart"/>
      <w:r w:rsidRPr="00F72EAD">
        <w:rPr>
          <w:rFonts w:ascii="Times New Roman" w:eastAsia="SimSun" w:hAnsi="Times New Roman" w:cs="Times New Roman"/>
          <w:lang w:eastAsia="zh-CN"/>
        </w:rPr>
        <w:t>政策维稳反弹</w:t>
      </w:r>
      <w:proofErr w:type="gramEnd"/>
      <w:r w:rsidRPr="00F72EAD">
        <w:rPr>
          <w:rFonts w:ascii="Times New Roman" w:eastAsia="SimSun" w:hAnsi="Times New Roman" w:cs="Times New Roman"/>
          <w:lang w:eastAsia="zh-CN"/>
        </w:rPr>
        <w:t>以及</w:t>
      </w:r>
      <w:r w:rsidRPr="00F72EAD">
        <w:rPr>
          <w:rFonts w:ascii="Times New Roman" w:eastAsia="SimSun" w:hAnsi="Times New Roman" w:cs="Times New Roman"/>
          <w:lang w:eastAsia="zh-CN"/>
        </w:rPr>
        <w:t xml:space="preserve"> 8 </w:t>
      </w:r>
      <w:r w:rsidRPr="00F72EAD">
        <w:rPr>
          <w:rFonts w:ascii="Times New Roman" w:eastAsia="SimSun" w:hAnsi="Times New Roman" w:cs="Times New Roman"/>
          <w:lang w:eastAsia="zh-CN"/>
        </w:rPr>
        <w:t>月末</w:t>
      </w:r>
      <w:r w:rsidRPr="00F72EAD">
        <w:rPr>
          <w:rFonts w:ascii="Times New Roman" w:eastAsia="SimSun" w:hAnsi="Times New Roman" w:cs="Times New Roman"/>
          <w:lang w:eastAsia="zh-CN"/>
        </w:rPr>
        <w:t xml:space="preserve"> AI </w:t>
      </w:r>
      <w:r w:rsidRPr="00F72EAD">
        <w:rPr>
          <w:rFonts w:ascii="Times New Roman" w:eastAsia="SimSun" w:hAnsi="Times New Roman" w:cs="Times New Roman"/>
          <w:lang w:eastAsia="zh-CN"/>
        </w:rPr>
        <w:t>行情强化等市场事件附近，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说明回归中的异常观测并非简单噪声，而是宏观信息冲击和市场结构变化的统计投影。</w:t>
      </w:r>
      <w:r w:rsidRPr="00F72EAD">
        <w:rPr>
          <w:rFonts w:ascii="Times New Roman" w:eastAsia="SimSun" w:hAnsi="Times New Roman" w:cs="Times New Roman"/>
          <w:lang w:eastAsia="zh-CN"/>
        </w:rPr>
        <w:t xml:space="preserve"> </w:t>
      </w:r>
      <w:r w:rsidRPr="00F72EAD">
        <w:rPr>
          <w:rFonts w:ascii="Times New Roman" w:eastAsia="SimSun" w:hAnsi="Times New Roman" w:cs="Times New Roman"/>
          <w:lang w:eastAsia="zh-CN"/>
        </w:rPr>
        <w:t>后续可以考虑引入滚动窗口稳健回归，或者结合行业因子进一步解释异常点来源。</w:t>
      </w:r>
    </w:p>
    <w:p w14:paraId="4397C0CB" w14:textId="0E2D4C31" w:rsidR="00F72EAD" w:rsidRPr="00F72EAD" w:rsidRDefault="00F72EAD">
      <w:pPr>
        <w:pStyle w:val="1"/>
        <w:rPr>
          <w:rFonts w:ascii="Times New Roman" w:eastAsia="SimSun" w:hAnsi="Times New Roman" w:cs="Times New Roman"/>
          <w:b/>
          <w:bCs/>
          <w:color w:val="auto"/>
        </w:rPr>
      </w:pPr>
      <w:bookmarkStart w:id="9" w:name="参考文献"/>
      <w:bookmarkEnd w:id="8"/>
      <w:r w:rsidRPr="00F72EAD">
        <w:rPr>
          <w:rFonts w:ascii="Times New Roman" w:eastAsia="SimSun" w:hAnsi="Times New Roman" w:cs="Times New Roman"/>
          <w:b/>
          <w:bCs/>
          <w:color w:val="auto"/>
          <w:lang w:eastAsia="zh-CN"/>
        </w:rPr>
        <w:t>六、</w:t>
      </w:r>
      <w:proofErr w:type="spellStart"/>
      <w:r w:rsidRPr="00F72EAD">
        <w:rPr>
          <w:rFonts w:ascii="Times New Roman" w:eastAsia="SimSun" w:hAnsi="Times New Roman" w:cs="Times New Roman"/>
          <w:b/>
          <w:bCs/>
          <w:color w:val="auto"/>
        </w:rPr>
        <w:t>参考文献</w:t>
      </w:r>
      <w:proofErr w:type="spellEnd"/>
    </w:p>
    <w:p w14:paraId="2FCBFA1F" w14:textId="77777777" w:rsidR="00F72EAD" w:rsidRPr="00F72EAD" w:rsidRDefault="00F72EAD">
      <w:pPr>
        <w:pStyle w:val="Compact"/>
        <w:numPr>
          <w:ilvl w:val="0"/>
          <w:numId w:val="5"/>
        </w:numPr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</w:rPr>
        <w:t>Ali et al. (2025). Novel Hampel Filtering and Robust Regression in Control Chart Applications with High Leverage and Outliers. Online paper.</w:t>
      </w:r>
    </w:p>
    <w:p w14:paraId="3F4750F4" w14:textId="77777777" w:rsidR="00F72EAD" w:rsidRPr="00F72EAD" w:rsidRDefault="00F72EAD">
      <w:pPr>
        <w:pStyle w:val="Compact"/>
        <w:numPr>
          <w:ilvl w:val="0"/>
          <w:numId w:val="5"/>
        </w:numPr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</w:rPr>
        <w:t>AP News. Global stock markets plunge after Trump’s tariff hike. 2025-04-07.</w:t>
      </w:r>
    </w:p>
    <w:p w14:paraId="2DF96461" w14:textId="77777777" w:rsidR="00F72EAD" w:rsidRPr="00F72EAD" w:rsidRDefault="00F72EAD">
      <w:pPr>
        <w:pStyle w:val="Compact"/>
        <w:numPr>
          <w:ilvl w:val="0"/>
          <w:numId w:val="5"/>
        </w:numPr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</w:rPr>
        <w:t>Bloomberg. Chinese Stocks Bounce as State Funds Vow Support Amid Trade War. 2025-04-08.</w:t>
      </w:r>
    </w:p>
    <w:p w14:paraId="538C9881" w14:textId="77777777" w:rsidR="00F72EAD" w:rsidRPr="00F72EAD" w:rsidRDefault="00F72EAD">
      <w:pPr>
        <w:pStyle w:val="Compact"/>
        <w:numPr>
          <w:ilvl w:val="0"/>
          <w:numId w:val="5"/>
        </w:numPr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  <w:lang w:eastAsia="zh-CN"/>
        </w:rPr>
        <w:t>中国人民银行</w:t>
      </w:r>
      <w:r w:rsidRPr="00F72EAD">
        <w:rPr>
          <w:rFonts w:ascii="Times New Roman" w:eastAsia="SimSun" w:hAnsi="Times New Roman" w:cs="Times New Roman"/>
          <w:lang w:eastAsia="zh-CN"/>
        </w:rPr>
        <w:t xml:space="preserve">. </w:t>
      </w:r>
      <w:r w:rsidRPr="00F72EAD">
        <w:rPr>
          <w:rFonts w:ascii="Times New Roman" w:eastAsia="SimSun" w:hAnsi="Times New Roman" w:cs="Times New Roman"/>
          <w:lang w:eastAsia="zh-CN"/>
        </w:rPr>
        <w:t>坚定支持中央汇金公司在必要时实施对股票市场指数基金增持，并向其提供充足的再贷款支持</w:t>
      </w:r>
      <w:r w:rsidRPr="00F72EAD">
        <w:rPr>
          <w:rFonts w:ascii="Times New Roman" w:eastAsia="SimSun" w:hAnsi="Times New Roman" w:cs="Times New Roman"/>
          <w:lang w:eastAsia="zh-CN"/>
        </w:rPr>
        <w:t xml:space="preserve">. </w:t>
      </w:r>
      <w:r w:rsidRPr="00F72EAD">
        <w:rPr>
          <w:rFonts w:ascii="Times New Roman" w:eastAsia="SimSun" w:hAnsi="Times New Roman" w:cs="Times New Roman"/>
        </w:rPr>
        <w:t>2025-04-08.</w:t>
      </w:r>
    </w:p>
    <w:p w14:paraId="327C85BA" w14:textId="1FBED747" w:rsidR="00EC3716" w:rsidRPr="00F72EAD" w:rsidRDefault="00F72EAD" w:rsidP="00F72EAD">
      <w:pPr>
        <w:pStyle w:val="Compact"/>
        <w:numPr>
          <w:ilvl w:val="0"/>
          <w:numId w:val="5"/>
        </w:numPr>
        <w:rPr>
          <w:rFonts w:ascii="Times New Roman" w:eastAsia="SimSun" w:hAnsi="Times New Roman" w:cs="Times New Roman"/>
        </w:rPr>
      </w:pPr>
      <w:r w:rsidRPr="00F72EAD">
        <w:rPr>
          <w:rFonts w:ascii="Times New Roman" w:eastAsia="SimSun" w:hAnsi="Times New Roman" w:cs="Times New Roman"/>
        </w:rPr>
        <w:t>Reuters. China and Hong Kong stocks close at nine-month highs on AI-driven rally. 2025-08-21.</w:t>
      </w:r>
      <w:bookmarkEnd w:id="9"/>
    </w:p>
    <w:sectPr w:rsidR="00EC3716" w:rsidRPr="00F72EAD" w:rsidSect="00F72EA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F6F7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5C39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8482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1901869">
    <w:abstractNumId w:val="0"/>
  </w:num>
  <w:num w:numId="2" w16cid:durableId="393352636">
    <w:abstractNumId w:val="1"/>
  </w:num>
  <w:num w:numId="3" w16cid:durableId="36584093">
    <w:abstractNumId w:val="1"/>
  </w:num>
  <w:num w:numId="4" w16cid:durableId="5018230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96460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3716"/>
    <w:rsid w:val="000A2921"/>
    <w:rsid w:val="00371E26"/>
    <w:rsid w:val="00446F7F"/>
    <w:rsid w:val="00C51A4C"/>
    <w:rsid w:val="00E53FDC"/>
    <w:rsid w:val="00EC3716"/>
    <w:rsid w:val="00EF79FC"/>
    <w:rsid w:val="00F7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19BF"/>
  <w15:docId w15:val="{BDD0B849-89D7-4B8A-A3C7-E06779AA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上证50异常点诊断课程报告</dc:title>
  <dc:creator>Arthur Stat</dc:creator>
  <cp:keywords/>
  <cp:lastModifiedBy>Arthur Stat</cp:lastModifiedBy>
  <cp:revision>6</cp:revision>
  <cp:lastPrinted>2026-03-17T02:25:00Z</cp:lastPrinted>
  <dcterms:created xsi:type="dcterms:W3CDTF">2026-03-17T02:09:00Z</dcterms:created>
  <dcterms:modified xsi:type="dcterms:W3CDTF">2026-03-17T02:25:00Z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