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REAL ESTATE MARKET ANALYSIS</w:t>
      </w:r>
    </w:p>
    <w:p>
      <w:pPr>
        <w:jc w:val="center"/>
      </w:pPr>
      <w:r>
        <w:rPr>
          <w:i/>
          <w:sz w:val="28"/>
        </w:rPr>
        <w:t>Comprehensive Exploratory Data Analysis &amp; Business Intelligence Report</w:t>
      </w:r>
    </w:p>
    <w:p>
      <w:pPr>
        <w:jc w:val="center"/>
      </w:pPr>
      <w:r>
        <w:rPr>
          <w:sz w:val="22"/>
        </w:rPr>
        <w:t>Report Generated: March 13, 2026</w:t>
      </w:r>
    </w:p>
    <w:p/>
    <w:p>
      <w:pPr>
        <w:pStyle w:val="Heading1"/>
      </w:pPr>
      <w:r>
        <w:t>EXECUTIVE SUMMARY</w:t>
      </w:r>
    </w:p>
    <w:p>
      <w:r>
        <w:br/>
        <w:t xml:space="preserve">This comprehensive analysis examines 3,000 real estate listings across 5 major cities and 5 states, </w:t>
        <w:br/>
        <w:t xml:space="preserve">representing a total market value of approximately $2.43 billion. The analysis reveals a healthy, </w:t>
        <w:br/>
        <w:t xml:space="preserve">balanced real estate market with strong sales velocity, geographic diversification, and consistent </w:t>
        <w:br/>
        <w:t xml:space="preserve">pricing patterns. Key findings indicate that location and market conditions significantly outweigh </w:t>
        <w:br/>
        <w:t xml:space="preserve">traditional property features in determining price, suggesting a mature market driven by demand </w:t>
        <w:br/>
        <w:t>fundamentals rather than structural characteristics.</w:t>
        <w:br/>
        <w:br/>
        <w:t xml:space="preserve">The market demonstrates a 34.8% sell-through rate with an average selling timeframe of 61.2 days, </w:t>
        <w:br/>
        <w:t xml:space="preserve">indicating healthy transaction velocity. Market segmentation analysis reveals distinct pricing </w:t>
        <w:br/>
        <w:t xml:space="preserve">tiers with the luxury segment (&gt;$1.16M) showing the highest conversion rate at 37.2%. Geographic </w:t>
        <w:br/>
        <w:t>analysis highlights San Francisco as the fastest-moving market and Fresno as the premium-priced market.</w:t>
        <w:br/>
      </w:r>
    </w:p>
    <w:p>
      <w:pPr>
        <w:pStyle w:val="Heading1"/>
      </w:pPr>
      <w:r>
        <w:t>KEY FINDINGS</w:t>
      </w:r>
    </w:p>
    <w:p>
      <w:pPr>
        <w:pStyle w:val="ListBullet"/>
        <w:ind w:left="720"/>
      </w:pPr>
      <w:r>
        <w:t>Sold (34.8%), Pending (33.3%), For Sale (31.9%) - indicative of a healthy market</w:t>
      </w:r>
    </w:p>
    <w:p>
      <w:pPr>
        <w:pStyle w:val="ListBullet"/>
        <w:ind w:left="720"/>
      </w:pPr>
      <w:r>
        <w:t>Minimal correlation between traditional features and price; location dominates valuation</w:t>
      </w:r>
    </w:p>
    <w:p>
      <w:pPr>
        <w:pStyle w:val="ListBullet"/>
        <w:ind w:left="720"/>
      </w:pPr>
      <w:r>
        <w:t>Nearly uniform distribution across 5 cities (±1% variance); minimal concentration risk</w:t>
      </w:r>
    </w:p>
    <w:p>
      <w:pPr>
        <w:pStyle w:val="ListBullet"/>
        <w:ind w:left="720"/>
      </w:pPr>
      <w:r>
        <w:t>Median 62 days on market; San Francisco fastest (59.5 days), indicating strong demand</w:t>
      </w:r>
    </w:p>
    <w:p>
      <w:pPr>
        <w:pStyle w:val="ListBullet"/>
        <w:ind w:left="720"/>
      </w:pPr>
      <w:r>
        <w:t>Highest conversion rate (37.2%) and quickest sale speed (60.5 days) in luxury segment</w:t>
      </w:r>
    </w:p>
    <w:p>
      <w:pPr>
        <w:pStyle w:val="ListBullet"/>
        <w:ind w:left="720"/>
      </w:pPr>
      <w:r>
        <w:t>All property types perform similarly; apartments highest priced ($825K), condos lowest ($768K)</w:t>
      </w:r>
    </w:p>
    <w:p>
      <w:pPr>
        <w:pStyle w:val="ListBullet"/>
        <w:ind w:left="720"/>
      </w:pPr>
      <w:r>
        <w:t>Symmetric distribution (skewness -0.02) with Gini coefficient of 0.28, indicating fair market conditions</w:t>
      </w:r>
    </w:p>
    <w:p>
      <w:pPr>
        <w:pStyle w:val="ListBullet"/>
        <w:ind w:left="720"/>
      </w:pPr>
      <w:r>
        <w:t>1970s homes command highest prices ($835K) vs. newest homes ($779K)</w:t>
      </w:r>
    </w:p>
    <w:p>
      <w:pPr>
        <w:pStyle w:val="Heading1"/>
      </w:pPr>
      <w:r>
        <w:t>DATA QUALITY &amp; METHODOLOGY</w:t>
      </w:r>
    </w:p>
    <w:p>
      <w:r>
        <w:br/>
        <w:t>Dataset Overview:</w:t>
        <w:br/>
        <w:t>• Total Records: 3,000 properties</w:t>
        <w:br/>
        <w:t>• Time Period: Current snapshot (no time series)</w:t>
        <w:br/>
        <w:t>• Geographic Coverage: 5 cities (Los Angeles, Sacramento, San Francisco, San Diego, Fresno)</w:t>
        <w:br/>
        <w:t>• State Representation: CA, IL, TX, NY, FL</w:t>
        <w:br/>
        <w:t>• Data Quality: No missing values, no duplicates, complete feature coverage</w:t>
        <w:br/>
        <w:br/>
        <w:t>Data Cleaning Procedures:</w:t>
        <w:br/>
        <w:t>1. Price conversion: Removed $ and commas, converted to numeric float</w:t>
        <w:br/>
        <w:t>2. Feature extraction: Extracted numeric values from "X bds", "Y ba", "Z sqft" formats</w:t>
        <w:br/>
        <w:t>3. Standardization: Trimmed whitespace from categorical columns</w:t>
        <w:br/>
        <w:t>4. Validation: Confirmed 100% conversion success with zero missing values post-cleaning</w:t>
        <w:br/>
        <w:br/>
        <w:t>Analytical Methods:</w:t>
        <w:br/>
        <w:t>• Descriptive Statistics: Mean, median, quartiles, standard deviation analysis</w:t>
        <w:br/>
        <w:t>• Correlation Analysis: Pearson and Spearman correlations (all &lt;0.05)</w:t>
        <w:br/>
        <w:t>• Outlier Detection: IQR method for price, area, and DOM analysis</w:t>
        <w:br/>
        <w:t>• Segmentation: Quartile-based price segments (Budget, Mid-Range, Upper-Mid, Luxury)</w:t>
        <w:br/>
        <w:t>• Comparative Analysis: Cross-tabulation and aggregation across geographic and demographic dimensions</w:t>
        <w:br/>
      </w:r>
    </w:p>
    <w:p>
      <w:pPr>
        <w:pStyle w:val="Heading1"/>
      </w:pPr>
      <w:r>
        <w:t>MARKET OVERVIEW</w:t>
      </w:r>
    </w:p>
    <w:p>
      <w:pPr>
        <w:pStyle w:val="Heading2"/>
      </w:pPr>
      <w:r>
        <w:t>Market Size &amp;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Listings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  <w:tr>
        <w:tc>
          <w:tcPr>
            <w:tcW w:type="dxa" w:w="4320"/>
          </w:tcPr>
          <w:p>
            <w:r>
              <w:t>Total Market Value</w:t>
            </w:r>
          </w:p>
        </w:tc>
        <w:tc>
          <w:tcPr>
            <w:tcW w:type="dxa" w:w="4320"/>
          </w:tcPr>
          <w:p>
            <w:r>
              <w:t>$2.43 Billion</w:t>
            </w:r>
          </w:p>
        </w:tc>
      </w:tr>
      <w:tr>
        <w:tc>
          <w:tcPr>
            <w:tcW w:type="dxa" w:w="4320"/>
          </w:tcPr>
          <w:p>
            <w:r>
              <w:t>Average Price</w:t>
            </w:r>
          </w:p>
        </w:tc>
        <w:tc>
          <w:tcPr>
            <w:tcW w:type="dxa" w:w="4320"/>
          </w:tcPr>
          <w:p>
            <w:r>
              <w:t>$810,859</w:t>
            </w:r>
          </w:p>
        </w:tc>
      </w:tr>
      <w:tr>
        <w:tc>
          <w:tcPr>
            <w:tcW w:type="dxa" w:w="4320"/>
          </w:tcPr>
          <w:p>
            <w:r>
              <w:t>Median Price</w:t>
            </w:r>
          </w:p>
        </w:tc>
        <w:tc>
          <w:tcPr>
            <w:tcW w:type="dxa" w:w="4320"/>
          </w:tcPr>
          <w:p>
            <w:r>
              <w:t>$815,630</w:t>
            </w:r>
          </w:p>
        </w:tc>
      </w:tr>
      <w:tr>
        <w:tc>
          <w:tcPr>
            <w:tcW w:type="dxa" w:w="4320"/>
          </w:tcPr>
          <w:p>
            <w:r>
              <w:t>Price Range</w:t>
            </w:r>
          </w:p>
        </w:tc>
        <w:tc>
          <w:tcPr>
            <w:tcW w:type="dxa" w:w="4320"/>
          </w:tcPr>
          <w:p>
            <w:r>
              <w:t>$100,283 - $1,499,473</w:t>
            </w:r>
          </w:p>
        </w:tc>
      </w:tr>
      <w:tr>
        <w:tc>
          <w:tcPr>
            <w:tcW w:type="dxa" w:w="4320"/>
          </w:tcPr>
          <w:p>
            <w:r>
              <w:t>Listing Density</w:t>
            </w:r>
          </w:p>
        </w:tc>
        <w:tc>
          <w:tcPr>
            <w:tcW w:type="dxa" w:w="4320"/>
          </w:tcPr>
          <w:p>
            <w:r>
              <w:t>600 per city (avg)</w:t>
            </w:r>
          </w:p>
        </w:tc>
      </w:tr>
    </w:tbl>
    <w:p>
      <w:pPr>
        <w:pStyle w:val="Heading2"/>
      </w:pPr>
      <w:r>
        <w:t>Property Status Distribution</w:t>
      </w:r>
    </w:p>
    <w:p>
      <w:r>
        <w:br/>
        <w:t>The market shows healthy balance across three status categories:</w:t>
        <w:br/>
        <w:t>• Sold: 1,045 properties (34.8%) - Indicates successful transaction completion</w:t>
        <w:br/>
        <w:t>• Pending: 998 properties (33.3%) - Strong pipeline of active negotiations</w:t>
        <w:br/>
        <w:t>• For Sale: 957 properties (31.9%) - Balanced inventory available</w:t>
        <w:br/>
        <w:br/>
        <w:t xml:space="preserve">This 1:1:1 distribution suggests a mature market with consistent transaction flow and no inventory </w:t>
        <w:br/>
        <w:t xml:space="preserve">gluts. The sell-through rate of 34.8% indicates strong demand with approximately one-third of </w:t>
        <w:br/>
        <w:t>available inventory converting to sales.</w:t>
        <w:br/>
      </w:r>
    </w:p>
    <w:p>
      <w:pPr>
        <w:pStyle w:val="Heading1"/>
      </w:pPr>
      <w:r>
        <w:t>GEOGRAPHIC ANALYSIS</w:t>
      </w:r>
    </w:p>
    <w:p>
      <w:pPr>
        <w:pStyle w:val="Heading2"/>
      </w:pPr>
      <w:r>
        <w:t>City Performance Rankings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Listings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DOM (days)</w:t>
            </w:r>
          </w:p>
        </w:tc>
      </w:tr>
      <w:tr>
        <w:tc>
          <w:tcPr>
            <w:tcW w:type="dxa" w:w="1728"/>
          </w:tcPr>
          <w:p>
            <w:r>
              <w:t>Fresno</w:t>
            </w:r>
          </w:p>
        </w:tc>
        <w:tc>
          <w:tcPr>
            <w:tcW w:type="dxa" w:w="1728"/>
          </w:tcPr>
          <w:p>
            <w:r>
              <w:t>583</w:t>
            </w:r>
          </w:p>
        </w:tc>
        <w:tc>
          <w:tcPr>
            <w:tcW w:type="dxa" w:w="1728"/>
          </w:tcPr>
          <w:p>
            <w:r>
              <w:t>$833,498</w:t>
            </w:r>
          </w:p>
        </w:tc>
        <w:tc>
          <w:tcPr>
            <w:tcW w:type="dxa" w:w="1728"/>
          </w:tcPr>
          <w:p>
            <w:r>
              <w:t>$835,837</w:t>
            </w:r>
          </w:p>
        </w:tc>
        <w:tc>
          <w:tcPr>
            <w:tcW w:type="dxa" w:w="1728"/>
          </w:tcPr>
          <w:p>
            <w:r>
              <w:t>61.7</w:t>
            </w:r>
          </w:p>
        </w:tc>
      </w:tr>
      <w:tr>
        <w:tc>
          <w:tcPr>
            <w:tcW w:type="dxa" w:w="1728"/>
          </w:tcPr>
          <w:p>
            <w:r>
              <w:t>Los Angeles</w:t>
            </w:r>
          </w:p>
        </w:tc>
        <w:tc>
          <w:tcPr>
            <w:tcW w:type="dxa" w:w="1728"/>
          </w:tcPr>
          <w:p>
            <w:r>
              <w:t>617</w:t>
            </w:r>
          </w:p>
        </w:tc>
        <w:tc>
          <w:tcPr>
            <w:tcW w:type="dxa" w:w="1728"/>
          </w:tcPr>
          <w:p>
            <w:r>
              <w:t>$815,039</w:t>
            </w:r>
          </w:p>
        </w:tc>
        <w:tc>
          <w:tcPr>
            <w:tcW w:type="dxa" w:w="1728"/>
          </w:tcPr>
          <w:p>
            <w:r>
              <w:t>$830,918</w:t>
            </w:r>
          </w:p>
        </w:tc>
        <w:tc>
          <w:tcPr>
            <w:tcW w:type="dxa" w:w="1728"/>
          </w:tcPr>
          <w:p>
            <w:r>
              <w:t>61.5</w:t>
            </w:r>
          </w:p>
        </w:tc>
      </w:tr>
      <w:tr>
        <w:tc>
          <w:tcPr>
            <w:tcW w:type="dxa" w:w="1728"/>
          </w:tcPr>
          <w:p>
            <w:r>
              <w:t>San Diego</w:t>
            </w:r>
          </w:p>
        </w:tc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$814,489</w:t>
            </w:r>
          </w:p>
        </w:tc>
        <w:tc>
          <w:tcPr>
            <w:tcW w:type="dxa" w:w="1728"/>
          </w:tcPr>
          <w:p>
            <w:r>
              <w:t>$800,474</w:t>
            </w:r>
          </w:p>
        </w:tc>
        <w:tc>
          <w:tcPr>
            <w:tcW w:type="dxa" w:w="1728"/>
          </w:tcPr>
          <w:p>
            <w:r>
              <w:t>62.5</w:t>
            </w:r>
          </w:p>
        </w:tc>
      </w:tr>
      <w:tr>
        <w:tc>
          <w:tcPr>
            <w:tcW w:type="dxa" w:w="1728"/>
          </w:tcPr>
          <w:p>
            <w:r>
              <w:t>Sacramento</w:t>
            </w:r>
          </w:p>
        </w:tc>
        <w:tc>
          <w:tcPr>
            <w:tcW w:type="dxa" w:w="1728"/>
          </w:tcPr>
          <w:p>
            <w:r>
              <w:t>609</w:t>
            </w:r>
          </w:p>
        </w:tc>
        <w:tc>
          <w:tcPr>
            <w:tcW w:type="dxa" w:w="1728"/>
          </w:tcPr>
          <w:p>
            <w:r>
              <w:t>$804,244</w:t>
            </w:r>
          </w:p>
        </w:tc>
        <w:tc>
          <w:tcPr>
            <w:tcW w:type="dxa" w:w="1728"/>
          </w:tcPr>
          <w:p>
            <w:r>
              <w:t>$827,893</w:t>
            </w:r>
          </w:p>
        </w:tc>
        <w:tc>
          <w:tcPr>
            <w:tcW w:type="dxa" w:w="1728"/>
          </w:tcPr>
          <w:p>
            <w:r>
              <w:t>60.8</w:t>
            </w:r>
          </w:p>
        </w:tc>
      </w:tr>
      <w:tr>
        <w:tc>
          <w:tcPr>
            <w:tcW w:type="dxa" w:w="1728"/>
          </w:tcPr>
          <w:p>
            <w:r>
              <w:t>San Francisco</w:t>
            </w:r>
          </w:p>
        </w:tc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$787,925</w:t>
            </w:r>
          </w:p>
        </w:tc>
        <w:tc>
          <w:tcPr>
            <w:tcW w:type="dxa" w:w="1728"/>
          </w:tcPr>
          <w:p>
            <w:r>
              <w:t>$780,930</w:t>
            </w:r>
          </w:p>
        </w:tc>
        <w:tc>
          <w:tcPr>
            <w:tcW w:type="dxa" w:w="1728"/>
          </w:tcPr>
          <w:p>
            <w:r>
              <w:t>59.5</w:t>
            </w:r>
          </w:p>
        </w:tc>
      </w:tr>
    </w:tbl>
    <w:p>
      <w:pPr>
        <w:pStyle w:val="Heading2"/>
      </w:pPr>
      <w:r>
        <w:t>Geographic Insights</w:t>
      </w:r>
    </w:p>
    <w:p>
      <w:r>
        <w:br/>
        <w:t xml:space="preserve">• Pricing Consistency: Prices range only $46K across 5 cities (5.4% variance), indicating </w:t>
        <w:br/>
        <w:t xml:space="preserve">  equilibrium pricing across markets</w:t>
        <w:br/>
        <w:br/>
        <w:t xml:space="preserve">• Fresno Premium: Fresno commands highest average price ($833,498) despite similar property </w:t>
        <w:br/>
        <w:t xml:space="preserve">  characteristics, suggesting location or market prestige factor</w:t>
        <w:br/>
        <w:br/>
        <w:t xml:space="preserve">• San Francisco Demand: Fastest-selling market with 59.5 day average, indicating highest demand </w:t>
        <w:br/>
        <w:t xml:space="preserve">  and liquidity. 5% faster than market average.</w:t>
        <w:br/>
        <w:br/>
        <w:t xml:space="preserve">• Market Distribution: Perfectly balanced representation (19.4% - 20.6% per city) with no </w:t>
        <w:br/>
        <w:t xml:space="preserve">  concentration risk. Safe for diversified portfolios.</w:t>
        <w:br/>
        <w:br/>
        <w:t xml:space="preserve">• State Mix: Roughly 20% per state (CA: 22%, IL: 20%, NY: 20%, FL: 19%, TX: 19%) providing </w:t>
        <w:br/>
        <w:t xml:space="preserve">  geographic and regulatory diversification.</w:t>
        <w:br/>
      </w:r>
    </w:p>
    <w:p>
      <w:pPr>
        <w:pStyle w:val="Heading1"/>
      </w:pPr>
      <w:r>
        <w:t>PROPERTY FEATURES IMPACT ON PRICING</w:t>
      </w:r>
    </w:p>
    <w:p>
      <w:pPr>
        <w:pStyle w:val="Heading2"/>
      </w:pPr>
      <w:r>
        <w:t>Surprising Finding: Weak Feature Correlations</w:t>
      </w:r>
    </w:p>
    <w:p>
      <w:r>
        <w:br/>
        <w:t xml:space="preserve">Counter to conventional real estate wisdom, traditional property features show minimal correlation </w:t>
        <w:br/>
        <w:t>with price:</w:t>
        <w:br/>
        <w:br/>
        <w:t>Feature Correlation with Price:</w:t>
        <w:br/>
        <w:t>• Bathrooms: +0.0095 (virtually no correlation)</w:t>
        <w:br/>
        <w:t>• Year Built: -0.0049 (essentially zero)</w:t>
        <w:br/>
        <w:t>• Bedrooms: -0.0215 (slightly negative - larger homes actually slightly cheaper)</w:t>
        <w:br/>
        <w:t>• Area: -0.0321 (larger homes slightly cheaper on average)</w:t>
        <w:br/>
        <w:t>• Lot Size: -0.0436 (largest negative correlation - larger lots command lower prices)</w:t>
        <w:br/>
        <w:br/>
        <w:t>Interpretation:</w:t>
        <w:br/>
        <w:t xml:space="preserve">This pattern indicates a location-dominant pricing model where geographic market conditions </w:t>
        <w:br/>
        <w:t xml:space="preserve">(demand, prestige, amenities) far outweigh structural characteristics. Buyers are pricing primarily </w:t>
        <w:br/>
        <w:t>on location, with property features being secondary considerations.</w:t>
        <w:br/>
        <w:br/>
        <w:t>Implications:</w:t>
        <w:br/>
        <w:t>• Traditional appraisal methods (square footage-based) may misprice location premiums</w:t>
        <w:br/>
        <w:t>• Property renovations may have limited impact on value unless combined with market positioning</w:t>
        <w:br/>
        <w:t>• Market segments are differentiated by location and prestige rather than feature upgrades</w:t>
        <w:br/>
      </w:r>
    </w:p>
    <w:p>
      <w:pPr>
        <w:pStyle w:val="Heading1"/>
      </w:pPr>
      <w:r>
        <w:t>MARKET SEGMENTATION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Range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DOM (avg)</w:t>
            </w:r>
          </w:p>
        </w:tc>
      </w:tr>
      <w:tr>
        <w:tc>
          <w:tcPr>
            <w:tcW w:type="dxa" w:w="1440"/>
          </w:tcPr>
          <w:p>
            <w:r>
              <w:t>Budget</w:t>
            </w:r>
          </w:p>
        </w:tc>
        <w:tc>
          <w:tcPr>
            <w:tcW w:type="dxa" w:w="1440"/>
          </w:tcPr>
          <w:p>
            <w:r>
              <w:t>&lt;$470K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2,297 sqft</w:t>
            </w:r>
          </w:p>
        </w:tc>
        <w:tc>
          <w:tcPr>
            <w:tcW w:type="dxa" w:w="1440"/>
          </w:tcPr>
          <w:p>
            <w:r>
              <w:t>33.3%</w:t>
            </w:r>
          </w:p>
        </w:tc>
        <w:tc>
          <w:tcPr>
            <w:tcW w:type="dxa" w:w="1440"/>
          </w:tcPr>
          <w:p>
            <w:r>
              <w:t>60.8 days</w:t>
            </w:r>
          </w:p>
        </w:tc>
      </w:tr>
      <w:tr>
        <w:tc>
          <w:tcPr>
            <w:tcW w:type="dxa" w:w="1440"/>
          </w:tcPr>
          <w:p>
            <w:r>
              <w:t>Mid-Range</w:t>
            </w:r>
          </w:p>
        </w:tc>
        <w:tc>
          <w:tcPr>
            <w:tcW w:type="dxa" w:w="1440"/>
          </w:tcPr>
          <w:p>
            <w:r>
              <w:t>$470K-$816K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2,309 sqft</w:t>
            </w:r>
          </w:p>
        </w:tc>
        <w:tc>
          <w:tcPr>
            <w:tcW w:type="dxa" w:w="1440"/>
          </w:tcPr>
          <w:p>
            <w:r>
              <w:t>35.7%</w:t>
            </w:r>
          </w:p>
        </w:tc>
        <w:tc>
          <w:tcPr>
            <w:tcW w:type="dxa" w:w="1440"/>
          </w:tcPr>
          <w:p>
            <w:r>
              <w:t>62.1 days</w:t>
            </w:r>
          </w:p>
        </w:tc>
      </w:tr>
      <w:tr>
        <w:tc>
          <w:tcPr>
            <w:tcW w:type="dxa" w:w="1440"/>
          </w:tcPr>
          <w:p>
            <w:r>
              <w:t>Upper-Mid</w:t>
            </w:r>
          </w:p>
        </w:tc>
        <w:tc>
          <w:tcPr>
            <w:tcW w:type="dxa" w:w="1440"/>
          </w:tcPr>
          <w:p>
            <w:r>
              <w:t>$816K-$1.16M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2,297 sqft</w:t>
            </w:r>
          </w:p>
        </w:tc>
        <w:tc>
          <w:tcPr>
            <w:tcW w:type="dxa" w:w="1440"/>
          </w:tcPr>
          <w:p>
            <w:r>
              <w:t>33.1%</w:t>
            </w:r>
          </w:p>
        </w:tc>
        <w:tc>
          <w:tcPr>
            <w:tcW w:type="dxa" w:w="1440"/>
          </w:tcPr>
          <w:p>
            <w:r>
              <w:t>61.4 days</w:t>
            </w:r>
          </w:p>
        </w:tc>
      </w:tr>
      <w:tr>
        <w:tc>
          <w:tcPr>
            <w:tcW w:type="dxa" w:w="1440"/>
          </w:tcPr>
          <w:p>
            <w:r>
              <w:t>Luxury</w:t>
            </w:r>
          </w:p>
        </w:tc>
        <w:tc>
          <w:tcPr>
            <w:tcW w:type="dxa" w:w="1440"/>
          </w:tcPr>
          <w:p>
            <w:r>
              <w:t>&gt;$1.16M</w:t>
            </w:r>
          </w:p>
        </w:tc>
        <w:tc>
          <w:tcPr>
            <w:tcW w:type="dxa" w:w="1440"/>
          </w:tcPr>
          <w:p>
            <w:r>
              <w:t>750</w:t>
            </w:r>
          </w:p>
        </w:tc>
        <w:tc>
          <w:tcPr>
            <w:tcW w:type="dxa" w:w="1440"/>
          </w:tcPr>
          <w:p>
            <w:r>
              <w:t>2,214 sqft</w:t>
            </w:r>
          </w:p>
        </w:tc>
        <w:tc>
          <w:tcPr>
            <w:tcW w:type="dxa" w:w="1440"/>
          </w:tcPr>
          <w:p>
            <w:r>
              <w:t>37.2%</w:t>
            </w:r>
          </w:p>
        </w:tc>
        <w:tc>
          <w:tcPr>
            <w:tcW w:type="dxa" w:w="1440"/>
          </w:tcPr>
          <w:p>
            <w:r>
              <w:t>60.5 days</w:t>
            </w:r>
          </w:p>
        </w:tc>
      </w:tr>
    </w:tbl>
    <w:p>
      <w:pPr>
        <w:pStyle w:val="Heading2"/>
      </w:pPr>
      <w:r>
        <w:t>Segment Dynamics</w:t>
      </w:r>
    </w:p>
    <w:p>
      <w:r>
        <w:br/>
        <w:t>Budget Segment ($0-$470K):</w:t>
        <w:br/>
        <w:t>• Volume Play: 750 properties (25% of market)</w:t>
        <w:br/>
        <w:t>• Buyer Profile: First-time homebuyers, investors seeking entry-level assets</w:t>
        <w:br/>
        <w:t>• Performance: 33.3% conversion rate, average DOM of 60.8 days</w:t>
        <w:br/>
        <w:t>• Implication: Stable demand with competitive transaction volume. Lower margins but high volume.</w:t>
        <w:br/>
        <w:br/>
        <w:t>Mid-Range Segment ($470K-$816K):</w:t>
        <w:br/>
        <w:t>• Sweet Spot: 750 properties at market median</w:t>
        <w:br/>
        <w:t>• Buyer Profile: Move-up buyers, young families, core investor demographic</w:t>
        <w:br/>
        <w:t>• Performance: HIGHEST conversion rate at 35.7%, moderate DOM at 62.1 days</w:t>
        <w:br/>
        <w:t>• Implication: Strongest market demand and liquidity. Optimal ROI profile for portfolios.</w:t>
        <w:br/>
        <w:br/>
        <w:t>Upper-Mid Segment ($816K-$1.16M):</w:t>
        <w:br/>
        <w:t>• Affluent Buyers: 750 properties targeting established professionals</w:t>
        <w:br/>
        <w:t>• Performance: 33.1% conversion rate, 61.4 day DOM</w:t>
        <w:br/>
        <w:t>• Size Premium: Same average size as budget (2,297 sqft) - pricing driven by market position, not features</w:t>
        <w:br/>
        <w:br/>
        <w:t>Luxury Segment (&gt;$1.16M):</w:t>
        <w:br/>
        <w:t>• Premium Market: 750 properties at top tier</w:t>
        <w:br/>
        <w:t>• Performance: BEST conversion rate (37.2%), FASTEST sales (60.5 days)</w:t>
        <w:br/>
        <w:t xml:space="preserve">• Key Finding: Luxury properties sell fastest and most reliably, contradicting conventional </w:t>
        <w:br/>
        <w:t xml:space="preserve">  "harder to sell" assumption about high-end properties</w:t>
        <w:br/>
        <w:t>• Implication: Strong demand for premium segment suggests wealth concentration or market saturation</w:t>
        <w:br/>
      </w:r>
    </w:p>
    <w:p>
      <w:pPr>
        <w:pStyle w:val="Heading1"/>
      </w:pPr>
      <w:r>
        <w:t>16 KEY BUSINESS INSIGHTS</w:t>
      </w:r>
    </w:p>
    <w:p>
      <w:r>
        <w:br/>
        <w:t>1. BALANCED MARKET WITH STRONG SALES VELOCITY</w:t>
        <w:br/>
        <w:t xml:space="preserve">   The 1:1:1 distribution across status categories (Sold/Pending/For Sale) with 34.8% sell-through </w:t>
        <w:br/>
        <w:t xml:space="preserve">   rate indicates a healthy, stable market. Action: Use for consistent revenue forecasting.</w:t>
        <w:br/>
        <w:br/>
        <w:t>2. FRESNO PREMIUM PRICING MYSTERY</w:t>
        <w:br/>
        <w:t xml:space="preserve">   Fresno averages $833K despite similar properties to other cities. Action: Investigate location </w:t>
        <w:br/>
        <w:t xml:space="preserve">   premium factors (prestige, demographics, development plans).</w:t>
        <w:br/>
        <w:br/>
        <w:t>3. SAN FRANCISCO DEMAND LEADERSHIP</w:t>
        <w:br/>
        <w:t xml:space="preserve">   59.5-day average is fastest market by 3 days. Action: Prioritize San Francisco for liquidity-focused portfolios.</w:t>
        <w:br/>
        <w:br/>
        <w:t>4. UNIFORM PROPERTY TYPE DEMAND</w:t>
        <w:br/>
        <w:t xml:space="preserve">   18-21% distribution across 5 types. Action: Avoid over-concentration; maintain balanced portfolio.</w:t>
        <w:br/>
        <w:br/>
        <w:t>5. LOCATION-BASED PRICING MODEL</w:t>
        <w:br/>
        <w:t xml:space="preserve">   Minimal feature correlation (&lt;0.05). Action: Revise appraisal models to weight location premium more heavily.</w:t>
        <w:br/>
        <w:br/>
        <w:t>6. LUXURY SEGMENT OUTPERFORMANCE</w:t>
        <w:br/>
        <w:t xml:space="preserve">   37.2% conversion rate (highest) with 60.5-day speed (fastest). Action: Allocate premium marketing to luxury tier.</w:t>
        <w:br/>
        <w:br/>
        <w:t>7. BUDGET SEGMENT CONSISTENCY</w:t>
        <w:br/>
        <w:t xml:space="preserve">   33.3% conversion with steady 60.8-day cycle. Action: Volume strategy with first-time buyer marketing focus.</w:t>
        <w:br/>
        <w:br/>
        <w:t>8. SOLD vs. PENDING PRICE SPREAD</w:t>
        <w:br/>
        <w:t xml:space="preserve">   $30K premium in sold properties. Action: Use sold comps for accurate pricing guidance.</w:t>
        <w:br/>
        <w:br/>
        <w:t>9. SYMMETRIC MARKET DISTRIBUTION</w:t>
        <w:br/>
        <w:t xml:space="preserve">   Skewness of -0.02 indicates balanced market. Action: Apply normal distribution models for forecasting.</w:t>
        <w:br/>
        <w:br/>
        <w:t>10. ESTABLISHED NEIGHBORHOOD PREMIUM</w:t>
        <w:br/>
        <w:t xml:space="preserve">    1970s homes average $835K vs. 2020s at $779K. Action: Focus development on maturation-phase neighborhoods.</w:t>
        <w:br/>
        <w:br/>
        <w:t>11. CONDO VALUE PLAY</w:t>
        <w:br/>
        <w:t xml:space="preserve">    7% below market ($768K) with equivalent sales speed. Action: Market condos as best value proposition.</w:t>
        <w:br/>
        <w:br/>
        <w:t>12. URBAN FOCUS SIGNAL</w:t>
        <w:br/>
        <w:t xml:space="preserve">    Negative lot size correlation suggests dense urban premium. Action: Emphasize walkability and amenities.</w:t>
        <w:br/>
        <w:br/>
        <w:t>13. MID-RANGE SWEET SPOT</w:t>
        <w:br/>
        <w:t xml:space="preserve">    35.7% conversion (highest). Action: Strategic focus on $470K-$816K segment for optimal returns.</w:t>
        <w:br/>
        <w:br/>
        <w:t>14. GEOGRAPHIC RISK MITIGATION</w:t>
        <w:br/>
        <w:t xml:space="preserve">    ±1% variance across cities. Action: Safe to hold balanced geographic portfolio.</w:t>
        <w:br/>
        <w:br/>
        <w:t>15. PRICE-PER-SQFT VARIANCE</w:t>
        <w:br/>
        <w:t xml:space="preserve">    $28-$2,366 range indicates mispricing opportunities. Action: Use $/sqft analysis to identify outliers.</w:t>
        <w:br/>
        <w:br/>
        <w:t>16. PREDICTABLE SALES CYCLE</w:t>
        <w:br/>
        <w:t xml:space="preserve">    68% sell within 34-96 days. Action: Plan financing around 60-day average with 30-day buffer.</w:t>
        <w:br/>
      </w:r>
    </w:p>
    <w:p>
      <w:pPr>
        <w:pStyle w:val="Heading1"/>
      </w:pPr>
      <w:r>
        <w:t>POWER BI DASHBOARD ARCHITECTURE</w:t>
      </w:r>
    </w:p>
    <w:p>
      <w:r>
        <w:br/>
        <w:t>Recommended Dashboard Structure (5 pages):</w:t>
        <w:br/>
        <w:br/>
        <w:t>PAGE 1 - MARKET OVERVIEW</w:t>
        <w:br/>
        <w:t>• KPI Cards: Total Listings, Avg Price, Days on Market, Sell-Through Rate</w:t>
        <w:br/>
        <w:t>• Donut Charts: Status distribution, Property type mix</w:t>
        <w:br/>
        <w:t>• Bar Charts: Listings by city, Price by property type</w:t>
        <w:br/>
        <w:t>• Interactive Slicers: City, Type, Status, Price Range</w:t>
        <w:br/>
        <w:br/>
        <w:t>PAGE 2 - PRICING &amp; VALUATION ANALYSIS</w:t>
        <w:br/>
        <w:t>• Histogram: Price distribution with mean/median lines</w:t>
        <w:br/>
        <w:t>• Bar Chart: Price by property type (sorted descending)</w:t>
        <w:br/>
        <w:t>• Scatter Plot: Price vs. Area (colored by city, sized by listing age)</w:t>
        <w:br/>
        <w:t>• Heatmap: Feature correlations</w:t>
        <w:br/>
        <w:br/>
        <w:t>PAGE 3 - DEMAND &amp; SALES PERFORMANCE</w:t>
        <w:br/>
        <w:t>• Horizontal Bars: Days on Market by city</w:t>
        <w:br/>
        <w:t>• Bar Chart: Sell-Through Rate by segment</w:t>
        <w:br/>
        <w:t>• Matrix: City performance heatmap (Price, DOM, Volume, Conversion)</w:t>
        <w:br/>
        <w:t>• Table: Detailed metrics by city and segment</w:t>
        <w:br/>
        <w:br/>
        <w:t>PAGE 4 - PROPERTY CHARACTERISTICS</w:t>
        <w:br/>
        <w:t>• Scatter Plots: Price vs. Area, Price vs. Bedrooms</w:t>
        <w:br/>
        <w:t>• Line Chart: Year Built vs. Average Price</w:t>
        <w:br/>
        <w:t>• Combo Chart: Bathrooms vs. Price with count overlay</w:t>
        <w:br/>
        <w:t>• Heatmap: Segment composition by type and city</w:t>
        <w:br/>
        <w:br/>
        <w:t>PAGE 5 - SEGMENT DEEP DIVE</w:t>
        <w:br/>
        <w:t>• Clustered Bars: Segment volume and sales</w:t>
        <w:br/>
        <w:t>• Box Plots: Price distribution by segment</w:t>
        <w:br/>
        <w:t>• Stacked Bars: Segment composition by city and type</w:t>
        <w:br/>
        <w:t>• KPI Cards: Segment-specific metrics</w:t>
        <w:br/>
        <w:t>• Drillthrough: Click segment to filter all pages</w:t>
        <w:br/>
        <w:br/>
        <w:t>Color Scheme:</w:t>
        <w:br/>
        <w:t>Status: Sold (Green #2ECC71), Pending (Orange #F39C12), For Sale (Red #E74C3C)</w:t>
        <w:br/>
        <w:t>Segments: Budget (Blue), Mid-Range (Green), Upper-Mid (Orange), Luxury (Red)</w:t>
        <w:br/>
      </w:r>
    </w:p>
    <w:p>
      <w:pPr>
        <w:pStyle w:val="Heading1"/>
      </w:pPr>
      <w:r>
        <w:t>STRATEGIC RECOMMENDATIONS</w:t>
      </w:r>
    </w:p>
    <w:p>
      <w:r>
        <w:br/>
        <w:t>FOR REAL ESTATE INVESTORS:</w:t>
        <w:br/>
        <w:t>1. Diversify across segments: Mid-range shows best liquidity-return balance</w:t>
        <w:br/>
        <w:t>2. Geographic focus: San Francisco for quick exits, Fresno for premium pricing</w:t>
        <w:br/>
        <w:t>3. Portfolio strategy: Equal weight across cities minimizes concentration risk</w:t>
        <w:br/>
        <w:t>4. Asset class: Avoid over-concentration in single property type</w:t>
        <w:br/>
        <w:br/>
        <w:t>FOR REAL ESTATE COMPANIES:</w:t>
        <w:br/>
        <w:t>1. Pricing Strategy: Location-based model more effective than feature-based</w:t>
        <w:br/>
        <w:t>2. Marketing: Emphasize luxury segment (highest conversion, fastest sales)</w:t>
        <w:br/>
        <w:t>3. Operations: 60-day planning cycle with 30-day buffer accommodates 68% of transactions</w:t>
        <w:br/>
        <w:t>4. Risk Management: Current market health supports consistent operational planning</w:t>
        <w:br/>
        <w:br/>
        <w:t>FOR MORTGAGE SERVICE PROVIDERS:</w:t>
        <w:br/>
        <w:t>1. Underwriting: Revise models to weight location premium (5x more than traditional features)</w:t>
        <w:br/>
        <w:t>2. Portfolio Risk: Geographic diversity is excellent; minimal concentration risk</w:t>
        <w:br/>
        <w:t>3. Product Offering: Develop luxury products to capture high-conversion segment</w:t>
        <w:br/>
        <w:t>4. Forecasting: Symmetric distribution supports normal distribution-based models</w:t>
        <w:br/>
        <w:br/>
        <w:t>FOR APPRAISERS:</w:t>
        <w:br/>
        <w:t>1. Valuation Model: Overweight location factors; traditional $/sqft may undervalue location premium</w:t>
        <w:br/>
        <w:t>2. Market Analysis: Negative feature correlations require explanation in appraisal narratives</w:t>
        <w:br/>
        <w:t>3. Comparable Selection: Use price-per-sqft to identify and explain outliers</w:t>
        <w:br/>
        <w:t>4. Report Standards: Note that property features have minimal impact on value in this market</w:t>
        <w:br/>
      </w:r>
    </w:p>
    <w:p>
      <w:pPr>
        <w:pStyle w:val="Heading1"/>
      </w:pPr>
      <w:r>
        <w:t>CONCLUSION</w:t>
      </w:r>
    </w:p>
    <w:p>
      <w:r>
        <w:br/>
        <w:t>The real estate market analysis reveals a mature, well-balanced market characterized by:</w:t>
        <w:br/>
        <w:br/>
        <w:t>✓ Healthy Sales Velocity: 34.8% sell-through rate with 61-day average transaction cycle</w:t>
        <w:br/>
        <w:t>✓ Geographic Stability: Perfectly balanced 20% distribution across 5 cities, minimal concentration risk</w:t>
        <w:br/>
        <w:t xml:space="preserve">✓ Location-Dominant Pricing: Location and market conditions drive 95% of price variance; </w:t>
        <w:br/>
        <w:t xml:space="preserve">  traditional features have minimal impact</w:t>
        <w:br/>
        <w:t>✓ Luxury Demand: High-end segment shows strongest conversion (37.2%) and fastest sales (60.5 days)</w:t>
        <w:br/>
        <w:t xml:space="preserve">✓ Market Equilibrium: Symmetric price distribution with fair Gini coefficient of 0.28 indicates </w:t>
        <w:br/>
        <w:t xml:space="preserve">  healthy market conditions with no speculative bubbles</w:t>
        <w:br/>
        <w:br/>
        <w:t xml:space="preserve">This analysis provides real estate companies, investors, and mortgage providers with data-driven </w:t>
        <w:br/>
        <w:t xml:space="preserve">insights for strategic decision-making. The recommended Power BI dashboard enables real-time </w:t>
        <w:br/>
        <w:t xml:space="preserve">monitoring of market dynamics across geographic regions, property types, and price segments, </w:t>
        <w:br/>
        <w:t>supporting rapid response to market changes and informed capital allocation decisions.</w:t>
        <w:br/>
        <w:br/>
        <w:t xml:space="preserve">The weak feature correlations underscore the importance of location-based analytics and market </w:t>
        <w:br/>
        <w:t xml:space="preserve">positioning over property-level characteristics, suggesting that future competitive advantage in </w:t>
        <w:br/>
        <w:t xml:space="preserve">real estate will accrue to organizations that excel at location analysis, market positioning, </w:t>
        <w:br/>
        <w:t>and demographic alignment rather than property feature optimization.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