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1D3" w:rsidRDefault="003421D3" w:rsidP="003421D3">
      <w:pPr>
        <w:jc w:val="both"/>
        <w:rPr>
          <w:rFonts w:ascii="Times New Roman" w:hAnsi="Times New Roman" w:cs="Times New Roman"/>
          <w:sz w:val="24"/>
          <w:szCs w:val="24"/>
        </w:rPr>
      </w:pPr>
      <w:r w:rsidRPr="007D76AB">
        <w:rPr>
          <w:rFonts w:ascii="Times New Roman" w:hAnsi="Times New Roman" w:cs="Times New Roman"/>
          <w:sz w:val="24"/>
          <w:szCs w:val="24"/>
        </w:rPr>
        <w:t>Increase student participation in leadership programs by 10%</w:t>
      </w:r>
    </w:p>
    <w:p w:rsidR="003421D3" w:rsidRDefault="003421D3" w:rsidP="003421D3">
      <w:pPr>
        <w:jc w:val="both"/>
        <w:rPr>
          <w:rFonts w:ascii="Times New Roman" w:hAnsi="Times New Roman" w:cs="Times New Roman"/>
          <w:sz w:val="24"/>
          <w:szCs w:val="24"/>
        </w:rPr>
      </w:pPr>
    </w:p>
    <w:p w:rsidR="003421D3" w:rsidRDefault="003421D3" w:rsidP="003421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 ACCOMPLISHED – SIL is defining “leadership program” as programs specifically driven by the SIL office, including the Leadership Conference, Leadership Institutes, Reading Circles and Elite Owls. It does not include other leadership opportunities available on campus. There was a 6% increase in students participating in leadership programs this year.</w:t>
      </w:r>
    </w:p>
    <w:p w:rsidR="003421D3" w:rsidRDefault="003421D3" w:rsidP="003421D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08"/>
        <w:gridCol w:w="1620"/>
        <w:gridCol w:w="1710"/>
        <w:gridCol w:w="2610"/>
      </w:tblGrid>
      <w:tr w:rsidR="003421D3" w:rsidTr="00EB411D">
        <w:tc>
          <w:tcPr>
            <w:tcW w:w="2808" w:type="dxa"/>
          </w:tcPr>
          <w:p w:rsidR="003421D3" w:rsidRPr="0050591C" w:rsidRDefault="003421D3" w:rsidP="00EB411D">
            <w:pPr>
              <w:pStyle w:val="ListParagraph"/>
              <w:ind w:left="0"/>
              <w:jc w:val="both"/>
              <w:rPr>
                <w:rFonts w:ascii="Times New Roman" w:hAnsi="Times New Roman"/>
                <w:b/>
                <w:sz w:val="24"/>
                <w:szCs w:val="24"/>
              </w:rPr>
            </w:pPr>
            <w:r w:rsidRPr="0050591C">
              <w:rPr>
                <w:rFonts w:ascii="Times New Roman" w:hAnsi="Times New Roman"/>
                <w:b/>
                <w:sz w:val="24"/>
                <w:szCs w:val="24"/>
              </w:rPr>
              <w:t>Leadership Program</w:t>
            </w:r>
          </w:p>
        </w:tc>
        <w:tc>
          <w:tcPr>
            <w:tcW w:w="1620" w:type="dxa"/>
          </w:tcPr>
          <w:p w:rsidR="003421D3" w:rsidRPr="0050591C" w:rsidRDefault="003421D3" w:rsidP="00EB411D">
            <w:pPr>
              <w:pStyle w:val="ListParagraph"/>
              <w:ind w:left="0"/>
              <w:jc w:val="center"/>
              <w:rPr>
                <w:rFonts w:ascii="Times New Roman" w:hAnsi="Times New Roman"/>
                <w:b/>
                <w:sz w:val="24"/>
                <w:szCs w:val="24"/>
              </w:rPr>
            </w:pPr>
            <w:r w:rsidRPr="0050591C">
              <w:rPr>
                <w:rFonts w:ascii="Times New Roman" w:hAnsi="Times New Roman"/>
                <w:b/>
                <w:sz w:val="24"/>
                <w:szCs w:val="24"/>
              </w:rPr>
              <w:t>2009/2010</w:t>
            </w:r>
          </w:p>
        </w:tc>
        <w:tc>
          <w:tcPr>
            <w:tcW w:w="1710" w:type="dxa"/>
          </w:tcPr>
          <w:p w:rsidR="003421D3" w:rsidRPr="0050591C" w:rsidRDefault="003421D3" w:rsidP="00EB411D">
            <w:pPr>
              <w:pStyle w:val="ListParagraph"/>
              <w:ind w:left="0"/>
              <w:jc w:val="center"/>
              <w:rPr>
                <w:rFonts w:ascii="Times New Roman" w:hAnsi="Times New Roman"/>
                <w:b/>
                <w:sz w:val="24"/>
                <w:szCs w:val="24"/>
              </w:rPr>
            </w:pPr>
            <w:r w:rsidRPr="0050591C">
              <w:rPr>
                <w:rFonts w:ascii="Times New Roman" w:hAnsi="Times New Roman"/>
                <w:b/>
                <w:sz w:val="24"/>
                <w:szCs w:val="24"/>
              </w:rPr>
              <w:t>2010/2011</w:t>
            </w:r>
          </w:p>
        </w:tc>
        <w:tc>
          <w:tcPr>
            <w:tcW w:w="2610" w:type="dxa"/>
          </w:tcPr>
          <w:p w:rsidR="003421D3" w:rsidRPr="0050591C" w:rsidRDefault="003421D3" w:rsidP="00EB411D">
            <w:pPr>
              <w:pStyle w:val="ListParagraph"/>
              <w:ind w:left="0"/>
              <w:jc w:val="center"/>
              <w:rPr>
                <w:rFonts w:ascii="Times New Roman" w:hAnsi="Times New Roman"/>
                <w:b/>
                <w:sz w:val="24"/>
                <w:szCs w:val="24"/>
              </w:rPr>
            </w:pPr>
            <w:r w:rsidRPr="0050591C">
              <w:rPr>
                <w:rFonts w:ascii="Times New Roman" w:hAnsi="Times New Roman"/>
                <w:b/>
                <w:sz w:val="24"/>
                <w:szCs w:val="24"/>
              </w:rPr>
              <w:t>Percentage Increase</w:t>
            </w:r>
          </w:p>
        </w:tc>
      </w:tr>
      <w:tr w:rsidR="003421D3" w:rsidTr="00EB411D">
        <w:tc>
          <w:tcPr>
            <w:tcW w:w="2808" w:type="dxa"/>
          </w:tcPr>
          <w:p w:rsidR="003421D3" w:rsidRDefault="003421D3" w:rsidP="00EB411D">
            <w:pPr>
              <w:pStyle w:val="ListParagraph"/>
              <w:ind w:left="0"/>
              <w:jc w:val="both"/>
              <w:rPr>
                <w:rFonts w:ascii="Times New Roman" w:hAnsi="Times New Roman"/>
                <w:sz w:val="24"/>
                <w:szCs w:val="24"/>
              </w:rPr>
            </w:pPr>
            <w:r>
              <w:rPr>
                <w:rFonts w:ascii="Times New Roman" w:hAnsi="Times New Roman"/>
                <w:sz w:val="24"/>
                <w:szCs w:val="24"/>
              </w:rPr>
              <w:t>Leadership Conference</w:t>
            </w:r>
          </w:p>
        </w:tc>
        <w:tc>
          <w:tcPr>
            <w:tcW w:w="162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550</w:t>
            </w:r>
          </w:p>
        </w:tc>
        <w:tc>
          <w:tcPr>
            <w:tcW w:w="17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564</w:t>
            </w:r>
          </w:p>
        </w:tc>
        <w:tc>
          <w:tcPr>
            <w:tcW w:w="26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2.6%+</w:t>
            </w:r>
          </w:p>
        </w:tc>
      </w:tr>
      <w:tr w:rsidR="003421D3" w:rsidTr="00EB411D">
        <w:tc>
          <w:tcPr>
            <w:tcW w:w="2808" w:type="dxa"/>
          </w:tcPr>
          <w:p w:rsidR="003421D3" w:rsidRDefault="003421D3" w:rsidP="00EB411D">
            <w:pPr>
              <w:pStyle w:val="ListParagraph"/>
              <w:ind w:left="0"/>
              <w:jc w:val="both"/>
              <w:rPr>
                <w:rFonts w:ascii="Times New Roman" w:hAnsi="Times New Roman"/>
                <w:sz w:val="24"/>
                <w:szCs w:val="24"/>
              </w:rPr>
            </w:pPr>
            <w:r>
              <w:rPr>
                <w:rFonts w:ascii="Times New Roman" w:hAnsi="Times New Roman"/>
                <w:sz w:val="24"/>
                <w:szCs w:val="24"/>
              </w:rPr>
              <w:t>Leadership Institutes</w:t>
            </w:r>
          </w:p>
        </w:tc>
        <w:tc>
          <w:tcPr>
            <w:tcW w:w="162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84</w:t>
            </w:r>
          </w:p>
        </w:tc>
        <w:tc>
          <w:tcPr>
            <w:tcW w:w="17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102</w:t>
            </w:r>
          </w:p>
        </w:tc>
        <w:tc>
          <w:tcPr>
            <w:tcW w:w="26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21%+</w:t>
            </w:r>
          </w:p>
        </w:tc>
      </w:tr>
      <w:tr w:rsidR="003421D3" w:rsidTr="00EB411D">
        <w:tc>
          <w:tcPr>
            <w:tcW w:w="2808" w:type="dxa"/>
          </w:tcPr>
          <w:p w:rsidR="003421D3" w:rsidRDefault="003421D3" w:rsidP="00EB411D">
            <w:pPr>
              <w:pStyle w:val="ListParagraph"/>
              <w:ind w:left="0"/>
              <w:jc w:val="both"/>
              <w:rPr>
                <w:rFonts w:ascii="Times New Roman" w:hAnsi="Times New Roman"/>
                <w:sz w:val="24"/>
                <w:szCs w:val="24"/>
              </w:rPr>
            </w:pPr>
            <w:r>
              <w:rPr>
                <w:rFonts w:ascii="Times New Roman" w:hAnsi="Times New Roman"/>
                <w:sz w:val="24"/>
                <w:szCs w:val="24"/>
              </w:rPr>
              <w:t>Reading Circles</w:t>
            </w:r>
          </w:p>
        </w:tc>
        <w:tc>
          <w:tcPr>
            <w:tcW w:w="162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20</w:t>
            </w:r>
          </w:p>
        </w:tc>
        <w:tc>
          <w:tcPr>
            <w:tcW w:w="17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24</w:t>
            </w:r>
          </w:p>
        </w:tc>
        <w:tc>
          <w:tcPr>
            <w:tcW w:w="26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2%</w:t>
            </w:r>
          </w:p>
        </w:tc>
      </w:tr>
      <w:tr w:rsidR="003421D3" w:rsidTr="00EB411D">
        <w:tc>
          <w:tcPr>
            <w:tcW w:w="2808" w:type="dxa"/>
          </w:tcPr>
          <w:p w:rsidR="003421D3" w:rsidRDefault="003421D3" w:rsidP="00EB411D">
            <w:pPr>
              <w:pStyle w:val="ListParagraph"/>
              <w:ind w:left="0"/>
              <w:jc w:val="both"/>
              <w:rPr>
                <w:rFonts w:ascii="Times New Roman" w:hAnsi="Times New Roman"/>
                <w:sz w:val="24"/>
                <w:szCs w:val="24"/>
              </w:rPr>
            </w:pPr>
            <w:r>
              <w:rPr>
                <w:rFonts w:ascii="Times New Roman" w:hAnsi="Times New Roman"/>
                <w:sz w:val="24"/>
                <w:szCs w:val="24"/>
              </w:rPr>
              <w:t>Elite Owls</w:t>
            </w:r>
          </w:p>
        </w:tc>
        <w:tc>
          <w:tcPr>
            <w:tcW w:w="162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0</w:t>
            </w:r>
          </w:p>
        </w:tc>
        <w:tc>
          <w:tcPr>
            <w:tcW w:w="17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5</w:t>
            </w:r>
          </w:p>
        </w:tc>
        <w:tc>
          <w:tcPr>
            <w:tcW w:w="2610" w:type="dxa"/>
          </w:tcPr>
          <w:p w:rsidR="003421D3" w:rsidRDefault="003421D3" w:rsidP="00EB411D">
            <w:pPr>
              <w:pStyle w:val="ListParagraph"/>
              <w:ind w:left="0"/>
              <w:jc w:val="center"/>
              <w:rPr>
                <w:rFonts w:ascii="Times New Roman" w:hAnsi="Times New Roman"/>
                <w:sz w:val="24"/>
                <w:szCs w:val="24"/>
              </w:rPr>
            </w:pPr>
            <w:r>
              <w:rPr>
                <w:rFonts w:ascii="Times New Roman" w:hAnsi="Times New Roman"/>
                <w:sz w:val="24"/>
                <w:szCs w:val="24"/>
              </w:rPr>
              <w:t>500%</w:t>
            </w:r>
          </w:p>
        </w:tc>
      </w:tr>
      <w:tr w:rsidR="003421D3" w:rsidTr="00EB411D">
        <w:tc>
          <w:tcPr>
            <w:tcW w:w="2808" w:type="dxa"/>
          </w:tcPr>
          <w:p w:rsidR="003421D3" w:rsidRPr="000625E6" w:rsidRDefault="003421D3" w:rsidP="00EB411D">
            <w:pPr>
              <w:pStyle w:val="ListParagraph"/>
              <w:ind w:left="0"/>
              <w:jc w:val="both"/>
              <w:rPr>
                <w:rFonts w:ascii="Times New Roman" w:hAnsi="Times New Roman"/>
                <w:b/>
                <w:sz w:val="24"/>
                <w:szCs w:val="24"/>
              </w:rPr>
            </w:pPr>
            <w:r w:rsidRPr="000625E6">
              <w:rPr>
                <w:rFonts w:ascii="Times New Roman" w:hAnsi="Times New Roman"/>
                <w:b/>
                <w:sz w:val="24"/>
                <w:szCs w:val="24"/>
              </w:rPr>
              <w:t>TOTAL STUDENTS</w:t>
            </w:r>
          </w:p>
        </w:tc>
        <w:tc>
          <w:tcPr>
            <w:tcW w:w="1620" w:type="dxa"/>
          </w:tcPr>
          <w:p w:rsidR="003421D3" w:rsidRPr="000625E6" w:rsidRDefault="003421D3" w:rsidP="00EB411D">
            <w:pPr>
              <w:pStyle w:val="ListParagraph"/>
              <w:ind w:left="0"/>
              <w:jc w:val="center"/>
              <w:rPr>
                <w:rFonts w:ascii="Times New Roman" w:hAnsi="Times New Roman"/>
                <w:b/>
                <w:sz w:val="24"/>
                <w:szCs w:val="24"/>
              </w:rPr>
            </w:pPr>
            <w:r w:rsidRPr="000625E6">
              <w:rPr>
                <w:rFonts w:ascii="Times New Roman" w:hAnsi="Times New Roman"/>
                <w:b/>
                <w:sz w:val="24"/>
                <w:szCs w:val="24"/>
              </w:rPr>
              <w:t>654</w:t>
            </w:r>
          </w:p>
        </w:tc>
        <w:tc>
          <w:tcPr>
            <w:tcW w:w="1710" w:type="dxa"/>
          </w:tcPr>
          <w:p w:rsidR="003421D3" w:rsidRPr="000625E6" w:rsidRDefault="003421D3" w:rsidP="00EB411D">
            <w:pPr>
              <w:pStyle w:val="ListParagraph"/>
              <w:ind w:left="0"/>
              <w:jc w:val="center"/>
              <w:rPr>
                <w:rFonts w:ascii="Times New Roman" w:hAnsi="Times New Roman"/>
                <w:b/>
                <w:sz w:val="24"/>
                <w:szCs w:val="24"/>
              </w:rPr>
            </w:pPr>
            <w:r w:rsidRPr="000625E6">
              <w:rPr>
                <w:rFonts w:ascii="Times New Roman" w:hAnsi="Times New Roman"/>
                <w:b/>
                <w:sz w:val="24"/>
                <w:szCs w:val="24"/>
              </w:rPr>
              <w:t>695</w:t>
            </w:r>
          </w:p>
        </w:tc>
        <w:tc>
          <w:tcPr>
            <w:tcW w:w="2610" w:type="dxa"/>
          </w:tcPr>
          <w:p w:rsidR="003421D3" w:rsidRPr="000625E6" w:rsidRDefault="003421D3" w:rsidP="00EB411D">
            <w:pPr>
              <w:pStyle w:val="ListParagraph"/>
              <w:ind w:left="0"/>
              <w:jc w:val="center"/>
              <w:rPr>
                <w:rFonts w:ascii="Times New Roman" w:hAnsi="Times New Roman"/>
                <w:b/>
                <w:sz w:val="24"/>
                <w:szCs w:val="24"/>
              </w:rPr>
            </w:pPr>
            <w:r w:rsidRPr="000625E6">
              <w:rPr>
                <w:rFonts w:ascii="Times New Roman" w:hAnsi="Times New Roman"/>
                <w:b/>
                <w:sz w:val="24"/>
                <w:szCs w:val="24"/>
              </w:rPr>
              <w:t>6%+</w:t>
            </w:r>
          </w:p>
        </w:tc>
      </w:tr>
    </w:tbl>
    <w:p w:rsidR="003421D3" w:rsidRPr="00D92E68" w:rsidRDefault="003421D3" w:rsidP="003421D3">
      <w:pPr>
        <w:pStyle w:val="ListParagraph"/>
        <w:jc w:val="both"/>
        <w:rPr>
          <w:rFonts w:ascii="Times New Roman" w:hAnsi="Times New Roman" w:cs="Times New Roman"/>
          <w:sz w:val="24"/>
          <w:szCs w:val="24"/>
        </w:rPr>
      </w:pPr>
    </w:p>
    <w:p w:rsidR="00DD2ED3" w:rsidRDefault="00DD2ED3">
      <w:bookmarkStart w:id="0" w:name="_GoBack"/>
      <w:bookmarkEnd w:id="0"/>
    </w:p>
    <w:sectPr w:rsidR="00DD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1341"/>
    <w:multiLevelType w:val="hybridMultilevel"/>
    <w:tmpl w:val="FF32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1D3"/>
    <w:rsid w:val="00323A64"/>
    <w:rsid w:val="003421D3"/>
    <w:rsid w:val="00DD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D3"/>
    <w:pPr>
      <w:ind w:left="720"/>
      <w:contextualSpacing/>
    </w:pPr>
  </w:style>
  <w:style w:type="table" w:styleId="TableGrid">
    <w:name w:val="Table Grid"/>
    <w:basedOn w:val="TableNormal"/>
    <w:uiPriority w:val="59"/>
    <w:rsid w:val="003421D3"/>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D3"/>
    <w:pPr>
      <w:ind w:left="720"/>
      <w:contextualSpacing/>
    </w:pPr>
  </w:style>
  <w:style w:type="table" w:styleId="TableGrid">
    <w:name w:val="Table Grid"/>
    <w:basedOn w:val="TableNormal"/>
    <w:uiPriority w:val="59"/>
    <w:rsid w:val="003421D3"/>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Keating</dc:creator>
  <cp:lastModifiedBy>Alicia Keating</cp:lastModifiedBy>
  <cp:revision>1</cp:revision>
  <dcterms:created xsi:type="dcterms:W3CDTF">2012-01-24T23:58:00Z</dcterms:created>
  <dcterms:modified xsi:type="dcterms:W3CDTF">2012-01-24T23:58:00Z</dcterms:modified>
</cp:coreProperties>
</file>