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804" w:rsidRDefault="00424804" w:rsidP="0036533F">
      <w:pPr>
        <w:pStyle w:val="NoSpacing"/>
        <w:ind w:right="900"/>
        <w:jc w:val="center"/>
        <w:rPr>
          <w:rFonts w:ascii="Arial" w:hAnsi="Arial" w:cs="Arial"/>
          <w:b/>
        </w:rPr>
      </w:pPr>
      <w:r>
        <w:rPr>
          <w:rFonts w:ascii="Arial" w:hAnsi="Arial" w:cs="Arial"/>
          <w:b/>
        </w:rPr>
        <w:t xml:space="preserve">Program </w:t>
      </w:r>
      <w:r w:rsidR="00F538F3" w:rsidRPr="00424804">
        <w:rPr>
          <w:rFonts w:ascii="Arial" w:hAnsi="Arial" w:cs="Arial"/>
          <w:b/>
        </w:rPr>
        <w:t xml:space="preserve">Assessment Policy for the </w:t>
      </w:r>
    </w:p>
    <w:p w:rsidR="00B17E73" w:rsidRPr="00424804" w:rsidRDefault="00F538F3" w:rsidP="0036533F">
      <w:pPr>
        <w:pStyle w:val="NoSpacing"/>
        <w:ind w:right="900"/>
        <w:jc w:val="center"/>
        <w:rPr>
          <w:rFonts w:ascii="Arial" w:hAnsi="Arial" w:cs="Arial"/>
          <w:b/>
        </w:rPr>
      </w:pPr>
      <w:r w:rsidRPr="00424804">
        <w:rPr>
          <w:rFonts w:ascii="Arial" w:hAnsi="Arial" w:cs="Arial"/>
          <w:b/>
        </w:rPr>
        <w:t>Master’s Degree in Exceptional Student Education</w:t>
      </w:r>
    </w:p>
    <w:p w:rsidR="00F538F3" w:rsidRPr="00424804" w:rsidRDefault="00F538F3" w:rsidP="0036533F">
      <w:pPr>
        <w:pStyle w:val="NoSpacing"/>
        <w:ind w:right="900"/>
        <w:jc w:val="center"/>
        <w:rPr>
          <w:rFonts w:ascii="Arial" w:hAnsi="Arial" w:cs="Arial"/>
          <w:sz w:val="20"/>
          <w:szCs w:val="20"/>
        </w:rPr>
      </w:pPr>
      <w:r w:rsidRPr="00424804">
        <w:rPr>
          <w:rFonts w:ascii="Arial" w:hAnsi="Arial" w:cs="Arial"/>
          <w:sz w:val="20"/>
          <w:szCs w:val="20"/>
        </w:rPr>
        <w:t>(</w:t>
      </w:r>
      <w:proofErr w:type="gramStart"/>
      <w:r w:rsidRPr="00424804">
        <w:rPr>
          <w:rFonts w:ascii="Arial" w:hAnsi="Arial" w:cs="Arial"/>
          <w:sz w:val="20"/>
          <w:szCs w:val="20"/>
        </w:rPr>
        <w:t>adopted</w:t>
      </w:r>
      <w:proofErr w:type="gramEnd"/>
      <w:r w:rsidRPr="00424804">
        <w:rPr>
          <w:rFonts w:ascii="Arial" w:hAnsi="Arial" w:cs="Arial"/>
          <w:sz w:val="20"/>
          <w:szCs w:val="20"/>
        </w:rPr>
        <w:t xml:space="preserve"> October 22, 2010</w:t>
      </w:r>
      <w:r w:rsidR="007F6558">
        <w:rPr>
          <w:rFonts w:ascii="Arial" w:hAnsi="Arial" w:cs="Arial"/>
          <w:sz w:val="20"/>
          <w:szCs w:val="20"/>
        </w:rPr>
        <w:t>; revised November 12, 2010</w:t>
      </w:r>
      <w:r w:rsidRPr="00424804">
        <w:rPr>
          <w:rFonts w:ascii="Arial" w:hAnsi="Arial" w:cs="Arial"/>
          <w:sz w:val="20"/>
          <w:szCs w:val="20"/>
        </w:rPr>
        <w:t>)</w:t>
      </w:r>
    </w:p>
    <w:p w:rsidR="00F538F3" w:rsidRPr="00424804" w:rsidRDefault="00F538F3" w:rsidP="0036533F">
      <w:pPr>
        <w:ind w:right="900"/>
        <w:jc w:val="center"/>
        <w:rPr>
          <w:rFonts w:ascii="Arial" w:hAnsi="Arial" w:cs="Arial"/>
        </w:rPr>
      </w:pPr>
    </w:p>
    <w:p w:rsidR="00424804" w:rsidRDefault="00F538F3" w:rsidP="0036533F">
      <w:pPr>
        <w:ind w:right="900"/>
        <w:rPr>
          <w:rFonts w:ascii="Arial" w:hAnsi="Arial" w:cs="Arial"/>
        </w:rPr>
      </w:pPr>
      <w:r w:rsidRPr="00424804">
        <w:rPr>
          <w:rFonts w:ascii="Arial" w:hAnsi="Arial" w:cs="Arial"/>
        </w:rPr>
        <w:t>The Master’s Degree in Exceptional Student</w:t>
      </w:r>
      <w:r w:rsidR="001B0D36">
        <w:rPr>
          <w:rFonts w:ascii="Arial" w:hAnsi="Arial" w:cs="Arial"/>
        </w:rPr>
        <w:t xml:space="preserve"> Education is a 36-</w:t>
      </w:r>
      <w:r w:rsidRPr="00424804">
        <w:rPr>
          <w:rFonts w:ascii="Arial" w:hAnsi="Arial" w:cs="Arial"/>
        </w:rPr>
        <w:t>credit (minimum) program comprised of a College of Education core (6 credits), a Department core (15 - 18 credits), and</w:t>
      </w:r>
      <w:r w:rsidR="00177EE1" w:rsidRPr="00424804">
        <w:rPr>
          <w:rFonts w:ascii="Arial" w:hAnsi="Arial" w:cs="Arial"/>
        </w:rPr>
        <w:t xml:space="preserve"> student options for a Concentration A</w:t>
      </w:r>
      <w:r w:rsidRPr="00424804">
        <w:rPr>
          <w:rFonts w:ascii="Arial" w:hAnsi="Arial" w:cs="Arial"/>
        </w:rPr>
        <w:t xml:space="preserve">rea (13-15 credits).  The logic of a Department core is that each student who enters the Master’s Degree program should </w:t>
      </w:r>
      <w:r w:rsidR="00177EE1" w:rsidRPr="00424804">
        <w:rPr>
          <w:rFonts w:ascii="Arial" w:hAnsi="Arial" w:cs="Arial"/>
        </w:rPr>
        <w:t>acquire</w:t>
      </w:r>
      <w:r w:rsidRPr="00424804">
        <w:rPr>
          <w:rFonts w:ascii="Arial" w:hAnsi="Arial" w:cs="Arial"/>
        </w:rPr>
        <w:t xml:space="preserve"> a </w:t>
      </w:r>
      <w:r w:rsidR="00177EE1" w:rsidRPr="00424804">
        <w:rPr>
          <w:rFonts w:ascii="Arial" w:hAnsi="Arial" w:cs="Arial"/>
        </w:rPr>
        <w:t>common</w:t>
      </w:r>
      <w:r w:rsidRPr="00424804">
        <w:rPr>
          <w:rFonts w:ascii="Arial" w:hAnsi="Arial" w:cs="Arial"/>
        </w:rPr>
        <w:t xml:space="preserve"> set of skills and knowledge, shared among </w:t>
      </w:r>
      <w:r w:rsidR="001B0D36">
        <w:rPr>
          <w:rFonts w:ascii="Arial" w:hAnsi="Arial" w:cs="Arial"/>
        </w:rPr>
        <w:t xml:space="preserve">all </w:t>
      </w:r>
      <w:r w:rsidRPr="00424804">
        <w:rPr>
          <w:rFonts w:ascii="Arial" w:hAnsi="Arial" w:cs="Arial"/>
        </w:rPr>
        <w:t xml:space="preserve">special educators, and demonstrable upon graduation. </w:t>
      </w:r>
      <w:r w:rsidR="00177EE1" w:rsidRPr="00424804">
        <w:rPr>
          <w:rFonts w:ascii="Arial" w:hAnsi="Arial" w:cs="Arial"/>
        </w:rPr>
        <w:t xml:space="preserve">The logic of the Concentration Area is that students </w:t>
      </w:r>
      <w:r w:rsidR="00424804">
        <w:rPr>
          <w:rFonts w:ascii="Arial" w:hAnsi="Arial" w:cs="Arial"/>
        </w:rPr>
        <w:t>in</w:t>
      </w:r>
      <w:r w:rsidR="00177EE1" w:rsidRPr="00424804">
        <w:rPr>
          <w:rFonts w:ascii="Arial" w:hAnsi="Arial" w:cs="Arial"/>
        </w:rPr>
        <w:t xml:space="preserve"> a graduate program should be able to select a specialization that builds on their previous knowledge and skills in the field</w:t>
      </w:r>
      <w:r w:rsidR="00424804">
        <w:rPr>
          <w:rFonts w:ascii="Arial" w:hAnsi="Arial" w:cs="Arial"/>
        </w:rPr>
        <w:t xml:space="preserve">. </w:t>
      </w:r>
      <w:r w:rsidR="00424804" w:rsidRPr="00424804">
        <w:rPr>
          <w:rFonts w:ascii="Arial" w:hAnsi="Arial" w:cs="Arial"/>
        </w:rPr>
        <w:t xml:space="preserve">A </w:t>
      </w:r>
      <w:r w:rsidR="00325B5F">
        <w:rPr>
          <w:rFonts w:ascii="Arial" w:hAnsi="Arial" w:cs="Arial"/>
        </w:rPr>
        <w:t xml:space="preserve">graphic </w:t>
      </w:r>
      <w:r w:rsidR="00424804" w:rsidRPr="00424804">
        <w:rPr>
          <w:rFonts w:ascii="Arial" w:hAnsi="Arial" w:cs="Arial"/>
        </w:rPr>
        <w:t>summary of the ESE Master’s Degree program follows:</w:t>
      </w:r>
    </w:p>
    <w:p w:rsidR="00A751CC" w:rsidRPr="00424804" w:rsidRDefault="00A751CC" w:rsidP="00A03859">
      <w:pPr>
        <w:ind w:left="1080" w:right="1980"/>
        <w:rPr>
          <w:rFonts w:ascii="Arial" w:hAnsi="Arial" w:cs="Arial"/>
        </w:rPr>
      </w:pPr>
    </w:p>
    <w:p w:rsidR="00424804" w:rsidRPr="00424804" w:rsidRDefault="00424804" w:rsidP="001B0D36">
      <w:pPr>
        <w:pStyle w:val="NoSpacing"/>
        <w:pBdr>
          <w:top w:val="single" w:sz="4" w:space="1" w:color="auto"/>
          <w:left w:val="single" w:sz="4" w:space="4" w:color="auto"/>
          <w:bottom w:val="single" w:sz="4" w:space="1" w:color="auto"/>
          <w:right w:val="single" w:sz="4" w:space="5" w:color="auto"/>
        </w:pBdr>
        <w:ind w:left="1080" w:right="2250"/>
        <w:jc w:val="center"/>
        <w:rPr>
          <w:rFonts w:ascii="Arial" w:hAnsi="Arial" w:cs="Arial"/>
          <w:b/>
        </w:rPr>
      </w:pPr>
      <w:r w:rsidRPr="00424804">
        <w:rPr>
          <w:rFonts w:ascii="Arial" w:hAnsi="Arial" w:cs="Arial"/>
          <w:b/>
        </w:rPr>
        <w:t>College of Education Core</w:t>
      </w:r>
    </w:p>
    <w:p w:rsidR="00424804" w:rsidRPr="00424804" w:rsidRDefault="00424804" w:rsidP="001B0D36">
      <w:pPr>
        <w:pStyle w:val="NoSpacing"/>
        <w:pBdr>
          <w:top w:val="single" w:sz="4" w:space="1" w:color="auto"/>
          <w:left w:val="single" w:sz="4" w:space="4" w:color="auto"/>
          <w:bottom w:val="single" w:sz="4" w:space="1" w:color="auto"/>
          <w:right w:val="single" w:sz="4" w:space="5" w:color="auto"/>
        </w:pBdr>
        <w:ind w:left="1080" w:right="2250"/>
        <w:rPr>
          <w:rFonts w:ascii="Arial" w:hAnsi="Arial" w:cs="Arial"/>
          <w:b/>
        </w:rPr>
      </w:pPr>
    </w:p>
    <w:p w:rsidR="00424804" w:rsidRPr="00424804" w:rsidRDefault="00424804" w:rsidP="001B0D36">
      <w:pPr>
        <w:pStyle w:val="NoSpacing"/>
        <w:pBdr>
          <w:top w:val="single" w:sz="4" w:space="1" w:color="auto"/>
          <w:left w:val="single" w:sz="4" w:space="4" w:color="auto"/>
          <w:bottom w:val="single" w:sz="4" w:space="1" w:color="auto"/>
          <w:right w:val="single" w:sz="4" w:space="5" w:color="auto"/>
        </w:pBdr>
        <w:ind w:left="1080" w:right="2250"/>
        <w:rPr>
          <w:rFonts w:ascii="Arial" w:hAnsi="Arial" w:cs="Arial"/>
        </w:rPr>
      </w:pPr>
      <w:r w:rsidRPr="00424804">
        <w:rPr>
          <w:rFonts w:ascii="Arial" w:hAnsi="Arial" w:cs="Arial"/>
        </w:rPr>
        <w:t>EDF 6481</w:t>
      </w:r>
      <w:r w:rsidRPr="00424804">
        <w:rPr>
          <w:rFonts w:ascii="Arial" w:hAnsi="Arial" w:cs="Arial"/>
        </w:rPr>
        <w:tab/>
      </w:r>
      <w:r w:rsidR="00A03859">
        <w:rPr>
          <w:rFonts w:ascii="Arial" w:hAnsi="Arial" w:cs="Arial"/>
        </w:rPr>
        <w:tab/>
      </w:r>
      <w:r w:rsidRPr="00424804">
        <w:rPr>
          <w:rFonts w:ascii="Arial" w:hAnsi="Arial" w:cs="Arial"/>
        </w:rPr>
        <w:t>Educational Research</w:t>
      </w:r>
    </w:p>
    <w:p w:rsidR="00424804" w:rsidRPr="00424804" w:rsidRDefault="00424804" w:rsidP="001B0D36">
      <w:pPr>
        <w:pStyle w:val="NoSpacing"/>
        <w:pBdr>
          <w:top w:val="single" w:sz="4" w:space="1" w:color="auto"/>
          <w:left w:val="single" w:sz="4" w:space="4" w:color="auto"/>
          <w:bottom w:val="single" w:sz="4" w:space="1" w:color="auto"/>
          <w:right w:val="single" w:sz="4" w:space="5" w:color="auto"/>
        </w:pBdr>
        <w:ind w:left="1080" w:right="2250"/>
        <w:rPr>
          <w:rFonts w:ascii="Arial" w:hAnsi="Arial" w:cs="Arial"/>
        </w:rPr>
      </w:pPr>
      <w:r w:rsidRPr="00424804">
        <w:rPr>
          <w:rFonts w:ascii="Arial" w:hAnsi="Arial" w:cs="Arial"/>
        </w:rPr>
        <w:t>STA 6113</w:t>
      </w:r>
      <w:r w:rsidRPr="00424804">
        <w:rPr>
          <w:rFonts w:ascii="Arial" w:hAnsi="Arial" w:cs="Arial"/>
        </w:rPr>
        <w:tab/>
      </w:r>
      <w:r w:rsidR="00A03859">
        <w:rPr>
          <w:rFonts w:ascii="Arial" w:hAnsi="Arial" w:cs="Arial"/>
        </w:rPr>
        <w:tab/>
      </w:r>
      <w:r w:rsidRPr="00424804">
        <w:rPr>
          <w:rFonts w:ascii="Arial" w:hAnsi="Arial" w:cs="Arial"/>
        </w:rPr>
        <w:t>Educational Statistics</w:t>
      </w:r>
    </w:p>
    <w:p w:rsidR="00424804" w:rsidRPr="00424804" w:rsidRDefault="00424804" w:rsidP="001B0D36">
      <w:pPr>
        <w:pStyle w:val="NoSpacing"/>
        <w:ind w:left="1080" w:right="2250"/>
        <w:rPr>
          <w:rFonts w:ascii="Arial" w:hAnsi="Arial" w:cs="Arial"/>
        </w:rPr>
      </w:pPr>
    </w:p>
    <w:p w:rsidR="00424804"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jc w:val="center"/>
        <w:rPr>
          <w:rFonts w:ascii="Arial" w:hAnsi="Arial" w:cs="Arial"/>
          <w:b/>
        </w:rPr>
      </w:pPr>
      <w:r w:rsidRPr="00424804">
        <w:rPr>
          <w:rFonts w:ascii="Arial" w:hAnsi="Arial" w:cs="Arial"/>
          <w:b/>
        </w:rPr>
        <w:t>Exceptional Student Education Department Core</w:t>
      </w:r>
    </w:p>
    <w:p w:rsidR="00424804"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b/>
        </w:rPr>
      </w:pPr>
    </w:p>
    <w:p w:rsidR="00424804"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b/>
        </w:rPr>
      </w:pPr>
      <w:r w:rsidRPr="00424804">
        <w:rPr>
          <w:rFonts w:ascii="Arial" w:hAnsi="Arial" w:cs="Arial"/>
          <w:b/>
        </w:rPr>
        <w:t>Content Courses</w:t>
      </w:r>
    </w:p>
    <w:p w:rsidR="00424804"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rPr>
      </w:pPr>
      <w:r w:rsidRPr="00424804">
        <w:rPr>
          <w:rFonts w:ascii="Arial" w:hAnsi="Arial" w:cs="Arial"/>
        </w:rPr>
        <w:t xml:space="preserve">EEX 6259 </w:t>
      </w:r>
      <w:r w:rsidRPr="00424804">
        <w:rPr>
          <w:rFonts w:ascii="Arial" w:hAnsi="Arial" w:cs="Arial"/>
        </w:rPr>
        <w:tab/>
      </w:r>
      <w:r w:rsidR="00A03859">
        <w:rPr>
          <w:rFonts w:ascii="Arial" w:hAnsi="Arial" w:cs="Arial"/>
        </w:rPr>
        <w:tab/>
      </w:r>
      <w:r w:rsidRPr="00424804">
        <w:rPr>
          <w:rFonts w:ascii="Arial" w:hAnsi="Arial" w:cs="Arial"/>
        </w:rPr>
        <w:t xml:space="preserve">Cognitive and </w:t>
      </w:r>
      <w:proofErr w:type="spellStart"/>
      <w:r w:rsidRPr="00424804">
        <w:rPr>
          <w:rFonts w:ascii="Arial" w:hAnsi="Arial" w:cs="Arial"/>
        </w:rPr>
        <w:t>Metacognitive</w:t>
      </w:r>
      <w:proofErr w:type="spellEnd"/>
      <w:r w:rsidRPr="00424804">
        <w:rPr>
          <w:rFonts w:ascii="Arial" w:hAnsi="Arial" w:cs="Arial"/>
        </w:rPr>
        <w:t xml:space="preserve"> Learning Strategies</w:t>
      </w:r>
    </w:p>
    <w:p w:rsidR="00424804"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rPr>
      </w:pPr>
      <w:r w:rsidRPr="00424804">
        <w:rPr>
          <w:rFonts w:ascii="Arial" w:hAnsi="Arial" w:cs="Arial"/>
        </w:rPr>
        <w:t>EEX 5622</w:t>
      </w:r>
      <w:r w:rsidRPr="00424804">
        <w:rPr>
          <w:rFonts w:ascii="Arial" w:hAnsi="Arial" w:cs="Arial"/>
        </w:rPr>
        <w:tab/>
      </w:r>
      <w:r w:rsidR="00A03859">
        <w:rPr>
          <w:rFonts w:ascii="Arial" w:hAnsi="Arial" w:cs="Arial"/>
        </w:rPr>
        <w:tab/>
      </w:r>
      <w:r w:rsidRPr="00424804">
        <w:rPr>
          <w:rFonts w:ascii="Arial" w:hAnsi="Arial" w:cs="Arial"/>
        </w:rPr>
        <w:t>Collaboration &amp; Consultation Skills</w:t>
      </w:r>
      <w:r w:rsidR="00325B5F">
        <w:rPr>
          <w:rFonts w:ascii="Arial" w:hAnsi="Arial" w:cs="Arial"/>
        </w:rPr>
        <w:t xml:space="preserve"> for Educators</w:t>
      </w:r>
    </w:p>
    <w:p w:rsidR="00424804"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rPr>
      </w:pPr>
      <w:r w:rsidRPr="00424804">
        <w:rPr>
          <w:rFonts w:ascii="Arial" w:hAnsi="Arial" w:cs="Arial"/>
        </w:rPr>
        <w:t>EEX 6065</w:t>
      </w:r>
      <w:r w:rsidRPr="00424804">
        <w:rPr>
          <w:rFonts w:ascii="Arial" w:hAnsi="Arial" w:cs="Arial"/>
        </w:rPr>
        <w:tab/>
      </w:r>
      <w:r w:rsidR="00A03859">
        <w:rPr>
          <w:rFonts w:ascii="Arial" w:hAnsi="Arial" w:cs="Arial"/>
        </w:rPr>
        <w:tab/>
      </w:r>
      <w:r w:rsidRPr="00424804">
        <w:rPr>
          <w:rFonts w:ascii="Arial" w:hAnsi="Arial" w:cs="Arial"/>
        </w:rPr>
        <w:t>Transition Planning for Individuals with Disabilities</w:t>
      </w:r>
    </w:p>
    <w:p w:rsidR="006C4CA3" w:rsidRDefault="006C4CA3"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b/>
        </w:rPr>
      </w:pPr>
    </w:p>
    <w:p w:rsid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b/>
        </w:rPr>
      </w:pPr>
      <w:r w:rsidRPr="00424804">
        <w:rPr>
          <w:rFonts w:ascii="Arial" w:hAnsi="Arial" w:cs="Arial"/>
          <w:b/>
        </w:rPr>
        <w:t>Culminating Experiences</w:t>
      </w:r>
    </w:p>
    <w:p w:rsidR="00F30F8B" w:rsidRPr="00424804" w:rsidRDefault="00F30F8B" w:rsidP="00F30F8B">
      <w:pPr>
        <w:pStyle w:val="NoSpacing"/>
        <w:pBdr>
          <w:top w:val="single" w:sz="4" w:space="1" w:color="auto"/>
          <w:left w:val="single" w:sz="4" w:space="4" w:color="auto"/>
          <w:bottom w:val="single" w:sz="4" w:space="1" w:color="auto"/>
          <w:right w:val="single" w:sz="4" w:space="4" w:color="auto"/>
        </w:pBdr>
        <w:ind w:left="1080" w:right="2250"/>
        <w:rPr>
          <w:rFonts w:ascii="Arial" w:hAnsi="Arial" w:cs="Arial"/>
          <w:b/>
        </w:rPr>
      </w:pPr>
      <w:r w:rsidRPr="00424804">
        <w:rPr>
          <w:rFonts w:ascii="Arial" w:hAnsi="Arial" w:cs="Arial"/>
        </w:rPr>
        <w:t>EEX 6027</w:t>
      </w:r>
      <w:r w:rsidRPr="00424804">
        <w:rPr>
          <w:rFonts w:ascii="Arial" w:hAnsi="Arial" w:cs="Arial"/>
        </w:rPr>
        <w:tab/>
      </w:r>
      <w:r>
        <w:rPr>
          <w:rFonts w:ascii="Arial" w:hAnsi="Arial" w:cs="Arial"/>
        </w:rPr>
        <w:tab/>
      </w:r>
      <w:r w:rsidRPr="00424804">
        <w:rPr>
          <w:rFonts w:ascii="Arial" w:hAnsi="Arial" w:cs="Arial"/>
        </w:rPr>
        <w:t>Seminar in Special Education</w:t>
      </w:r>
      <w:r>
        <w:rPr>
          <w:rFonts w:ascii="Arial" w:hAnsi="Arial" w:cs="Arial"/>
        </w:rPr>
        <w:tab/>
      </w:r>
      <w:r>
        <w:rPr>
          <w:rFonts w:ascii="Arial" w:hAnsi="Arial" w:cs="Arial"/>
        </w:rPr>
        <w:tab/>
      </w:r>
      <w:r w:rsidRPr="00F30F8B">
        <w:rPr>
          <w:rFonts w:ascii="Arial" w:hAnsi="Arial" w:cs="Arial"/>
          <w:b/>
          <w:i/>
        </w:rPr>
        <w:t>and</w:t>
      </w:r>
    </w:p>
    <w:p w:rsidR="00F30F8B" w:rsidRDefault="00F30F8B"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rPr>
      </w:pPr>
    </w:p>
    <w:p w:rsidR="00424804" w:rsidRPr="00424804" w:rsidRDefault="00325B5F"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b/>
        </w:rPr>
      </w:pPr>
      <w:r>
        <w:rPr>
          <w:rFonts w:ascii="Arial" w:hAnsi="Arial" w:cs="Arial"/>
        </w:rPr>
        <w:t>EEX 6971</w:t>
      </w:r>
      <w:r>
        <w:rPr>
          <w:rFonts w:ascii="Arial" w:hAnsi="Arial" w:cs="Arial"/>
        </w:rPr>
        <w:tab/>
      </w:r>
      <w:r w:rsidR="00A03859">
        <w:rPr>
          <w:rFonts w:ascii="Arial" w:hAnsi="Arial" w:cs="Arial"/>
        </w:rPr>
        <w:tab/>
      </w:r>
      <w:r w:rsidR="00424804" w:rsidRPr="00424804">
        <w:rPr>
          <w:rFonts w:ascii="Arial" w:hAnsi="Arial" w:cs="Arial"/>
        </w:rPr>
        <w:t>Thesis</w:t>
      </w:r>
      <w:r w:rsidR="00424804" w:rsidRPr="00424804">
        <w:rPr>
          <w:rFonts w:ascii="Arial" w:hAnsi="Arial" w:cs="Arial"/>
          <w:b/>
        </w:rPr>
        <w:t xml:space="preserve"> </w:t>
      </w:r>
      <w:r w:rsidR="001B0D36">
        <w:rPr>
          <w:rFonts w:ascii="Arial" w:hAnsi="Arial" w:cs="Arial"/>
          <w:b/>
        </w:rPr>
        <w:tab/>
      </w:r>
      <w:r w:rsidR="001B0D36">
        <w:rPr>
          <w:rFonts w:ascii="Arial" w:hAnsi="Arial" w:cs="Arial"/>
          <w:b/>
        </w:rPr>
        <w:tab/>
      </w:r>
      <w:r w:rsidR="00424804" w:rsidRPr="00424804">
        <w:rPr>
          <w:rFonts w:ascii="Arial" w:hAnsi="Arial" w:cs="Arial"/>
          <w:b/>
          <w:i/>
        </w:rPr>
        <w:t>or</w:t>
      </w:r>
    </w:p>
    <w:p w:rsidR="00424804"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rPr>
      </w:pPr>
      <w:r w:rsidRPr="00424804">
        <w:rPr>
          <w:rFonts w:ascii="Arial" w:hAnsi="Arial" w:cs="Arial"/>
        </w:rPr>
        <w:t>EEX 6942</w:t>
      </w:r>
      <w:r w:rsidRPr="00424804">
        <w:rPr>
          <w:rFonts w:ascii="Arial" w:hAnsi="Arial" w:cs="Arial"/>
        </w:rPr>
        <w:tab/>
      </w:r>
      <w:r w:rsidR="00A03859">
        <w:rPr>
          <w:rFonts w:ascii="Arial" w:hAnsi="Arial" w:cs="Arial"/>
        </w:rPr>
        <w:tab/>
      </w:r>
      <w:r w:rsidRPr="00424804">
        <w:rPr>
          <w:rFonts w:ascii="Arial" w:hAnsi="Arial" w:cs="Arial"/>
        </w:rPr>
        <w:t xml:space="preserve">Field Project  </w:t>
      </w:r>
      <w:r w:rsidR="001B0D36">
        <w:rPr>
          <w:rFonts w:ascii="Arial" w:hAnsi="Arial" w:cs="Arial"/>
        </w:rPr>
        <w:tab/>
      </w:r>
      <w:r w:rsidRPr="00424804">
        <w:rPr>
          <w:rFonts w:ascii="Arial" w:hAnsi="Arial" w:cs="Arial"/>
          <w:b/>
          <w:i/>
        </w:rPr>
        <w:t>or</w:t>
      </w:r>
    </w:p>
    <w:p w:rsidR="00424804"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rPr>
      </w:pPr>
      <w:r w:rsidRPr="00424804">
        <w:rPr>
          <w:rFonts w:ascii="Arial" w:hAnsi="Arial" w:cs="Arial"/>
        </w:rPr>
        <w:t>EEX 6683</w:t>
      </w:r>
      <w:r w:rsidRPr="00424804">
        <w:rPr>
          <w:rFonts w:ascii="Arial" w:hAnsi="Arial" w:cs="Arial"/>
        </w:rPr>
        <w:tab/>
      </w:r>
      <w:r w:rsidR="00A03859">
        <w:rPr>
          <w:rFonts w:ascii="Arial" w:hAnsi="Arial" w:cs="Arial"/>
        </w:rPr>
        <w:tab/>
      </w:r>
      <w:r w:rsidRPr="00424804">
        <w:rPr>
          <w:rFonts w:ascii="Arial" w:hAnsi="Arial" w:cs="Arial"/>
        </w:rPr>
        <w:t>Graduate Internship</w:t>
      </w:r>
    </w:p>
    <w:p w:rsidR="00424804" w:rsidRPr="00424804" w:rsidRDefault="00424804" w:rsidP="001B0D36">
      <w:pPr>
        <w:pStyle w:val="NoSpacing"/>
        <w:ind w:left="1080" w:right="2250"/>
        <w:rPr>
          <w:rFonts w:ascii="Arial" w:hAnsi="Arial" w:cs="Arial"/>
        </w:rPr>
      </w:pPr>
    </w:p>
    <w:p w:rsidR="00424804"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jc w:val="center"/>
        <w:rPr>
          <w:rFonts w:ascii="Arial" w:hAnsi="Arial" w:cs="Arial"/>
          <w:b/>
        </w:rPr>
      </w:pPr>
      <w:r w:rsidRPr="00424804">
        <w:rPr>
          <w:rFonts w:ascii="Arial" w:hAnsi="Arial" w:cs="Arial"/>
          <w:b/>
        </w:rPr>
        <w:t>Concentration Areas</w:t>
      </w:r>
    </w:p>
    <w:p w:rsidR="00424804"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rPr>
      </w:pPr>
    </w:p>
    <w:p w:rsidR="001B0D36"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i/>
        </w:rPr>
      </w:pPr>
      <w:r w:rsidRPr="00424804">
        <w:rPr>
          <w:rFonts w:ascii="Arial" w:hAnsi="Arial" w:cs="Arial"/>
          <w:i/>
        </w:rPr>
        <w:t>Instructional Practices in ESE</w:t>
      </w:r>
      <w:r w:rsidR="001B0D36">
        <w:rPr>
          <w:rFonts w:ascii="Arial" w:hAnsi="Arial" w:cs="Arial"/>
          <w:i/>
        </w:rPr>
        <w:tab/>
      </w:r>
      <w:r w:rsidR="001B0D36">
        <w:rPr>
          <w:rFonts w:ascii="Arial" w:hAnsi="Arial" w:cs="Arial"/>
          <w:i/>
        </w:rPr>
        <w:tab/>
      </w:r>
      <w:r w:rsidR="001B0D36" w:rsidRPr="00424804">
        <w:rPr>
          <w:rFonts w:ascii="Arial" w:hAnsi="Arial" w:cs="Arial"/>
          <w:i/>
        </w:rPr>
        <w:t>Reading</w:t>
      </w:r>
    </w:p>
    <w:p w:rsidR="001B0D36" w:rsidRPr="00424804" w:rsidRDefault="001B0D36"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i/>
        </w:rPr>
      </w:pPr>
      <w:r w:rsidRPr="00424804">
        <w:rPr>
          <w:rFonts w:ascii="Arial" w:hAnsi="Arial" w:cs="Arial"/>
          <w:i/>
        </w:rPr>
        <w:t>Applied Behavior Analysis</w:t>
      </w:r>
      <w:r>
        <w:rPr>
          <w:rFonts w:ascii="Arial" w:hAnsi="Arial" w:cs="Arial"/>
          <w:i/>
        </w:rPr>
        <w:tab/>
      </w:r>
      <w:r>
        <w:rPr>
          <w:rFonts w:ascii="Arial" w:hAnsi="Arial" w:cs="Arial"/>
          <w:i/>
        </w:rPr>
        <w:tab/>
      </w:r>
      <w:r w:rsidRPr="00424804">
        <w:rPr>
          <w:rFonts w:ascii="Arial" w:hAnsi="Arial" w:cs="Arial"/>
          <w:i/>
        </w:rPr>
        <w:t>Gifted Education</w:t>
      </w:r>
    </w:p>
    <w:p w:rsidR="001B0D36" w:rsidRPr="00424804" w:rsidRDefault="00424804" w:rsidP="001B0D36">
      <w:pPr>
        <w:pStyle w:val="NoSpacing"/>
        <w:pBdr>
          <w:top w:val="single" w:sz="4" w:space="1" w:color="auto"/>
          <w:left w:val="single" w:sz="4" w:space="4" w:color="auto"/>
          <w:bottom w:val="single" w:sz="4" w:space="1" w:color="auto"/>
          <w:right w:val="single" w:sz="4" w:space="4" w:color="auto"/>
        </w:pBdr>
        <w:ind w:left="1080" w:right="2250"/>
        <w:rPr>
          <w:rFonts w:ascii="Arial" w:hAnsi="Arial" w:cs="Arial"/>
          <w:i/>
        </w:rPr>
      </w:pPr>
      <w:r w:rsidRPr="00424804">
        <w:rPr>
          <w:rFonts w:ascii="Arial" w:hAnsi="Arial" w:cs="Arial"/>
          <w:i/>
        </w:rPr>
        <w:t>Early Childhood</w:t>
      </w:r>
      <w:r w:rsidR="001B0D36">
        <w:rPr>
          <w:rFonts w:ascii="Arial" w:hAnsi="Arial" w:cs="Arial"/>
          <w:i/>
        </w:rPr>
        <w:tab/>
      </w:r>
      <w:r w:rsidR="001B0D36">
        <w:rPr>
          <w:rFonts w:ascii="Arial" w:hAnsi="Arial" w:cs="Arial"/>
          <w:i/>
        </w:rPr>
        <w:tab/>
      </w:r>
      <w:r w:rsidR="001B0D36">
        <w:rPr>
          <w:rFonts w:ascii="Arial" w:hAnsi="Arial" w:cs="Arial"/>
          <w:i/>
        </w:rPr>
        <w:tab/>
      </w:r>
      <w:r w:rsidR="001B0D36">
        <w:rPr>
          <w:rFonts w:ascii="Arial" w:hAnsi="Arial" w:cs="Arial"/>
          <w:i/>
        </w:rPr>
        <w:tab/>
      </w:r>
      <w:r w:rsidR="001B0D36" w:rsidRPr="00424804">
        <w:rPr>
          <w:rFonts w:ascii="Arial" w:hAnsi="Arial" w:cs="Arial"/>
          <w:i/>
        </w:rPr>
        <w:t>Professional Development</w:t>
      </w:r>
    </w:p>
    <w:p w:rsidR="00424804" w:rsidRPr="00424804" w:rsidRDefault="00424804" w:rsidP="00A03859">
      <w:pPr>
        <w:ind w:left="1080" w:right="1980"/>
        <w:rPr>
          <w:rFonts w:ascii="Arial" w:hAnsi="Arial" w:cs="Arial"/>
        </w:rPr>
      </w:pPr>
    </w:p>
    <w:p w:rsidR="00F538F3" w:rsidRDefault="00F538F3" w:rsidP="0036533F">
      <w:pPr>
        <w:ind w:right="900"/>
        <w:rPr>
          <w:rFonts w:ascii="Arial" w:hAnsi="Arial" w:cs="Arial"/>
        </w:rPr>
      </w:pPr>
      <w:r w:rsidRPr="00424804">
        <w:rPr>
          <w:rFonts w:ascii="Arial" w:hAnsi="Arial" w:cs="Arial"/>
        </w:rPr>
        <w:t>Many c</w:t>
      </w:r>
      <w:r w:rsidR="009E0580">
        <w:rPr>
          <w:rFonts w:ascii="Arial" w:hAnsi="Arial" w:cs="Arial"/>
        </w:rPr>
        <w:t>ourses in the Department C</w:t>
      </w:r>
      <w:r w:rsidRPr="00424804">
        <w:rPr>
          <w:rFonts w:ascii="Arial" w:hAnsi="Arial" w:cs="Arial"/>
        </w:rPr>
        <w:t>ore and Concentration Areas contain Critical Assignments</w:t>
      </w:r>
      <w:r w:rsidR="00177EE1" w:rsidRPr="00424804">
        <w:rPr>
          <w:rFonts w:ascii="Arial" w:hAnsi="Arial" w:cs="Arial"/>
        </w:rPr>
        <w:t xml:space="preserve"> (CAs). These CAs are central to the course, and represent </w:t>
      </w:r>
      <w:r w:rsidR="00325B5F">
        <w:rPr>
          <w:rFonts w:ascii="Arial" w:hAnsi="Arial" w:cs="Arial"/>
        </w:rPr>
        <w:t xml:space="preserve">foundational </w:t>
      </w:r>
      <w:r w:rsidR="00177EE1" w:rsidRPr="00424804">
        <w:rPr>
          <w:rFonts w:ascii="Arial" w:hAnsi="Arial" w:cs="Arial"/>
        </w:rPr>
        <w:t xml:space="preserve">content </w:t>
      </w:r>
      <w:r w:rsidR="009E0580">
        <w:rPr>
          <w:rFonts w:ascii="Arial" w:hAnsi="Arial" w:cs="Arial"/>
        </w:rPr>
        <w:t>on which</w:t>
      </w:r>
      <w:r w:rsidR="00177EE1" w:rsidRPr="00424804">
        <w:rPr>
          <w:rFonts w:ascii="Arial" w:hAnsi="Arial" w:cs="Arial"/>
        </w:rPr>
        <w:t xml:space="preserve"> students must </w:t>
      </w:r>
      <w:r w:rsidR="009E0580">
        <w:rPr>
          <w:rFonts w:ascii="Arial" w:hAnsi="Arial" w:cs="Arial"/>
        </w:rPr>
        <w:t>show mastery</w:t>
      </w:r>
      <w:r w:rsidR="00177EE1" w:rsidRPr="00424804">
        <w:rPr>
          <w:rFonts w:ascii="Arial" w:hAnsi="Arial" w:cs="Arial"/>
        </w:rPr>
        <w:t xml:space="preserve">. Assessment of students’ proficiency in these CAs is an important part of the </w:t>
      </w:r>
      <w:r w:rsidR="002A0537" w:rsidRPr="00424804">
        <w:rPr>
          <w:rFonts w:ascii="Arial" w:hAnsi="Arial" w:cs="Arial"/>
        </w:rPr>
        <w:t xml:space="preserve">instructional </w:t>
      </w:r>
      <w:r w:rsidR="00177EE1" w:rsidRPr="00424804">
        <w:rPr>
          <w:rFonts w:ascii="Arial" w:hAnsi="Arial" w:cs="Arial"/>
        </w:rPr>
        <w:t>relationship between faculty and students.</w:t>
      </w:r>
      <w:r w:rsidR="00112039">
        <w:rPr>
          <w:rFonts w:ascii="Arial" w:hAnsi="Arial" w:cs="Arial"/>
        </w:rPr>
        <w:t xml:space="preserve"> These CAs, like all course assignments, demonstrate students’ content proficiency </w:t>
      </w:r>
      <w:r w:rsidR="00112039" w:rsidRPr="00112039">
        <w:rPr>
          <w:rFonts w:ascii="Arial" w:hAnsi="Arial" w:cs="Arial"/>
          <w:i/>
        </w:rPr>
        <w:t>within each course</w:t>
      </w:r>
      <w:r w:rsidR="00112039">
        <w:rPr>
          <w:rFonts w:ascii="Arial" w:hAnsi="Arial" w:cs="Arial"/>
        </w:rPr>
        <w:t xml:space="preserve">. </w:t>
      </w:r>
    </w:p>
    <w:p w:rsidR="00112039" w:rsidRDefault="00112039" w:rsidP="0036533F">
      <w:pPr>
        <w:ind w:right="900"/>
        <w:rPr>
          <w:rFonts w:ascii="Arial" w:hAnsi="Arial" w:cs="Arial"/>
        </w:rPr>
      </w:pPr>
      <w:r>
        <w:rPr>
          <w:rFonts w:ascii="Arial" w:hAnsi="Arial" w:cs="Arial"/>
        </w:rPr>
        <w:lastRenderedPageBreak/>
        <w:t xml:space="preserve">Assessment of student progress </w:t>
      </w:r>
      <w:r w:rsidRPr="00325B5F">
        <w:rPr>
          <w:rFonts w:ascii="Arial" w:hAnsi="Arial" w:cs="Arial"/>
          <w:i/>
        </w:rPr>
        <w:t>through the program</w:t>
      </w:r>
      <w:r>
        <w:rPr>
          <w:rFonts w:ascii="Arial" w:hAnsi="Arial" w:cs="Arial"/>
        </w:rPr>
        <w:t xml:space="preserve"> </w:t>
      </w:r>
      <w:r w:rsidR="00325B5F">
        <w:rPr>
          <w:rFonts w:ascii="Arial" w:hAnsi="Arial" w:cs="Arial"/>
        </w:rPr>
        <w:t xml:space="preserve">also </w:t>
      </w:r>
      <w:r>
        <w:rPr>
          <w:rFonts w:ascii="Arial" w:hAnsi="Arial" w:cs="Arial"/>
        </w:rPr>
        <w:t xml:space="preserve">is required for accreditation purposes, and involves tracking beyond individual course assignments. </w:t>
      </w:r>
      <w:r w:rsidR="00C268E6">
        <w:rPr>
          <w:rFonts w:ascii="Arial" w:hAnsi="Arial" w:cs="Arial"/>
        </w:rPr>
        <w:t>Any t</w:t>
      </w:r>
      <w:r w:rsidR="00325B5F">
        <w:rPr>
          <w:rFonts w:ascii="Arial" w:hAnsi="Arial" w:cs="Arial"/>
        </w:rPr>
        <w:t xml:space="preserve">racking </w:t>
      </w:r>
      <w:r w:rsidR="00C268E6">
        <w:rPr>
          <w:rFonts w:ascii="Arial" w:hAnsi="Arial" w:cs="Arial"/>
        </w:rPr>
        <w:t xml:space="preserve">system for </w:t>
      </w:r>
      <w:r w:rsidR="00325B5F">
        <w:rPr>
          <w:rFonts w:ascii="Arial" w:hAnsi="Arial" w:cs="Arial"/>
        </w:rPr>
        <w:t>s</w:t>
      </w:r>
      <w:r>
        <w:rPr>
          <w:rFonts w:ascii="Arial" w:hAnsi="Arial" w:cs="Arial"/>
        </w:rPr>
        <w:t>tudent</w:t>
      </w:r>
      <w:r w:rsidR="00A828A6">
        <w:rPr>
          <w:rFonts w:ascii="Arial" w:hAnsi="Arial" w:cs="Arial"/>
        </w:rPr>
        <w:t>s</w:t>
      </w:r>
      <w:r>
        <w:rPr>
          <w:rFonts w:ascii="Arial" w:hAnsi="Arial" w:cs="Arial"/>
        </w:rPr>
        <w:t xml:space="preserve"> </w:t>
      </w:r>
      <w:r w:rsidR="00C268E6">
        <w:rPr>
          <w:rFonts w:ascii="Arial" w:hAnsi="Arial" w:cs="Arial"/>
        </w:rPr>
        <w:t>in a</w:t>
      </w:r>
      <w:r>
        <w:rPr>
          <w:rFonts w:ascii="Arial" w:hAnsi="Arial" w:cs="Arial"/>
        </w:rPr>
        <w:t xml:space="preserve"> degree program </w:t>
      </w:r>
      <w:r w:rsidR="00EF6B03">
        <w:rPr>
          <w:rFonts w:ascii="Arial" w:hAnsi="Arial" w:cs="Arial"/>
        </w:rPr>
        <w:t>must respond to</w:t>
      </w:r>
      <w:r>
        <w:rPr>
          <w:rFonts w:ascii="Arial" w:hAnsi="Arial" w:cs="Arial"/>
        </w:rPr>
        <w:t xml:space="preserve"> </w:t>
      </w:r>
      <w:r w:rsidR="00EF6B03">
        <w:rPr>
          <w:rFonts w:ascii="Arial" w:hAnsi="Arial" w:cs="Arial"/>
        </w:rPr>
        <w:t>three</w:t>
      </w:r>
      <w:r>
        <w:rPr>
          <w:rFonts w:ascii="Arial" w:hAnsi="Arial" w:cs="Arial"/>
        </w:rPr>
        <w:t xml:space="preserve"> </w:t>
      </w:r>
      <w:r w:rsidR="00EF6B03">
        <w:rPr>
          <w:rFonts w:ascii="Arial" w:hAnsi="Arial" w:cs="Arial"/>
        </w:rPr>
        <w:t>factors:</w:t>
      </w:r>
      <w:r>
        <w:rPr>
          <w:rFonts w:ascii="Arial" w:hAnsi="Arial" w:cs="Arial"/>
        </w:rPr>
        <w:t xml:space="preserve"> </w:t>
      </w:r>
    </w:p>
    <w:p w:rsidR="00A828A6" w:rsidRDefault="00A828A6" w:rsidP="0036533F">
      <w:pPr>
        <w:pStyle w:val="ListParagraph"/>
        <w:ind w:right="900"/>
        <w:rPr>
          <w:rFonts w:ascii="Arial" w:hAnsi="Arial" w:cs="Arial"/>
        </w:rPr>
      </w:pPr>
    </w:p>
    <w:p w:rsidR="008A7ECA" w:rsidRDefault="00A828A6" w:rsidP="008A7ECA">
      <w:pPr>
        <w:pStyle w:val="ListParagraph"/>
        <w:numPr>
          <w:ilvl w:val="0"/>
          <w:numId w:val="1"/>
        </w:numPr>
        <w:ind w:right="900"/>
        <w:rPr>
          <w:rFonts w:ascii="Arial" w:hAnsi="Arial" w:cs="Arial"/>
        </w:rPr>
      </w:pPr>
      <w:r w:rsidRPr="00AE4271">
        <w:rPr>
          <w:rFonts w:ascii="Arial" w:hAnsi="Arial" w:cs="Arial"/>
        </w:rPr>
        <w:t xml:space="preserve">The Department responds to changes in the profession and requests from our partner school districts by developing new </w:t>
      </w:r>
      <w:r w:rsidR="008A7ECA" w:rsidRPr="00AE4271">
        <w:rPr>
          <w:rFonts w:ascii="Arial" w:hAnsi="Arial" w:cs="Arial"/>
        </w:rPr>
        <w:t xml:space="preserve">courses and </w:t>
      </w:r>
      <w:r w:rsidRPr="00AE4271">
        <w:rPr>
          <w:rFonts w:ascii="Arial" w:hAnsi="Arial" w:cs="Arial"/>
        </w:rPr>
        <w:t>progr</w:t>
      </w:r>
      <w:r w:rsidR="008A7ECA" w:rsidRPr="00AE4271">
        <w:rPr>
          <w:rFonts w:ascii="Arial" w:hAnsi="Arial" w:cs="Arial"/>
        </w:rPr>
        <w:t>ams</w:t>
      </w:r>
      <w:r w:rsidRPr="00AE4271">
        <w:rPr>
          <w:rFonts w:ascii="Arial" w:hAnsi="Arial" w:cs="Arial"/>
        </w:rPr>
        <w:t>.</w:t>
      </w:r>
      <w:r w:rsidR="008A7ECA" w:rsidRPr="00AE4271">
        <w:rPr>
          <w:rFonts w:ascii="Arial" w:hAnsi="Arial" w:cs="Arial"/>
        </w:rPr>
        <w:t xml:space="preserve"> I</w:t>
      </w:r>
      <w:r w:rsidR="00A55110" w:rsidRPr="00AE4271">
        <w:rPr>
          <w:rFonts w:ascii="Arial" w:hAnsi="Arial" w:cs="Arial"/>
        </w:rPr>
        <w:t>n</w:t>
      </w:r>
      <w:r w:rsidR="008A7ECA" w:rsidRPr="00AE4271">
        <w:rPr>
          <w:rFonts w:ascii="Arial" w:hAnsi="Arial" w:cs="Arial"/>
        </w:rPr>
        <w:t xml:space="preserve"> the past 5 years the Department has </w:t>
      </w:r>
      <w:r w:rsidR="00A4785D">
        <w:rPr>
          <w:rFonts w:ascii="Arial" w:hAnsi="Arial" w:cs="Arial"/>
        </w:rPr>
        <w:t>completely redesigned the Master’s D</w:t>
      </w:r>
      <w:r w:rsidR="00A4785D" w:rsidRPr="00A55110">
        <w:rPr>
          <w:rFonts w:ascii="Arial" w:hAnsi="Arial" w:cs="Arial"/>
        </w:rPr>
        <w:t>egree program</w:t>
      </w:r>
      <w:r w:rsidR="00A4785D">
        <w:rPr>
          <w:rFonts w:ascii="Arial" w:hAnsi="Arial" w:cs="Arial"/>
        </w:rPr>
        <w:t xml:space="preserve">, and has </w:t>
      </w:r>
      <w:r w:rsidR="008A7ECA" w:rsidRPr="00AE4271">
        <w:rPr>
          <w:rFonts w:ascii="Arial" w:hAnsi="Arial" w:cs="Arial"/>
        </w:rPr>
        <w:t xml:space="preserve">built new </w:t>
      </w:r>
      <w:r w:rsidR="00A55110" w:rsidRPr="00AE4271">
        <w:rPr>
          <w:rFonts w:ascii="Arial" w:hAnsi="Arial" w:cs="Arial"/>
        </w:rPr>
        <w:t xml:space="preserve">graduate </w:t>
      </w:r>
      <w:r w:rsidR="008A7ECA" w:rsidRPr="00AE4271">
        <w:rPr>
          <w:rFonts w:ascii="Arial" w:hAnsi="Arial" w:cs="Arial"/>
        </w:rPr>
        <w:t xml:space="preserve">courses and programs in early childhood, applied behavior analysis, instructional practices, </w:t>
      </w:r>
      <w:r w:rsidR="00A55110" w:rsidRPr="00AE4271">
        <w:rPr>
          <w:rFonts w:ascii="Arial" w:hAnsi="Arial" w:cs="Arial"/>
        </w:rPr>
        <w:t xml:space="preserve">classroom management, </w:t>
      </w:r>
      <w:r w:rsidR="008A7ECA" w:rsidRPr="00AE4271">
        <w:rPr>
          <w:rFonts w:ascii="Arial" w:hAnsi="Arial" w:cs="Arial"/>
        </w:rPr>
        <w:t xml:space="preserve">and autism spectrum disorders in response to regional requests and changes in the field. </w:t>
      </w:r>
    </w:p>
    <w:p w:rsidR="00AE4271" w:rsidRPr="00AE4271" w:rsidRDefault="00AE4271" w:rsidP="00AE4271">
      <w:pPr>
        <w:pStyle w:val="ListParagraph"/>
        <w:ind w:right="900"/>
        <w:rPr>
          <w:rFonts w:ascii="Arial" w:hAnsi="Arial" w:cs="Arial"/>
        </w:rPr>
      </w:pPr>
    </w:p>
    <w:p w:rsidR="00B46CFA" w:rsidRPr="00A55110" w:rsidRDefault="008A7ECA" w:rsidP="0036533F">
      <w:pPr>
        <w:pStyle w:val="ListParagraph"/>
        <w:numPr>
          <w:ilvl w:val="0"/>
          <w:numId w:val="1"/>
        </w:numPr>
        <w:ind w:right="900"/>
        <w:rPr>
          <w:rFonts w:ascii="Arial" w:hAnsi="Arial" w:cs="Arial"/>
        </w:rPr>
      </w:pPr>
      <w:r w:rsidRPr="00A55110">
        <w:rPr>
          <w:rFonts w:ascii="Arial" w:hAnsi="Arial" w:cs="Arial"/>
        </w:rPr>
        <w:t xml:space="preserve">Students take </w:t>
      </w:r>
      <w:proofErr w:type="gramStart"/>
      <w:r w:rsidRPr="00A55110">
        <w:rPr>
          <w:rFonts w:ascii="Arial" w:hAnsi="Arial" w:cs="Arial"/>
        </w:rPr>
        <w:t>graduate</w:t>
      </w:r>
      <w:proofErr w:type="gramEnd"/>
      <w:r w:rsidRPr="00A55110">
        <w:rPr>
          <w:rFonts w:ascii="Arial" w:hAnsi="Arial" w:cs="Arial"/>
        </w:rPr>
        <w:t xml:space="preserve"> </w:t>
      </w:r>
      <w:r w:rsidR="00A55110">
        <w:rPr>
          <w:rFonts w:ascii="Arial" w:hAnsi="Arial" w:cs="Arial"/>
        </w:rPr>
        <w:t xml:space="preserve">and </w:t>
      </w:r>
      <w:r w:rsidR="00A55110" w:rsidRPr="00A55110">
        <w:rPr>
          <w:rFonts w:ascii="Arial" w:hAnsi="Arial" w:cs="Arial"/>
        </w:rPr>
        <w:t xml:space="preserve">continuing education </w:t>
      </w:r>
      <w:r w:rsidRPr="00A55110">
        <w:rPr>
          <w:rFonts w:ascii="Arial" w:hAnsi="Arial" w:cs="Arial"/>
        </w:rPr>
        <w:t>courses in ESE even if they are</w:t>
      </w:r>
      <w:r w:rsidR="00AE4271">
        <w:rPr>
          <w:rFonts w:ascii="Arial" w:hAnsi="Arial" w:cs="Arial"/>
        </w:rPr>
        <w:t xml:space="preserve"> not currently in the Master’s D</w:t>
      </w:r>
      <w:r w:rsidRPr="00A55110">
        <w:rPr>
          <w:rFonts w:ascii="Arial" w:hAnsi="Arial" w:cs="Arial"/>
        </w:rPr>
        <w:t>egree program. They use these courses to gain new endorsements, to remain current in their skills and knowledge, and to explore new developments in the field.</w:t>
      </w:r>
      <w:r w:rsidR="00A55110" w:rsidRPr="00A55110">
        <w:rPr>
          <w:rFonts w:ascii="Arial" w:hAnsi="Arial" w:cs="Arial"/>
        </w:rPr>
        <w:t xml:space="preserve"> </w:t>
      </w:r>
      <w:r w:rsidR="00A828A6" w:rsidRPr="00A55110">
        <w:rPr>
          <w:rFonts w:ascii="Arial" w:hAnsi="Arial" w:cs="Arial"/>
        </w:rPr>
        <w:t xml:space="preserve"> In </w:t>
      </w:r>
      <w:proofErr w:type="gramStart"/>
      <w:r w:rsidR="00A828A6" w:rsidRPr="00A55110">
        <w:rPr>
          <w:rFonts w:ascii="Arial" w:hAnsi="Arial" w:cs="Arial"/>
        </w:rPr>
        <w:t>Fall</w:t>
      </w:r>
      <w:proofErr w:type="gramEnd"/>
      <w:r w:rsidR="00A828A6" w:rsidRPr="00A55110">
        <w:rPr>
          <w:rFonts w:ascii="Arial" w:hAnsi="Arial" w:cs="Arial"/>
        </w:rPr>
        <w:t xml:space="preserve"> 2010, </w:t>
      </w:r>
      <w:r w:rsidR="000F4398">
        <w:rPr>
          <w:rFonts w:ascii="Arial" w:hAnsi="Arial" w:cs="Arial"/>
        </w:rPr>
        <w:t>75.2</w:t>
      </w:r>
      <w:r w:rsidR="00A828A6" w:rsidRPr="00A55110">
        <w:rPr>
          <w:rFonts w:ascii="Arial" w:hAnsi="Arial" w:cs="Arial"/>
        </w:rPr>
        <w:t xml:space="preserve">% of students enrolled in </w:t>
      </w:r>
      <w:r w:rsidR="0036533F" w:rsidRPr="00A55110">
        <w:rPr>
          <w:rFonts w:ascii="Arial" w:hAnsi="Arial" w:cs="Arial"/>
        </w:rPr>
        <w:t xml:space="preserve">graduate or continuing education </w:t>
      </w:r>
      <w:r w:rsidR="001A2787">
        <w:rPr>
          <w:rFonts w:ascii="Arial" w:hAnsi="Arial" w:cs="Arial"/>
        </w:rPr>
        <w:t xml:space="preserve">ESE </w:t>
      </w:r>
      <w:r w:rsidR="00A828A6" w:rsidRPr="00A55110">
        <w:rPr>
          <w:rFonts w:ascii="Arial" w:hAnsi="Arial" w:cs="Arial"/>
        </w:rPr>
        <w:t xml:space="preserve">courses were not enrolled in the ESE Master’s Degree program. The Department identifies </w:t>
      </w:r>
      <w:r w:rsidR="006E7A1F">
        <w:rPr>
          <w:rFonts w:ascii="Arial" w:hAnsi="Arial" w:cs="Arial"/>
        </w:rPr>
        <w:t xml:space="preserve">many of </w:t>
      </w:r>
      <w:r w:rsidR="00A828A6" w:rsidRPr="00A55110">
        <w:rPr>
          <w:rFonts w:ascii="Arial" w:hAnsi="Arial" w:cs="Arial"/>
        </w:rPr>
        <w:t xml:space="preserve">these students as potential degree students, and recruits these </w:t>
      </w:r>
      <w:r w:rsidR="00F30F8B">
        <w:rPr>
          <w:rFonts w:ascii="Arial" w:hAnsi="Arial" w:cs="Arial"/>
        </w:rPr>
        <w:t>Non-D</w:t>
      </w:r>
      <w:r w:rsidR="0036533F" w:rsidRPr="00A55110">
        <w:rPr>
          <w:rFonts w:ascii="Arial" w:hAnsi="Arial" w:cs="Arial"/>
        </w:rPr>
        <w:t>egree</w:t>
      </w:r>
      <w:r w:rsidR="00F30F8B">
        <w:rPr>
          <w:rFonts w:ascii="Arial" w:hAnsi="Arial" w:cs="Arial"/>
        </w:rPr>
        <w:t xml:space="preserve"> Objective</w:t>
      </w:r>
      <w:r w:rsidR="0036533F" w:rsidRPr="00A55110">
        <w:rPr>
          <w:rFonts w:ascii="Arial" w:hAnsi="Arial" w:cs="Arial"/>
        </w:rPr>
        <w:t xml:space="preserve"> </w:t>
      </w:r>
      <w:r w:rsidR="003C287E">
        <w:rPr>
          <w:rFonts w:ascii="Arial" w:hAnsi="Arial" w:cs="Arial"/>
        </w:rPr>
        <w:t xml:space="preserve">(NDO) </w:t>
      </w:r>
      <w:r w:rsidR="00A828A6" w:rsidRPr="00A55110">
        <w:rPr>
          <w:rFonts w:ascii="Arial" w:hAnsi="Arial" w:cs="Arial"/>
        </w:rPr>
        <w:t xml:space="preserve">students </w:t>
      </w:r>
      <w:r w:rsidR="00B46CFA" w:rsidRPr="00A55110">
        <w:rPr>
          <w:rFonts w:ascii="Arial" w:hAnsi="Arial" w:cs="Arial"/>
        </w:rPr>
        <w:t>into the degree program.</w:t>
      </w:r>
    </w:p>
    <w:p w:rsidR="00B46CFA" w:rsidRPr="00B46CFA" w:rsidRDefault="00B46CFA" w:rsidP="0036533F">
      <w:pPr>
        <w:pStyle w:val="ListParagraph"/>
        <w:ind w:right="900"/>
        <w:rPr>
          <w:rFonts w:ascii="Arial" w:hAnsi="Arial" w:cs="Arial"/>
        </w:rPr>
      </w:pPr>
    </w:p>
    <w:p w:rsidR="00112039" w:rsidRPr="00B46CFA" w:rsidRDefault="00112039" w:rsidP="0036533F">
      <w:pPr>
        <w:pStyle w:val="ListParagraph"/>
        <w:numPr>
          <w:ilvl w:val="0"/>
          <w:numId w:val="1"/>
        </w:numPr>
        <w:ind w:right="900"/>
        <w:rPr>
          <w:rFonts w:ascii="Arial" w:hAnsi="Arial" w:cs="Arial"/>
        </w:rPr>
      </w:pPr>
      <w:r w:rsidRPr="00B46CFA">
        <w:rPr>
          <w:rFonts w:ascii="Arial" w:hAnsi="Arial" w:cs="Arial"/>
        </w:rPr>
        <w:t xml:space="preserve">The COE Assessment system is based on a </w:t>
      </w:r>
      <w:r w:rsidR="00FA5873" w:rsidRPr="00B46CFA">
        <w:rPr>
          <w:rFonts w:ascii="Arial" w:hAnsi="Arial" w:cs="Arial"/>
        </w:rPr>
        <w:t>relationship with an outside vendor</w:t>
      </w:r>
      <w:r w:rsidR="007879AC">
        <w:rPr>
          <w:rFonts w:ascii="Arial" w:hAnsi="Arial" w:cs="Arial"/>
        </w:rPr>
        <w:t xml:space="preserve"> (Live Text)</w:t>
      </w:r>
      <w:r w:rsidR="00FA5873" w:rsidRPr="00B46CFA">
        <w:rPr>
          <w:rFonts w:ascii="Arial" w:hAnsi="Arial" w:cs="Arial"/>
        </w:rPr>
        <w:t xml:space="preserve"> </w:t>
      </w:r>
      <w:r w:rsidR="00C268E6">
        <w:rPr>
          <w:rFonts w:ascii="Arial" w:hAnsi="Arial" w:cs="Arial"/>
        </w:rPr>
        <w:t xml:space="preserve">that requires students to </w:t>
      </w:r>
      <w:r w:rsidR="003C287E">
        <w:rPr>
          <w:rFonts w:ascii="Arial" w:hAnsi="Arial" w:cs="Arial"/>
        </w:rPr>
        <w:t xml:space="preserve">purchase </w:t>
      </w:r>
      <w:r w:rsidR="00F30F8B">
        <w:rPr>
          <w:rFonts w:ascii="Arial" w:hAnsi="Arial" w:cs="Arial"/>
        </w:rPr>
        <w:t xml:space="preserve">from the vendor </w:t>
      </w:r>
      <w:r w:rsidR="003C287E">
        <w:rPr>
          <w:rFonts w:ascii="Arial" w:hAnsi="Arial" w:cs="Arial"/>
        </w:rPr>
        <w:t>services that are unrelated to their coursework</w:t>
      </w:r>
      <w:r w:rsidR="00B46CFA">
        <w:rPr>
          <w:rFonts w:ascii="Arial" w:hAnsi="Arial" w:cs="Arial"/>
        </w:rPr>
        <w:t xml:space="preserve">. Non-degree students </w:t>
      </w:r>
      <w:r w:rsidR="001A2787" w:rsidRPr="00A55110">
        <w:rPr>
          <w:rFonts w:ascii="Arial" w:hAnsi="Arial" w:cs="Arial"/>
        </w:rPr>
        <w:t>enrolled in graduate or continuing education</w:t>
      </w:r>
      <w:r w:rsidR="00B46CFA">
        <w:rPr>
          <w:rFonts w:ascii="Arial" w:hAnsi="Arial" w:cs="Arial"/>
        </w:rPr>
        <w:t xml:space="preserve"> ESE courses have </w:t>
      </w:r>
      <w:r w:rsidR="0091054D">
        <w:rPr>
          <w:rFonts w:ascii="Arial" w:hAnsi="Arial" w:cs="Arial"/>
        </w:rPr>
        <w:t>complained that</w:t>
      </w:r>
      <w:r w:rsidR="00B46CFA">
        <w:rPr>
          <w:rFonts w:ascii="Arial" w:hAnsi="Arial" w:cs="Arial"/>
        </w:rPr>
        <w:t xml:space="preserve"> </w:t>
      </w:r>
      <w:r w:rsidR="003C287E">
        <w:rPr>
          <w:rFonts w:ascii="Arial" w:hAnsi="Arial" w:cs="Arial"/>
        </w:rPr>
        <w:t xml:space="preserve">absorbing </w:t>
      </w:r>
      <w:r w:rsidR="00B46CFA">
        <w:rPr>
          <w:rFonts w:ascii="Arial" w:hAnsi="Arial" w:cs="Arial"/>
        </w:rPr>
        <w:t>the</w:t>
      </w:r>
      <w:r w:rsidR="003C287E">
        <w:rPr>
          <w:rFonts w:ascii="Arial" w:hAnsi="Arial" w:cs="Arial"/>
        </w:rPr>
        <w:t>se</w:t>
      </w:r>
      <w:r w:rsidR="00B46CFA">
        <w:rPr>
          <w:rFonts w:ascii="Arial" w:hAnsi="Arial" w:cs="Arial"/>
        </w:rPr>
        <w:t xml:space="preserve"> additional </w:t>
      </w:r>
      <w:r w:rsidR="003C287E">
        <w:rPr>
          <w:rFonts w:ascii="Arial" w:hAnsi="Arial" w:cs="Arial"/>
        </w:rPr>
        <w:t xml:space="preserve">vendor </w:t>
      </w:r>
      <w:r w:rsidR="00B46CFA">
        <w:rPr>
          <w:rFonts w:ascii="Arial" w:hAnsi="Arial" w:cs="Arial"/>
        </w:rPr>
        <w:t>costs</w:t>
      </w:r>
      <w:r w:rsidR="0091054D">
        <w:rPr>
          <w:rFonts w:ascii="Arial" w:hAnsi="Arial" w:cs="Arial"/>
        </w:rPr>
        <w:t xml:space="preserve"> </w:t>
      </w:r>
      <w:r w:rsidR="000F4398">
        <w:rPr>
          <w:rFonts w:ascii="Arial" w:hAnsi="Arial" w:cs="Arial"/>
        </w:rPr>
        <w:t>is</w:t>
      </w:r>
      <w:r w:rsidR="00B46CFA">
        <w:rPr>
          <w:rFonts w:ascii="Arial" w:hAnsi="Arial" w:cs="Arial"/>
        </w:rPr>
        <w:t xml:space="preserve"> unrelated</w:t>
      </w:r>
      <w:r w:rsidR="003C287E">
        <w:rPr>
          <w:rFonts w:ascii="Arial" w:hAnsi="Arial" w:cs="Arial"/>
        </w:rPr>
        <w:t xml:space="preserve"> to their progress in a course. T</w:t>
      </w:r>
      <w:r w:rsidR="0091054D">
        <w:rPr>
          <w:rFonts w:ascii="Arial" w:hAnsi="Arial" w:cs="Arial"/>
        </w:rPr>
        <w:t xml:space="preserve">his has reflected badly on the </w:t>
      </w:r>
      <w:r w:rsidR="00AE4271">
        <w:rPr>
          <w:rFonts w:ascii="Arial" w:hAnsi="Arial" w:cs="Arial"/>
        </w:rPr>
        <w:t xml:space="preserve">College and </w:t>
      </w:r>
      <w:r w:rsidR="0091054D">
        <w:rPr>
          <w:rFonts w:ascii="Arial" w:hAnsi="Arial" w:cs="Arial"/>
        </w:rPr>
        <w:t>Department</w:t>
      </w:r>
      <w:r w:rsidR="003C287E">
        <w:rPr>
          <w:rFonts w:ascii="Arial" w:hAnsi="Arial" w:cs="Arial"/>
        </w:rPr>
        <w:t>, and interferes with the Department’s effort to recruit NDO students into graduate programs</w:t>
      </w:r>
      <w:r w:rsidR="0091054D">
        <w:rPr>
          <w:rFonts w:ascii="Arial" w:hAnsi="Arial" w:cs="Arial"/>
        </w:rPr>
        <w:t xml:space="preserve">. </w:t>
      </w:r>
    </w:p>
    <w:p w:rsidR="00CC16E8" w:rsidRDefault="0036533F" w:rsidP="0036533F">
      <w:pPr>
        <w:ind w:right="900"/>
        <w:rPr>
          <w:rFonts w:ascii="Arial" w:hAnsi="Arial" w:cs="Arial"/>
        </w:rPr>
      </w:pPr>
      <w:r>
        <w:rPr>
          <w:rFonts w:ascii="Arial" w:hAnsi="Arial" w:cs="Arial"/>
        </w:rPr>
        <w:t xml:space="preserve">The Department is </w:t>
      </w:r>
      <w:r w:rsidR="00CC16E8">
        <w:rPr>
          <w:rFonts w:ascii="Arial" w:hAnsi="Arial" w:cs="Arial"/>
        </w:rPr>
        <w:t>committed</w:t>
      </w:r>
      <w:r>
        <w:rPr>
          <w:rFonts w:ascii="Arial" w:hAnsi="Arial" w:cs="Arial"/>
        </w:rPr>
        <w:t xml:space="preserve"> to complying with the COE assessment plan</w:t>
      </w:r>
      <w:r w:rsidR="00C268E6">
        <w:rPr>
          <w:rFonts w:ascii="Arial" w:hAnsi="Arial" w:cs="Arial"/>
        </w:rPr>
        <w:t>. It is also committed to</w:t>
      </w:r>
      <w:r>
        <w:rPr>
          <w:rFonts w:ascii="Arial" w:hAnsi="Arial" w:cs="Arial"/>
        </w:rPr>
        <w:t xml:space="preserve"> offering graduate continuing education to professionals in our region</w:t>
      </w:r>
      <w:r w:rsidR="00C268E6">
        <w:rPr>
          <w:rFonts w:ascii="Arial" w:hAnsi="Arial" w:cs="Arial"/>
        </w:rPr>
        <w:t>, and building on this relationship to continue</w:t>
      </w:r>
      <w:r w:rsidR="00CC16E8">
        <w:rPr>
          <w:rFonts w:ascii="Arial" w:hAnsi="Arial" w:cs="Arial"/>
        </w:rPr>
        <w:t xml:space="preserve"> its </w:t>
      </w:r>
      <w:r w:rsidR="00F30F8B">
        <w:rPr>
          <w:rFonts w:ascii="Arial" w:hAnsi="Arial" w:cs="Arial"/>
        </w:rPr>
        <w:t xml:space="preserve">effort to </w:t>
      </w:r>
      <w:r w:rsidR="00CC16E8">
        <w:rPr>
          <w:rFonts w:ascii="Arial" w:hAnsi="Arial" w:cs="Arial"/>
        </w:rPr>
        <w:t>recruit</w:t>
      </w:r>
      <w:r w:rsidR="00C268E6">
        <w:rPr>
          <w:rFonts w:ascii="Arial" w:hAnsi="Arial" w:cs="Arial"/>
        </w:rPr>
        <w:t xml:space="preserve"> these</w:t>
      </w:r>
      <w:r w:rsidR="00CC16E8">
        <w:rPr>
          <w:rFonts w:ascii="Arial" w:hAnsi="Arial" w:cs="Arial"/>
        </w:rPr>
        <w:t xml:space="preserve"> students </w:t>
      </w:r>
      <w:r w:rsidR="00C268E6">
        <w:rPr>
          <w:rFonts w:ascii="Arial" w:hAnsi="Arial" w:cs="Arial"/>
        </w:rPr>
        <w:t>into the ESE</w:t>
      </w:r>
      <w:r w:rsidR="00CC16E8">
        <w:rPr>
          <w:rFonts w:ascii="Arial" w:hAnsi="Arial" w:cs="Arial"/>
        </w:rPr>
        <w:t xml:space="preserve"> graduate </w:t>
      </w:r>
      <w:r w:rsidR="00C268E6">
        <w:rPr>
          <w:rFonts w:ascii="Arial" w:hAnsi="Arial" w:cs="Arial"/>
        </w:rPr>
        <w:t>program</w:t>
      </w:r>
      <w:r w:rsidR="00CC16E8">
        <w:rPr>
          <w:rFonts w:ascii="Arial" w:hAnsi="Arial" w:cs="Arial"/>
        </w:rPr>
        <w:t xml:space="preserve">. The program assessment model for the </w:t>
      </w:r>
      <w:r w:rsidR="00CC16E8" w:rsidRPr="00424804">
        <w:rPr>
          <w:rFonts w:ascii="Arial" w:hAnsi="Arial" w:cs="Arial"/>
        </w:rPr>
        <w:t>Master’s Degree in Exceptional Student Education</w:t>
      </w:r>
      <w:r w:rsidR="00CC16E8">
        <w:rPr>
          <w:rFonts w:ascii="Arial" w:hAnsi="Arial" w:cs="Arial"/>
        </w:rPr>
        <w:t xml:space="preserve"> is designed with these factors in mind.</w:t>
      </w:r>
    </w:p>
    <w:p w:rsidR="009A0870" w:rsidRDefault="00CC16E8" w:rsidP="00994474">
      <w:pPr>
        <w:ind w:right="900"/>
        <w:rPr>
          <w:rFonts w:ascii="Arial" w:hAnsi="Arial" w:cs="Arial"/>
        </w:rPr>
      </w:pPr>
      <w:r>
        <w:rPr>
          <w:rFonts w:ascii="Arial" w:hAnsi="Arial" w:cs="Arial"/>
        </w:rPr>
        <w:t xml:space="preserve">Student progress in three courses from the Department Core </w:t>
      </w:r>
      <w:r w:rsidR="008E794E">
        <w:rPr>
          <w:rFonts w:ascii="Arial" w:hAnsi="Arial" w:cs="Arial"/>
        </w:rPr>
        <w:t xml:space="preserve">will be tracked </w:t>
      </w:r>
      <w:r w:rsidR="009A0870">
        <w:rPr>
          <w:rFonts w:ascii="Arial" w:hAnsi="Arial" w:cs="Arial"/>
        </w:rPr>
        <w:t xml:space="preserve">for the Department assessment plan, </w:t>
      </w:r>
      <w:r w:rsidR="008E794E">
        <w:rPr>
          <w:rFonts w:ascii="Arial" w:hAnsi="Arial" w:cs="Arial"/>
        </w:rPr>
        <w:t xml:space="preserve">and serve as </w:t>
      </w:r>
      <w:r w:rsidR="009A0870">
        <w:rPr>
          <w:rFonts w:ascii="Arial" w:hAnsi="Arial" w:cs="Arial"/>
        </w:rPr>
        <w:t>indicators of student progress through th</w:t>
      </w:r>
      <w:r w:rsidR="00994474">
        <w:rPr>
          <w:rFonts w:ascii="Arial" w:hAnsi="Arial" w:cs="Arial"/>
        </w:rPr>
        <w:t>e</w:t>
      </w:r>
      <w:r w:rsidR="009A0870">
        <w:rPr>
          <w:rFonts w:ascii="Arial" w:hAnsi="Arial" w:cs="Arial"/>
        </w:rPr>
        <w:t xml:space="preserve"> degree program.</w:t>
      </w:r>
      <w:r w:rsidR="008E794E">
        <w:rPr>
          <w:rFonts w:ascii="Arial" w:hAnsi="Arial" w:cs="Arial"/>
        </w:rPr>
        <w:t xml:space="preserve"> Two of these courses </w:t>
      </w:r>
      <w:r w:rsidR="009A0870">
        <w:rPr>
          <w:rFonts w:ascii="Arial" w:hAnsi="Arial" w:cs="Arial"/>
        </w:rPr>
        <w:t xml:space="preserve">are </w:t>
      </w:r>
      <w:r w:rsidR="009A0870" w:rsidRPr="009A0870">
        <w:rPr>
          <w:rFonts w:ascii="Arial" w:hAnsi="Arial" w:cs="Arial"/>
        </w:rPr>
        <w:t>didactic</w:t>
      </w:r>
      <w:r w:rsidR="00F30F8B">
        <w:rPr>
          <w:rFonts w:ascii="Arial" w:hAnsi="Arial" w:cs="Arial"/>
        </w:rPr>
        <w:t xml:space="preserve"> in nature</w:t>
      </w:r>
      <w:r w:rsidR="009A0870">
        <w:rPr>
          <w:rFonts w:ascii="Arial" w:hAnsi="Arial" w:cs="Arial"/>
        </w:rPr>
        <w:t xml:space="preserve"> and </w:t>
      </w:r>
      <w:r w:rsidR="008E794E">
        <w:rPr>
          <w:rFonts w:ascii="Arial" w:hAnsi="Arial" w:cs="Arial"/>
        </w:rPr>
        <w:t xml:space="preserve">incorporate content that is </w:t>
      </w:r>
      <w:r w:rsidR="009A0870">
        <w:rPr>
          <w:rFonts w:ascii="Arial" w:hAnsi="Arial" w:cs="Arial"/>
        </w:rPr>
        <w:t xml:space="preserve">foundational </w:t>
      </w:r>
      <w:r w:rsidR="008E794E">
        <w:rPr>
          <w:rFonts w:ascii="Arial" w:hAnsi="Arial" w:cs="Arial"/>
        </w:rPr>
        <w:t>to the field (EEX 6259; EEX 5622). The third course is a capstone course, and draws together content and experiences from each student’s complete Master’s Degree experie</w:t>
      </w:r>
      <w:r w:rsidR="009A0870">
        <w:rPr>
          <w:rFonts w:ascii="Arial" w:hAnsi="Arial" w:cs="Arial"/>
        </w:rPr>
        <w:t>nce (EEX 6027).</w:t>
      </w:r>
      <w:r w:rsidR="008E794E">
        <w:rPr>
          <w:rFonts w:ascii="Arial" w:hAnsi="Arial" w:cs="Arial"/>
        </w:rPr>
        <w:t xml:space="preserve"> </w:t>
      </w:r>
      <w:r w:rsidR="00994474">
        <w:rPr>
          <w:rFonts w:ascii="Arial" w:hAnsi="Arial" w:cs="Arial"/>
        </w:rPr>
        <w:t>Important features of the plan are:</w:t>
      </w:r>
    </w:p>
    <w:p w:rsidR="00994474" w:rsidRDefault="00994474" w:rsidP="00994474">
      <w:pPr>
        <w:pStyle w:val="ListParagraph"/>
        <w:numPr>
          <w:ilvl w:val="0"/>
          <w:numId w:val="3"/>
        </w:numPr>
        <w:ind w:right="900"/>
        <w:rPr>
          <w:rFonts w:ascii="Arial" w:hAnsi="Arial" w:cs="Arial"/>
        </w:rPr>
      </w:pPr>
      <w:r>
        <w:rPr>
          <w:rFonts w:ascii="Arial" w:hAnsi="Arial" w:cs="Arial"/>
        </w:rPr>
        <w:t>All students in the Master’s Degree program take these courses;</w:t>
      </w:r>
    </w:p>
    <w:p w:rsidR="00994474" w:rsidRDefault="00994474" w:rsidP="00994474">
      <w:pPr>
        <w:pStyle w:val="ListParagraph"/>
        <w:numPr>
          <w:ilvl w:val="0"/>
          <w:numId w:val="3"/>
        </w:numPr>
        <w:ind w:right="900"/>
        <w:rPr>
          <w:rFonts w:ascii="Arial" w:hAnsi="Arial" w:cs="Arial"/>
        </w:rPr>
      </w:pPr>
      <w:r>
        <w:rPr>
          <w:rFonts w:ascii="Arial" w:hAnsi="Arial" w:cs="Arial"/>
        </w:rPr>
        <w:t xml:space="preserve">Few students who are not in the </w:t>
      </w:r>
      <w:r w:rsidR="00AE4271">
        <w:rPr>
          <w:rFonts w:ascii="Arial" w:hAnsi="Arial" w:cs="Arial"/>
        </w:rPr>
        <w:t xml:space="preserve">Master’s Degree </w:t>
      </w:r>
      <w:r>
        <w:rPr>
          <w:rFonts w:ascii="Arial" w:hAnsi="Arial" w:cs="Arial"/>
        </w:rPr>
        <w:t>program take these particular courses;</w:t>
      </w:r>
    </w:p>
    <w:p w:rsidR="00994474" w:rsidRPr="00994474" w:rsidRDefault="00994474" w:rsidP="00994474">
      <w:pPr>
        <w:pStyle w:val="ListParagraph"/>
        <w:numPr>
          <w:ilvl w:val="0"/>
          <w:numId w:val="3"/>
        </w:numPr>
        <w:ind w:right="900"/>
        <w:rPr>
          <w:rFonts w:ascii="Arial" w:hAnsi="Arial" w:cs="Arial"/>
        </w:rPr>
      </w:pPr>
      <w:r w:rsidRPr="00994474">
        <w:rPr>
          <w:rFonts w:ascii="Arial" w:hAnsi="Arial" w:cs="Arial"/>
        </w:rPr>
        <w:t>The courses are taken at various times during the program, and one is taken at the end of the degree program</w:t>
      </w:r>
      <w:r>
        <w:rPr>
          <w:rFonts w:ascii="Arial" w:hAnsi="Arial" w:cs="Arial"/>
        </w:rPr>
        <w:t>;</w:t>
      </w:r>
    </w:p>
    <w:p w:rsidR="00994474" w:rsidRDefault="00994474" w:rsidP="00994474">
      <w:pPr>
        <w:pStyle w:val="ListParagraph"/>
        <w:numPr>
          <w:ilvl w:val="0"/>
          <w:numId w:val="3"/>
        </w:numPr>
        <w:ind w:right="900"/>
        <w:rPr>
          <w:rFonts w:ascii="Arial" w:hAnsi="Arial" w:cs="Arial"/>
        </w:rPr>
      </w:pPr>
      <w:r>
        <w:rPr>
          <w:rFonts w:ascii="Arial" w:hAnsi="Arial" w:cs="Arial"/>
        </w:rPr>
        <w:lastRenderedPageBreak/>
        <w:t>Two courses include foundational content expected of all special educators;</w:t>
      </w:r>
    </w:p>
    <w:p w:rsidR="009A0870" w:rsidRDefault="00994474" w:rsidP="0036533F">
      <w:pPr>
        <w:pStyle w:val="ListParagraph"/>
        <w:numPr>
          <w:ilvl w:val="0"/>
          <w:numId w:val="3"/>
        </w:numPr>
        <w:ind w:right="900"/>
        <w:rPr>
          <w:rFonts w:ascii="Arial" w:hAnsi="Arial" w:cs="Arial"/>
        </w:rPr>
      </w:pPr>
      <w:r w:rsidRPr="00994474">
        <w:rPr>
          <w:rFonts w:ascii="Arial" w:hAnsi="Arial" w:cs="Arial"/>
        </w:rPr>
        <w:t>One course (the capstone course) requires that students synthesize their learning</w:t>
      </w:r>
      <w:r>
        <w:rPr>
          <w:rFonts w:ascii="Arial" w:hAnsi="Arial" w:cs="Arial"/>
        </w:rPr>
        <w:t>;</w:t>
      </w:r>
    </w:p>
    <w:p w:rsidR="007879AC" w:rsidRDefault="00994474" w:rsidP="0036533F">
      <w:pPr>
        <w:pStyle w:val="ListParagraph"/>
        <w:numPr>
          <w:ilvl w:val="0"/>
          <w:numId w:val="3"/>
        </w:numPr>
        <w:ind w:right="900"/>
        <w:rPr>
          <w:rFonts w:ascii="Arial" w:hAnsi="Arial" w:cs="Arial"/>
        </w:rPr>
      </w:pPr>
      <w:r>
        <w:rPr>
          <w:rFonts w:ascii="Arial" w:hAnsi="Arial" w:cs="Arial"/>
        </w:rPr>
        <w:t xml:space="preserve">Each of these courses has a Critical Assignment which </w:t>
      </w:r>
      <w:r w:rsidR="00A4785D">
        <w:rPr>
          <w:rFonts w:ascii="Arial" w:hAnsi="Arial" w:cs="Arial"/>
        </w:rPr>
        <w:t>has</w:t>
      </w:r>
      <w:r>
        <w:rPr>
          <w:rFonts w:ascii="Arial" w:hAnsi="Arial" w:cs="Arial"/>
        </w:rPr>
        <w:t xml:space="preserve"> be</w:t>
      </w:r>
      <w:r w:rsidR="00A4785D">
        <w:rPr>
          <w:rFonts w:ascii="Arial" w:hAnsi="Arial" w:cs="Arial"/>
        </w:rPr>
        <w:t>en</w:t>
      </w:r>
      <w:r>
        <w:rPr>
          <w:rFonts w:ascii="Arial" w:hAnsi="Arial" w:cs="Arial"/>
        </w:rPr>
        <w:t xml:space="preserve"> </w:t>
      </w:r>
      <w:r w:rsidR="007879AC">
        <w:rPr>
          <w:rFonts w:ascii="Arial" w:hAnsi="Arial" w:cs="Arial"/>
        </w:rPr>
        <w:t>review</w:t>
      </w:r>
      <w:r>
        <w:rPr>
          <w:rFonts w:ascii="Arial" w:hAnsi="Arial" w:cs="Arial"/>
        </w:rPr>
        <w:t>ed for</w:t>
      </w:r>
      <w:r w:rsidR="007879AC">
        <w:rPr>
          <w:rFonts w:ascii="Arial" w:hAnsi="Arial" w:cs="Arial"/>
        </w:rPr>
        <w:t xml:space="preserve"> its ease of inclusion </w:t>
      </w:r>
      <w:r>
        <w:rPr>
          <w:rFonts w:ascii="Arial" w:hAnsi="Arial" w:cs="Arial"/>
        </w:rPr>
        <w:t>in</w:t>
      </w:r>
      <w:r w:rsidR="00AE4271">
        <w:rPr>
          <w:rFonts w:ascii="Arial" w:hAnsi="Arial" w:cs="Arial"/>
        </w:rPr>
        <w:t>to</w:t>
      </w:r>
      <w:r>
        <w:rPr>
          <w:rFonts w:ascii="Arial" w:hAnsi="Arial" w:cs="Arial"/>
        </w:rPr>
        <w:t xml:space="preserve"> the Live Text system</w:t>
      </w:r>
      <w:r w:rsidR="007879AC">
        <w:rPr>
          <w:rFonts w:ascii="Arial" w:hAnsi="Arial" w:cs="Arial"/>
        </w:rPr>
        <w:t>;</w:t>
      </w:r>
    </w:p>
    <w:p w:rsidR="007879AC" w:rsidRDefault="007879AC" w:rsidP="0036533F">
      <w:pPr>
        <w:pStyle w:val="ListParagraph"/>
        <w:numPr>
          <w:ilvl w:val="0"/>
          <w:numId w:val="3"/>
        </w:numPr>
        <w:ind w:right="900"/>
        <w:rPr>
          <w:rFonts w:ascii="Arial" w:hAnsi="Arial" w:cs="Arial"/>
        </w:rPr>
      </w:pPr>
      <w:r>
        <w:rPr>
          <w:rFonts w:ascii="Arial" w:hAnsi="Arial" w:cs="Arial"/>
        </w:rPr>
        <w:t xml:space="preserve">The syllabus for each of the three courses will include the COE-required statement mandating that students </w:t>
      </w:r>
      <w:r w:rsidR="00AE4271">
        <w:rPr>
          <w:rFonts w:ascii="Arial" w:hAnsi="Arial" w:cs="Arial"/>
        </w:rPr>
        <w:t xml:space="preserve">taking the particular course must </w:t>
      </w:r>
      <w:r>
        <w:rPr>
          <w:rFonts w:ascii="Arial" w:hAnsi="Arial" w:cs="Arial"/>
        </w:rPr>
        <w:t>purchase Live Text;</w:t>
      </w:r>
    </w:p>
    <w:p w:rsidR="007879AC" w:rsidRDefault="00F96318" w:rsidP="0036533F">
      <w:pPr>
        <w:pStyle w:val="ListParagraph"/>
        <w:numPr>
          <w:ilvl w:val="0"/>
          <w:numId w:val="3"/>
        </w:numPr>
        <w:ind w:right="900"/>
        <w:rPr>
          <w:rFonts w:ascii="Arial" w:hAnsi="Arial" w:cs="Arial"/>
        </w:rPr>
      </w:pPr>
      <w:r>
        <w:rPr>
          <w:rFonts w:ascii="Arial" w:hAnsi="Arial" w:cs="Arial"/>
        </w:rPr>
        <w:t xml:space="preserve">Containing the courses </w:t>
      </w:r>
      <w:r w:rsidR="00AE4271">
        <w:rPr>
          <w:rFonts w:ascii="Arial" w:hAnsi="Arial" w:cs="Arial"/>
        </w:rPr>
        <w:t>tracked  through the Live Text system to the Department</w:t>
      </w:r>
      <w:r>
        <w:rPr>
          <w:rFonts w:ascii="Arial" w:hAnsi="Arial" w:cs="Arial"/>
        </w:rPr>
        <w:t xml:space="preserve"> core removes the unnecessary cost factor for students who take courses in the concentration  areas, but who are not in </w:t>
      </w:r>
      <w:r w:rsidR="00873331">
        <w:rPr>
          <w:rFonts w:ascii="Arial" w:hAnsi="Arial" w:cs="Arial"/>
        </w:rPr>
        <w:t>the Master’s D</w:t>
      </w:r>
      <w:r>
        <w:rPr>
          <w:rFonts w:ascii="Arial" w:hAnsi="Arial" w:cs="Arial"/>
        </w:rPr>
        <w:t>egree program;</w:t>
      </w:r>
    </w:p>
    <w:p w:rsidR="00887CF2" w:rsidRDefault="007879AC" w:rsidP="00887CF2">
      <w:pPr>
        <w:pStyle w:val="ListParagraph"/>
        <w:numPr>
          <w:ilvl w:val="0"/>
          <w:numId w:val="3"/>
        </w:numPr>
        <w:ind w:right="900"/>
        <w:rPr>
          <w:rFonts w:ascii="Arial" w:hAnsi="Arial" w:cs="Arial"/>
        </w:rPr>
      </w:pPr>
      <w:r w:rsidRPr="00887CF2">
        <w:rPr>
          <w:rFonts w:ascii="Arial" w:hAnsi="Arial" w:cs="Arial"/>
        </w:rPr>
        <w:t>Co</w:t>
      </w:r>
      <w:r w:rsidR="008E794E" w:rsidRPr="00887CF2">
        <w:rPr>
          <w:rFonts w:ascii="Arial" w:hAnsi="Arial" w:cs="Arial"/>
        </w:rPr>
        <w:t xml:space="preserve">llectively the three courses provide coverage of the </w:t>
      </w:r>
      <w:r w:rsidR="00873331" w:rsidRPr="00887CF2">
        <w:rPr>
          <w:rFonts w:ascii="Arial" w:hAnsi="Arial" w:cs="Arial"/>
        </w:rPr>
        <w:t xml:space="preserve">broader </w:t>
      </w:r>
      <w:r w:rsidR="008E794E" w:rsidRPr="00887CF2">
        <w:rPr>
          <w:rFonts w:ascii="Arial" w:hAnsi="Arial" w:cs="Arial"/>
        </w:rPr>
        <w:t xml:space="preserve">FAU </w:t>
      </w:r>
      <w:r w:rsidR="00873331" w:rsidRPr="00887CF2">
        <w:rPr>
          <w:rFonts w:ascii="Arial" w:hAnsi="Arial" w:cs="Arial"/>
        </w:rPr>
        <w:t xml:space="preserve">assessment </w:t>
      </w:r>
      <w:r w:rsidR="008E794E" w:rsidRPr="00887CF2">
        <w:rPr>
          <w:rFonts w:ascii="Arial" w:hAnsi="Arial" w:cs="Arial"/>
        </w:rPr>
        <w:t xml:space="preserve">model </w:t>
      </w:r>
      <w:r w:rsidR="00873331" w:rsidRPr="00887CF2">
        <w:rPr>
          <w:rFonts w:ascii="Arial" w:hAnsi="Arial" w:cs="Arial"/>
        </w:rPr>
        <w:t>that links student progress to</w:t>
      </w:r>
      <w:r w:rsidR="008E794E" w:rsidRPr="00887CF2">
        <w:rPr>
          <w:rFonts w:ascii="Arial" w:hAnsi="Arial" w:cs="Arial"/>
        </w:rPr>
        <w:t xml:space="preserve"> </w:t>
      </w:r>
      <w:r w:rsidR="00D57964" w:rsidRPr="00887CF2">
        <w:rPr>
          <w:rFonts w:ascii="Arial" w:hAnsi="Arial" w:cs="Arial"/>
        </w:rPr>
        <w:t>Content</w:t>
      </w:r>
      <w:r w:rsidR="008E794E" w:rsidRPr="00887CF2">
        <w:rPr>
          <w:rFonts w:ascii="Arial" w:hAnsi="Arial" w:cs="Arial"/>
        </w:rPr>
        <w:t>, Critical Thinking, and Communication</w:t>
      </w:r>
      <w:r w:rsidR="00873331" w:rsidRPr="00887CF2">
        <w:rPr>
          <w:rFonts w:ascii="Arial" w:hAnsi="Arial" w:cs="Arial"/>
        </w:rPr>
        <w:t xml:space="preserve"> outcomes</w:t>
      </w:r>
      <w:r w:rsidR="008E794E" w:rsidRPr="00887CF2">
        <w:rPr>
          <w:rFonts w:ascii="Arial" w:hAnsi="Arial" w:cs="Arial"/>
        </w:rPr>
        <w:t xml:space="preserve">. </w:t>
      </w:r>
    </w:p>
    <w:p w:rsidR="00887CF2" w:rsidRPr="00887CF2" w:rsidRDefault="00887CF2" w:rsidP="00887CF2">
      <w:pPr>
        <w:pStyle w:val="ListParagraph"/>
        <w:numPr>
          <w:ilvl w:val="0"/>
          <w:numId w:val="3"/>
        </w:numPr>
        <w:ind w:right="900"/>
        <w:rPr>
          <w:rFonts w:ascii="Arial" w:hAnsi="Arial" w:cs="Arial"/>
        </w:rPr>
      </w:pPr>
      <w:r w:rsidRPr="00887CF2">
        <w:rPr>
          <w:rFonts w:ascii="Arial" w:hAnsi="Arial" w:cs="Arial"/>
        </w:rPr>
        <w:t xml:space="preserve">Implementation of the program assessment policy for the Master’s Degree in Exceptional Student Education will begin </w:t>
      </w:r>
      <w:r>
        <w:rPr>
          <w:rFonts w:ascii="Arial" w:hAnsi="Arial" w:cs="Arial"/>
        </w:rPr>
        <w:t xml:space="preserve">in </w:t>
      </w:r>
      <w:proofErr w:type="gramStart"/>
      <w:r w:rsidRPr="00887CF2">
        <w:rPr>
          <w:rFonts w:ascii="Arial" w:hAnsi="Arial" w:cs="Arial"/>
        </w:rPr>
        <w:t>Spring</w:t>
      </w:r>
      <w:proofErr w:type="gramEnd"/>
      <w:r w:rsidRPr="00887CF2">
        <w:rPr>
          <w:rFonts w:ascii="Arial" w:hAnsi="Arial" w:cs="Arial"/>
        </w:rPr>
        <w:t xml:space="preserve"> semester of 2011.</w:t>
      </w:r>
    </w:p>
    <w:p w:rsidR="00887CF2" w:rsidRPr="00887CF2" w:rsidRDefault="00887CF2" w:rsidP="00887CF2">
      <w:pPr>
        <w:ind w:left="360" w:right="900"/>
        <w:rPr>
          <w:rFonts w:ascii="Arial" w:hAnsi="Arial" w:cs="Arial"/>
        </w:rPr>
      </w:pPr>
    </w:p>
    <w:p w:rsidR="00A33F4E" w:rsidRDefault="00A33F4E" w:rsidP="00873331">
      <w:pPr>
        <w:spacing w:after="0" w:line="240" w:lineRule="auto"/>
        <w:ind w:right="900"/>
        <w:rPr>
          <w:rFonts w:ascii="Arial" w:hAnsi="Arial" w:cs="Arial"/>
        </w:rPr>
      </w:pPr>
    </w:p>
    <w:p w:rsidR="00F96318" w:rsidRPr="00873331" w:rsidRDefault="00873331" w:rsidP="00873331">
      <w:pPr>
        <w:ind w:right="900"/>
        <w:rPr>
          <w:rFonts w:ascii="Arial" w:hAnsi="Arial" w:cs="Arial"/>
        </w:rPr>
      </w:pPr>
      <w:r w:rsidRPr="00873331">
        <w:rPr>
          <w:rFonts w:ascii="Arial" w:hAnsi="Arial" w:cs="Arial"/>
        </w:rPr>
        <w:t>The following table summarizes program assessment model for the ESE Master’s Degree program, and shows the connection to the FAU assessment model linking student progress to Content, Critical Thinking, and Communication outcomes.</w:t>
      </w:r>
    </w:p>
    <w:p w:rsidR="00A33F4E" w:rsidRDefault="00A33F4E" w:rsidP="00873331">
      <w:pPr>
        <w:spacing w:after="0" w:line="240" w:lineRule="auto"/>
        <w:ind w:right="900"/>
      </w:pPr>
    </w:p>
    <w:p w:rsidR="0003653A" w:rsidRDefault="0003653A" w:rsidP="0003653A">
      <w:pPr>
        <w:spacing w:after="0" w:line="240" w:lineRule="auto"/>
        <w:ind w:right="-720"/>
      </w:pPr>
    </w:p>
    <w:tbl>
      <w:tblPr>
        <w:tblStyle w:val="TableGrid"/>
        <w:tblW w:w="0" w:type="auto"/>
        <w:tblLook w:val="04A0"/>
      </w:tblPr>
      <w:tblGrid>
        <w:gridCol w:w="2448"/>
        <w:gridCol w:w="1800"/>
        <w:gridCol w:w="1890"/>
        <w:gridCol w:w="1980"/>
        <w:gridCol w:w="2160"/>
      </w:tblGrid>
      <w:tr w:rsidR="0003653A" w:rsidTr="00F96318">
        <w:tc>
          <w:tcPr>
            <w:tcW w:w="2448" w:type="dxa"/>
          </w:tcPr>
          <w:p w:rsidR="0003653A" w:rsidRPr="00D43780" w:rsidRDefault="0037537F" w:rsidP="00A33F4E">
            <w:pPr>
              <w:ind w:right="-720"/>
              <w:rPr>
                <w:rFonts w:ascii="Arial" w:hAnsi="Arial" w:cs="Arial"/>
                <w:b/>
              </w:rPr>
            </w:pPr>
            <w:r w:rsidRPr="00D43780">
              <w:rPr>
                <w:rFonts w:ascii="Arial" w:hAnsi="Arial" w:cs="Arial"/>
                <w:b/>
              </w:rPr>
              <w:t>Course and CA</w:t>
            </w:r>
          </w:p>
        </w:tc>
        <w:tc>
          <w:tcPr>
            <w:tcW w:w="1800" w:type="dxa"/>
          </w:tcPr>
          <w:p w:rsidR="00A33F4E" w:rsidRPr="00D43780" w:rsidRDefault="0037537F" w:rsidP="00A33F4E">
            <w:pPr>
              <w:ind w:right="-720"/>
              <w:rPr>
                <w:rFonts w:ascii="Arial" w:hAnsi="Arial" w:cs="Arial"/>
                <w:b/>
              </w:rPr>
            </w:pPr>
            <w:r w:rsidRPr="00D43780">
              <w:rPr>
                <w:rFonts w:ascii="Arial" w:hAnsi="Arial" w:cs="Arial"/>
                <w:b/>
              </w:rPr>
              <w:t xml:space="preserve">Type of </w:t>
            </w:r>
          </w:p>
          <w:p w:rsidR="0003653A" w:rsidRPr="00D43780" w:rsidRDefault="0037537F" w:rsidP="00A33F4E">
            <w:pPr>
              <w:ind w:right="-720"/>
              <w:rPr>
                <w:rFonts w:ascii="Arial" w:hAnsi="Arial" w:cs="Arial"/>
                <w:b/>
              </w:rPr>
            </w:pPr>
            <w:r w:rsidRPr="00D43780">
              <w:rPr>
                <w:rFonts w:ascii="Arial" w:hAnsi="Arial" w:cs="Arial"/>
                <w:b/>
              </w:rPr>
              <w:t>Assessment</w:t>
            </w:r>
          </w:p>
        </w:tc>
        <w:tc>
          <w:tcPr>
            <w:tcW w:w="1890" w:type="dxa"/>
          </w:tcPr>
          <w:p w:rsidR="0003653A" w:rsidRPr="00D43780" w:rsidRDefault="0037537F" w:rsidP="00A33F4E">
            <w:pPr>
              <w:ind w:right="-720"/>
              <w:rPr>
                <w:rFonts w:ascii="Arial" w:hAnsi="Arial" w:cs="Arial"/>
                <w:b/>
              </w:rPr>
            </w:pPr>
            <w:r w:rsidRPr="00D43780">
              <w:rPr>
                <w:rFonts w:ascii="Arial" w:hAnsi="Arial" w:cs="Arial"/>
                <w:b/>
              </w:rPr>
              <w:t>Content</w:t>
            </w:r>
          </w:p>
        </w:tc>
        <w:tc>
          <w:tcPr>
            <w:tcW w:w="1980" w:type="dxa"/>
          </w:tcPr>
          <w:p w:rsidR="00A33F4E" w:rsidRPr="00D43780" w:rsidRDefault="0037537F" w:rsidP="00A33F4E">
            <w:pPr>
              <w:ind w:right="-720"/>
              <w:rPr>
                <w:rFonts w:ascii="Arial" w:hAnsi="Arial" w:cs="Arial"/>
                <w:b/>
              </w:rPr>
            </w:pPr>
            <w:r w:rsidRPr="00D43780">
              <w:rPr>
                <w:rFonts w:ascii="Arial" w:hAnsi="Arial" w:cs="Arial"/>
                <w:b/>
              </w:rPr>
              <w:t>Critical</w:t>
            </w:r>
          </w:p>
          <w:p w:rsidR="0003653A" w:rsidRPr="00D43780" w:rsidRDefault="0037537F" w:rsidP="00A33F4E">
            <w:pPr>
              <w:ind w:right="-720"/>
              <w:rPr>
                <w:rFonts w:ascii="Arial" w:hAnsi="Arial" w:cs="Arial"/>
                <w:b/>
              </w:rPr>
            </w:pPr>
            <w:r w:rsidRPr="00D43780">
              <w:rPr>
                <w:rFonts w:ascii="Arial" w:hAnsi="Arial" w:cs="Arial"/>
                <w:b/>
              </w:rPr>
              <w:t>Thinking</w:t>
            </w:r>
          </w:p>
        </w:tc>
        <w:tc>
          <w:tcPr>
            <w:tcW w:w="2160" w:type="dxa"/>
          </w:tcPr>
          <w:p w:rsidR="0037537F" w:rsidRPr="00D43780" w:rsidRDefault="0037537F" w:rsidP="00A33F4E">
            <w:pPr>
              <w:rPr>
                <w:rFonts w:ascii="Arial" w:hAnsi="Arial" w:cs="Arial"/>
                <w:b/>
              </w:rPr>
            </w:pPr>
            <w:r w:rsidRPr="00D43780">
              <w:rPr>
                <w:rFonts w:ascii="Arial" w:hAnsi="Arial" w:cs="Arial"/>
                <w:b/>
              </w:rPr>
              <w:t>Communication</w:t>
            </w:r>
          </w:p>
          <w:p w:rsidR="0003653A" w:rsidRPr="00D43780" w:rsidRDefault="0003653A" w:rsidP="00A33F4E">
            <w:pPr>
              <w:ind w:right="-720"/>
              <w:rPr>
                <w:rFonts w:ascii="Arial" w:hAnsi="Arial" w:cs="Arial"/>
                <w:b/>
              </w:rPr>
            </w:pPr>
          </w:p>
        </w:tc>
      </w:tr>
      <w:tr w:rsidR="0003653A" w:rsidTr="00F96318">
        <w:tc>
          <w:tcPr>
            <w:tcW w:w="2448" w:type="dxa"/>
          </w:tcPr>
          <w:p w:rsidR="0037537F" w:rsidRPr="00D43780" w:rsidRDefault="0037537F" w:rsidP="0037537F">
            <w:pPr>
              <w:rPr>
                <w:rFonts w:ascii="Arial" w:hAnsi="Arial" w:cs="Arial"/>
                <w:sz w:val="20"/>
                <w:szCs w:val="20"/>
              </w:rPr>
            </w:pPr>
          </w:p>
          <w:p w:rsidR="0037537F" w:rsidRPr="00D43780" w:rsidRDefault="0037537F" w:rsidP="0037537F">
            <w:pPr>
              <w:rPr>
                <w:rFonts w:ascii="Arial" w:hAnsi="Arial" w:cs="Arial"/>
                <w:sz w:val="20"/>
                <w:szCs w:val="20"/>
              </w:rPr>
            </w:pPr>
            <w:r w:rsidRPr="00D43780">
              <w:rPr>
                <w:rFonts w:ascii="Arial" w:hAnsi="Arial" w:cs="Arial"/>
                <w:sz w:val="20"/>
                <w:szCs w:val="20"/>
              </w:rPr>
              <w:t xml:space="preserve">EEX 6259: Cognitive </w:t>
            </w:r>
            <w:r w:rsidR="00A33F4E" w:rsidRPr="00D43780">
              <w:rPr>
                <w:rFonts w:ascii="Arial" w:hAnsi="Arial" w:cs="Arial"/>
                <w:sz w:val="20"/>
                <w:szCs w:val="20"/>
              </w:rPr>
              <w:t>&amp;</w:t>
            </w:r>
            <w:r w:rsidRPr="00D43780">
              <w:rPr>
                <w:rFonts w:ascii="Arial" w:hAnsi="Arial" w:cs="Arial"/>
                <w:sz w:val="20"/>
                <w:szCs w:val="20"/>
              </w:rPr>
              <w:t xml:space="preserve"> </w:t>
            </w:r>
            <w:proofErr w:type="spellStart"/>
            <w:r w:rsidRPr="00D43780">
              <w:rPr>
                <w:rFonts w:ascii="Arial" w:hAnsi="Arial" w:cs="Arial"/>
                <w:sz w:val="20"/>
                <w:szCs w:val="20"/>
              </w:rPr>
              <w:t>Metacognitive</w:t>
            </w:r>
            <w:proofErr w:type="spellEnd"/>
            <w:r w:rsidRPr="00D43780">
              <w:rPr>
                <w:rFonts w:ascii="Arial" w:hAnsi="Arial" w:cs="Arial"/>
                <w:sz w:val="20"/>
                <w:szCs w:val="20"/>
              </w:rPr>
              <w:t xml:space="preserve"> Learning Strategies</w:t>
            </w:r>
          </w:p>
          <w:p w:rsidR="0037537F" w:rsidRPr="00D43780" w:rsidRDefault="0037537F" w:rsidP="0037537F">
            <w:pPr>
              <w:rPr>
                <w:rFonts w:ascii="Arial" w:hAnsi="Arial" w:cs="Arial"/>
                <w:sz w:val="20"/>
                <w:szCs w:val="20"/>
              </w:rPr>
            </w:pPr>
          </w:p>
          <w:p w:rsidR="0037537F" w:rsidRPr="00D43780" w:rsidRDefault="0037537F" w:rsidP="0037537F">
            <w:pPr>
              <w:rPr>
                <w:rFonts w:ascii="Arial" w:hAnsi="Arial" w:cs="Arial"/>
                <w:sz w:val="20"/>
                <w:szCs w:val="20"/>
              </w:rPr>
            </w:pPr>
            <w:r w:rsidRPr="00D43780">
              <w:rPr>
                <w:rFonts w:ascii="Arial" w:hAnsi="Arial" w:cs="Arial"/>
                <w:sz w:val="20"/>
                <w:szCs w:val="20"/>
              </w:rPr>
              <w:t>(CA: Strategies Manual)</w:t>
            </w:r>
          </w:p>
          <w:p w:rsidR="0003653A" w:rsidRPr="00D43780" w:rsidRDefault="0003653A" w:rsidP="0003653A">
            <w:pPr>
              <w:ind w:right="-720"/>
              <w:rPr>
                <w:rFonts w:ascii="Arial" w:hAnsi="Arial" w:cs="Arial"/>
              </w:rPr>
            </w:pPr>
          </w:p>
        </w:tc>
        <w:tc>
          <w:tcPr>
            <w:tcW w:w="1800" w:type="dxa"/>
          </w:tcPr>
          <w:p w:rsidR="00A33F4E" w:rsidRPr="00D43780" w:rsidRDefault="00A33F4E" w:rsidP="00A33F4E">
            <w:pPr>
              <w:jc w:val="center"/>
              <w:rPr>
                <w:rFonts w:ascii="Arial" w:hAnsi="Arial" w:cs="Arial"/>
                <w:sz w:val="20"/>
                <w:szCs w:val="20"/>
              </w:rPr>
            </w:pPr>
          </w:p>
          <w:p w:rsidR="0037537F" w:rsidRPr="00D43780" w:rsidRDefault="0037537F" w:rsidP="00A33F4E">
            <w:pPr>
              <w:jc w:val="center"/>
              <w:rPr>
                <w:rFonts w:ascii="Arial" w:hAnsi="Arial" w:cs="Arial"/>
                <w:sz w:val="20"/>
                <w:szCs w:val="20"/>
              </w:rPr>
            </w:pPr>
            <w:r w:rsidRPr="00D43780">
              <w:rPr>
                <w:rFonts w:ascii="Arial" w:hAnsi="Arial" w:cs="Arial"/>
                <w:sz w:val="20"/>
                <w:szCs w:val="20"/>
              </w:rPr>
              <w:t>Foundational Knowledge</w:t>
            </w:r>
          </w:p>
          <w:p w:rsidR="0003653A" w:rsidRPr="00D43780" w:rsidRDefault="0003653A" w:rsidP="00A33F4E">
            <w:pPr>
              <w:ind w:right="-720"/>
              <w:jc w:val="center"/>
              <w:rPr>
                <w:rFonts w:ascii="Arial" w:hAnsi="Arial" w:cs="Arial"/>
              </w:rPr>
            </w:pPr>
          </w:p>
        </w:tc>
        <w:tc>
          <w:tcPr>
            <w:tcW w:w="1890" w:type="dxa"/>
          </w:tcPr>
          <w:p w:rsidR="0003653A" w:rsidRPr="00D43780" w:rsidRDefault="0003653A" w:rsidP="0003653A">
            <w:pPr>
              <w:ind w:right="-720"/>
              <w:rPr>
                <w:rFonts w:ascii="Arial" w:hAnsi="Arial" w:cs="Arial"/>
                <w:sz w:val="32"/>
                <w:szCs w:val="32"/>
              </w:rPr>
            </w:pPr>
          </w:p>
          <w:p w:rsidR="00A33F4E" w:rsidRPr="00D43780" w:rsidRDefault="00A33F4E" w:rsidP="0003653A">
            <w:pPr>
              <w:ind w:right="-720"/>
              <w:rPr>
                <w:rFonts w:ascii="Arial" w:hAnsi="Arial" w:cs="Arial"/>
                <w:sz w:val="32"/>
                <w:szCs w:val="32"/>
              </w:rPr>
            </w:pPr>
          </w:p>
          <w:p w:rsidR="00A33F4E" w:rsidRPr="00D43780" w:rsidRDefault="00A33F4E" w:rsidP="0003653A">
            <w:pPr>
              <w:ind w:right="-720"/>
              <w:rPr>
                <w:rFonts w:ascii="Arial" w:hAnsi="Arial" w:cs="Arial"/>
                <w:sz w:val="32"/>
                <w:szCs w:val="32"/>
              </w:rPr>
            </w:pPr>
            <w:r w:rsidRPr="00D43780">
              <w:rPr>
                <w:rFonts w:ascii="Arial" w:hAnsi="Arial" w:cs="Arial"/>
                <w:sz w:val="32"/>
                <w:szCs w:val="32"/>
              </w:rPr>
              <w:t xml:space="preserve">       X</w:t>
            </w:r>
          </w:p>
          <w:p w:rsidR="00A33F4E" w:rsidRPr="00D43780" w:rsidRDefault="00A33F4E" w:rsidP="00A33F4E">
            <w:pPr>
              <w:ind w:right="-720"/>
              <w:rPr>
                <w:rFonts w:ascii="Arial" w:hAnsi="Arial" w:cs="Arial"/>
                <w:sz w:val="32"/>
                <w:szCs w:val="32"/>
              </w:rPr>
            </w:pPr>
          </w:p>
        </w:tc>
        <w:tc>
          <w:tcPr>
            <w:tcW w:w="1980" w:type="dxa"/>
          </w:tcPr>
          <w:p w:rsidR="0003653A" w:rsidRPr="00D43780" w:rsidRDefault="0003653A" w:rsidP="0003653A">
            <w:pPr>
              <w:ind w:right="-720"/>
              <w:rPr>
                <w:rFonts w:ascii="Arial" w:hAnsi="Arial" w:cs="Arial"/>
                <w:sz w:val="32"/>
                <w:szCs w:val="32"/>
              </w:rPr>
            </w:pPr>
          </w:p>
        </w:tc>
        <w:tc>
          <w:tcPr>
            <w:tcW w:w="2160" w:type="dxa"/>
          </w:tcPr>
          <w:p w:rsidR="0003653A" w:rsidRPr="00D43780" w:rsidRDefault="0003653A" w:rsidP="0003653A">
            <w:pPr>
              <w:ind w:right="-720"/>
              <w:rPr>
                <w:rFonts w:ascii="Arial" w:hAnsi="Arial" w:cs="Arial"/>
                <w:sz w:val="32"/>
                <w:szCs w:val="32"/>
              </w:rPr>
            </w:pPr>
          </w:p>
          <w:p w:rsidR="00A33F4E" w:rsidRPr="00D43780" w:rsidRDefault="00A33F4E" w:rsidP="0003653A">
            <w:pPr>
              <w:ind w:right="-720"/>
              <w:rPr>
                <w:rFonts w:ascii="Arial" w:hAnsi="Arial" w:cs="Arial"/>
                <w:sz w:val="32"/>
                <w:szCs w:val="32"/>
              </w:rPr>
            </w:pPr>
          </w:p>
          <w:p w:rsidR="00A33F4E" w:rsidRPr="00D43780" w:rsidRDefault="00A33F4E" w:rsidP="00A33F4E">
            <w:pPr>
              <w:ind w:right="-720"/>
              <w:rPr>
                <w:rFonts w:ascii="Arial" w:hAnsi="Arial" w:cs="Arial"/>
                <w:sz w:val="32"/>
                <w:szCs w:val="32"/>
              </w:rPr>
            </w:pPr>
            <w:r w:rsidRPr="00D43780">
              <w:rPr>
                <w:rFonts w:ascii="Arial" w:hAnsi="Arial" w:cs="Arial"/>
                <w:sz w:val="32"/>
                <w:szCs w:val="32"/>
              </w:rPr>
              <w:t xml:space="preserve">        X</w:t>
            </w:r>
          </w:p>
        </w:tc>
      </w:tr>
      <w:tr w:rsidR="0003653A" w:rsidTr="00D43780">
        <w:trPr>
          <w:trHeight w:val="1700"/>
        </w:trPr>
        <w:tc>
          <w:tcPr>
            <w:tcW w:w="2448" w:type="dxa"/>
          </w:tcPr>
          <w:p w:rsidR="0037537F" w:rsidRPr="00D43780" w:rsidRDefault="0037537F" w:rsidP="0037537F">
            <w:pPr>
              <w:rPr>
                <w:rFonts w:ascii="Arial" w:hAnsi="Arial" w:cs="Arial"/>
                <w:sz w:val="20"/>
                <w:szCs w:val="20"/>
              </w:rPr>
            </w:pPr>
          </w:p>
          <w:p w:rsidR="0037537F" w:rsidRPr="00D43780" w:rsidRDefault="0037537F" w:rsidP="0037537F">
            <w:pPr>
              <w:rPr>
                <w:rFonts w:ascii="Arial" w:hAnsi="Arial" w:cs="Arial"/>
                <w:sz w:val="20"/>
                <w:szCs w:val="20"/>
              </w:rPr>
            </w:pPr>
            <w:r w:rsidRPr="00D43780">
              <w:rPr>
                <w:rFonts w:ascii="Arial" w:hAnsi="Arial" w:cs="Arial"/>
                <w:sz w:val="20"/>
                <w:szCs w:val="20"/>
              </w:rPr>
              <w:t>EEX 5622  Collaboration &amp; Consultation Skills for Educators</w:t>
            </w:r>
          </w:p>
          <w:p w:rsidR="0037537F" w:rsidRPr="00D43780" w:rsidRDefault="0037537F" w:rsidP="0037537F">
            <w:pPr>
              <w:rPr>
                <w:rFonts w:ascii="Arial" w:hAnsi="Arial" w:cs="Arial"/>
                <w:sz w:val="20"/>
                <w:szCs w:val="20"/>
              </w:rPr>
            </w:pPr>
          </w:p>
          <w:p w:rsidR="0037537F" w:rsidRPr="00D43780" w:rsidRDefault="0037537F" w:rsidP="0037537F">
            <w:pPr>
              <w:rPr>
                <w:rFonts w:ascii="Arial" w:hAnsi="Arial" w:cs="Arial"/>
                <w:sz w:val="20"/>
                <w:szCs w:val="20"/>
              </w:rPr>
            </w:pPr>
            <w:r w:rsidRPr="00D43780">
              <w:rPr>
                <w:rFonts w:ascii="Arial" w:hAnsi="Arial" w:cs="Arial"/>
                <w:sz w:val="20"/>
                <w:szCs w:val="20"/>
              </w:rPr>
              <w:t>(CA:</w:t>
            </w:r>
            <w:r w:rsidR="00A33F4E" w:rsidRPr="00D43780">
              <w:rPr>
                <w:rFonts w:ascii="Arial" w:hAnsi="Arial" w:cs="Arial"/>
                <w:sz w:val="20"/>
                <w:szCs w:val="20"/>
              </w:rPr>
              <w:t xml:space="preserve"> Problem Solving Group Activity</w:t>
            </w:r>
            <w:r w:rsidRPr="00D43780">
              <w:rPr>
                <w:rFonts w:ascii="Arial" w:hAnsi="Arial" w:cs="Arial"/>
                <w:sz w:val="20"/>
                <w:szCs w:val="20"/>
              </w:rPr>
              <w:t xml:space="preserve"> )</w:t>
            </w:r>
          </w:p>
          <w:p w:rsidR="0003653A" w:rsidRPr="00D43780" w:rsidRDefault="0003653A" w:rsidP="0003653A">
            <w:pPr>
              <w:ind w:right="-720"/>
              <w:rPr>
                <w:rFonts w:ascii="Arial" w:hAnsi="Arial" w:cs="Arial"/>
              </w:rPr>
            </w:pPr>
          </w:p>
        </w:tc>
        <w:tc>
          <w:tcPr>
            <w:tcW w:w="1800" w:type="dxa"/>
          </w:tcPr>
          <w:p w:rsidR="00A33F4E" w:rsidRPr="00D43780" w:rsidRDefault="00A33F4E" w:rsidP="00A33F4E">
            <w:pPr>
              <w:jc w:val="center"/>
              <w:rPr>
                <w:rFonts w:ascii="Arial" w:hAnsi="Arial" w:cs="Arial"/>
                <w:sz w:val="20"/>
                <w:szCs w:val="20"/>
              </w:rPr>
            </w:pPr>
          </w:p>
          <w:p w:rsidR="0037537F" w:rsidRPr="00D43780" w:rsidRDefault="0037537F" w:rsidP="00A33F4E">
            <w:pPr>
              <w:jc w:val="center"/>
              <w:rPr>
                <w:rFonts w:ascii="Arial" w:hAnsi="Arial" w:cs="Arial"/>
                <w:sz w:val="20"/>
                <w:szCs w:val="20"/>
              </w:rPr>
            </w:pPr>
            <w:r w:rsidRPr="00D43780">
              <w:rPr>
                <w:rFonts w:ascii="Arial" w:hAnsi="Arial" w:cs="Arial"/>
                <w:sz w:val="20"/>
                <w:szCs w:val="20"/>
              </w:rPr>
              <w:t>Foundational Knowledge</w:t>
            </w:r>
          </w:p>
          <w:p w:rsidR="0003653A" w:rsidRPr="00D43780" w:rsidRDefault="0003653A" w:rsidP="00A33F4E">
            <w:pPr>
              <w:ind w:right="-720"/>
              <w:jc w:val="center"/>
              <w:rPr>
                <w:rFonts w:ascii="Arial" w:hAnsi="Arial" w:cs="Arial"/>
              </w:rPr>
            </w:pPr>
          </w:p>
        </w:tc>
        <w:tc>
          <w:tcPr>
            <w:tcW w:w="1890" w:type="dxa"/>
          </w:tcPr>
          <w:p w:rsidR="0003653A" w:rsidRPr="00D43780" w:rsidRDefault="0003653A" w:rsidP="0003653A">
            <w:pPr>
              <w:ind w:right="-720"/>
              <w:rPr>
                <w:rFonts w:ascii="Arial" w:hAnsi="Arial" w:cs="Arial"/>
                <w:sz w:val="32"/>
                <w:szCs w:val="32"/>
              </w:rPr>
            </w:pPr>
          </w:p>
        </w:tc>
        <w:tc>
          <w:tcPr>
            <w:tcW w:w="1980" w:type="dxa"/>
          </w:tcPr>
          <w:p w:rsidR="0003653A" w:rsidRPr="00D43780" w:rsidRDefault="0003653A" w:rsidP="0003653A">
            <w:pPr>
              <w:ind w:right="-720"/>
              <w:rPr>
                <w:rFonts w:ascii="Arial" w:hAnsi="Arial" w:cs="Arial"/>
                <w:sz w:val="32"/>
                <w:szCs w:val="32"/>
              </w:rPr>
            </w:pPr>
          </w:p>
          <w:p w:rsidR="00A33F4E" w:rsidRPr="00D43780" w:rsidRDefault="00A33F4E" w:rsidP="0003653A">
            <w:pPr>
              <w:ind w:right="-720"/>
              <w:rPr>
                <w:rFonts w:ascii="Arial" w:hAnsi="Arial" w:cs="Arial"/>
                <w:sz w:val="32"/>
                <w:szCs w:val="32"/>
              </w:rPr>
            </w:pPr>
          </w:p>
          <w:p w:rsidR="00A33F4E" w:rsidRPr="00D43780" w:rsidRDefault="00A33F4E" w:rsidP="00A33F4E">
            <w:pPr>
              <w:ind w:right="-720"/>
              <w:rPr>
                <w:rFonts w:ascii="Arial" w:hAnsi="Arial" w:cs="Arial"/>
                <w:sz w:val="32"/>
                <w:szCs w:val="32"/>
              </w:rPr>
            </w:pPr>
            <w:r w:rsidRPr="00D43780">
              <w:rPr>
                <w:rFonts w:ascii="Arial" w:hAnsi="Arial" w:cs="Arial"/>
                <w:sz w:val="32"/>
                <w:szCs w:val="32"/>
              </w:rPr>
              <w:t xml:space="preserve">        X</w:t>
            </w:r>
          </w:p>
        </w:tc>
        <w:tc>
          <w:tcPr>
            <w:tcW w:w="2160" w:type="dxa"/>
          </w:tcPr>
          <w:p w:rsidR="0003653A" w:rsidRPr="00D43780" w:rsidRDefault="0003653A" w:rsidP="0003653A">
            <w:pPr>
              <w:ind w:right="-720"/>
              <w:rPr>
                <w:rFonts w:ascii="Arial" w:hAnsi="Arial" w:cs="Arial"/>
                <w:sz w:val="32"/>
                <w:szCs w:val="32"/>
              </w:rPr>
            </w:pPr>
          </w:p>
          <w:p w:rsidR="00A33F4E" w:rsidRPr="00D43780" w:rsidRDefault="00A33F4E" w:rsidP="0003653A">
            <w:pPr>
              <w:ind w:right="-720"/>
              <w:rPr>
                <w:rFonts w:ascii="Arial" w:hAnsi="Arial" w:cs="Arial"/>
                <w:sz w:val="32"/>
                <w:szCs w:val="32"/>
              </w:rPr>
            </w:pPr>
          </w:p>
          <w:p w:rsidR="00A33F4E" w:rsidRPr="00D43780" w:rsidRDefault="00A33F4E" w:rsidP="00A33F4E">
            <w:pPr>
              <w:ind w:right="-720"/>
              <w:rPr>
                <w:rFonts w:ascii="Arial" w:hAnsi="Arial" w:cs="Arial"/>
                <w:sz w:val="32"/>
                <w:szCs w:val="32"/>
              </w:rPr>
            </w:pPr>
            <w:r w:rsidRPr="00D43780">
              <w:rPr>
                <w:rFonts w:ascii="Arial" w:hAnsi="Arial" w:cs="Arial"/>
                <w:sz w:val="32"/>
                <w:szCs w:val="32"/>
              </w:rPr>
              <w:t xml:space="preserve">        X</w:t>
            </w:r>
          </w:p>
        </w:tc>
      </w:tr>
      <w:tr w:rsidR="0003653A" w:rsidTr="00D43780">
        <w:trPr>
          <w:trHeight w:val="1538"/>
        </w:trPr>
        <w:tc>
          <w:tcPr>
            <w:tcW w:w="2448" w:type="dxa"/>
          </w:tcPr>
          <w:p w:rsidR="0037537F" w:rsidRPr="00D43780" w:rsidRDefault="0037537F" w:rsidP="0037537F">
            <w:pPr>
              <w:rPr>
                <w:rFonts w:ascii="Arial" w:hAnsi="Arial" w:cs="Arial"/>
              </w:rPr>
            </w:pPr>
          </w:p>
          <w:p w:rsidR="0037537F" w:rsidRPr="00D43780" w:rsidRDefault="0037537F" w:rsidP="0037537F">
            <w:pPr>
              <w:rPr>
                <w:rFonts w:ascii="Arial" w:hAnsi="Arial" w:cs="Arial"/>
                <w:sz w:val="20"/>
                <w:szCs w:val="20"/>
              </w:rPr>
            </w:pPr>
            <w:r w:rsidRPr="00D43780">
              <w:rPr>
                <w:rFonts w:ascii="Arial" w:hAnsi="Arial" w:cs="Arial"/>
                <w:sz w:val="20"/>
                <w:szCs w:val="20"/>
              </w:rPr>
              <w:t>EEX 6027  Seminar in Special Education</w:t>
            </w:r>
          </w:p>
          <w:p w:rsidR="0037537F" w:rsidRPr="00D43780" w:rsidRDefault="0037537F" w:rsidP="0037537F">
            <w:pPr>
              <w:rPr>
                <w:rFonts w:ascii="Arial" w:hAnsi="Arial" w:cs="Arial"/>
                <w:sz w:val="20"/>
                <w:szCs w:val="20"/>
              </w:rPr>
            </w:pPr>
          </w:p>
          <w:p w:rsidR="0037537F" w:rsidRPr="00D43780" w:rsidRDefault="0037537F" w:rsidP="0037537F">
            <w:pPr>
              <w:rPr>
                <w:rFonts w:ascii="Arial" w:hAnsi="Arial" w:cs="Arial"/>
                <w:sz w:val="20"/>
                <w:szCs w:val="20"/>
              </w:rPr>
            </w:pPr>
            <w:r w:rsidRPr="00D43780">
              <w:rPr>
                <w:rFonts w:ascii="Arial" w:hAnsi="Arial" w:cs="Arial"/>
                <w:sz w:val="20"/>
                <w:szCs w:val="20"/>
              </w:rPr>
              <w:t>(CA:</w:t>
            </w:r>
            <w:r w:rsidR="00A33F4E" w:rsidRPr="00D43780">
              <w:rPr>
                <w:rFonts w:ascii="Arial" w:hAnsi="Arial" w:cs="Arial"/>
                <w:sz w:val="20"/>
                <w:szCs w:val="20"/>
              </w:rPr>
              <w:t xml:space="preserve"> Topic Presentation</w:t>
            </w:r>
            <w:r w:rsidRPr="00D43780">
              <w:rPr>
                <w:rFonts w:ascii="Arial" w:hAnsi="Arial" w:cs="Arial"/>
                <w:sz w:val="20"/>
                <w:szCs w:val="20"/>
              </w:rPr>
              <w:t xml:space="preserve">) </w:t>
            </w:r>
          </w:p>
          <w:p w:rsidR="0003653A" w:rsidRPr="00D43780" w:rsidRDefault="0003653A" w:rsidP="0003653A">
            <w:pPr>
              <w:ind w:right="-720"/>
              <w:rPr>
                <w:rFonts w:ascii="Arial" w:hAnsi="Arial" w:cs="Arial"/>
              </w:rPr>
            </w:pPr>
          </w:p>
        </w:tc>
        <w:tc>
          <w:tcPr>
            <w:tcW w:w="1800" w:type="dxa"/>
          </w:tcPr>
          <w:p w:rsidR="00D43780" w:rsidRDefault="00D43780" w:rsidP="00A33F4E">
            <w:pPr>
              <w:jc w:val="center"/>
              <w:rPr>
                <w:rFonts w:ascii="Arial" w:hAnsi="Arial" w:cs="Arial"/>
                <w:sz w:val="20"/>
                <w:szCs w:val="20"/>
              </w:rPr>
            </w:pPr>
          </w:p>
          <w:p w:rsidR="0037537F" w:rsidRPr="00D43780" w:rsidRDefault="0037537F" w:rsidP="00A33F4E">
            <w:pPr>
              <w:jc w:val="center"/>
              <w:rPr>
                <w:rFonts w:ascii="Arial" w:hAnsi="Arial" w:cs="Arial"/>
                <w:sz w:val="20"/>
                <w:szCs w:val="20"/>
              </w:rPr>
            </w:pPr>
            <w:r w:rsidRPr="00D43780">
              <w:rPr>
                <w:rFonts w:ascii="Arial" w:hAnsi="Arial" w:cs="Arial"/>
                <w:sz w:val="20"/>
                <w:szCs w:val="20"/>
              </w:rPr>
              <w:t>Culminating Activity</w:t>
            </w:r>
          </w:p>
          <w:p w:rsidR="0037537F" w:rsidRPr="00D43780" w:rsidRDefault="0037537F" w:rsidP="00A33F4E">
            <w:pPr>
              <w:jc w:val="center"/>
              <w:rPr>
                <w:rFonts w:ascii="Arial" w:hAnsi="Arial" w:cs="Arial"/>
                <w:sz w:val="20"/>
                <w:szCs w:val="20"/>
              </w:rPr>
            </w:pPr>
            <w:r w:rsidRPr="00D43780">
              <w:rPr>
                <w:rFonts w:ascii="Arial" w:hAnsi="Arial" w:cs="Arial"/>
                <w:sz w:val="20"/>
                <w:szCs w:val="20"/>
              </w:rPr>
              <w:t>(Capstone)</w:t>
            </w:r>
          </w:p>
          <w:p w:rsidR="0003653A" w:rsidRPr="00D43780" w:rsidRDefault="0003653A" w:rsidP="00A33F4E">
            <w:pPr>
              <w:ind w:right="-720"/>
              <w:jc w:val="center"/>
              <w:rPr>
                <w:rFonts w:ascii="Arial" w:hAnsi="Arial" w:cs="Arial"/>
              </w:rPr>
            </w:pPr>
          </w:p>
        </w:tc>
        <w:tc>
          <w:tcPr>
            <w:tcW w:w="1890" w:type="dxa"/>
          </w:tcPr>
          <w:p w:rsidR="0003653A" w:rsidRPr="00D43780" w:rsidRDefault="0003653A" w:rsidP="0003653A">
            <w:pPr>
              <w:ind w:right="-720"/>
              <w:rPr>
                <w:rFonts w:ascii="Arial" w:hAnsi="Arial" w:cs="Arial"/>
                <w:sz w:val="32"/>
                <w:szCs w:val="32"/>
              </w:rPr>
            </w:pPr>
          </w:p>
          <w:p w:rsidR="00A33F4E" w:rsidRPr="00D43780" w:rsidRDefault="00A33F4E" w:rsidP="0003653A">
            <w:pPr>
              <w:ind w:right="-720"/>
              <w:rPr>
                <w:rFonts w:ascii="Arial" w:hAnsi="Arial" w:cs="Arial"/>
                <w:sz w:val="32"/>
                <w:szCs w:val="32"/>
              </w:rPr>
            </w:pPr>
          </w:p>
          <w:p w:rsidR="00A33F4E" w:rsidRPr="00D43780" w:rsidRDefault="00A33F4E" w:rsidP="00A33F4E">
            <w:pPr>
              <w:ind w:right="-720"/>
              <w:rPr>
                <w:rFonts w:ascii="Arial" w:hAnsi="Arial" w:cs="Arial"/>
                <w:sz w:val="32"/>
                <w:szCs w:val="32"/>
              </w:rPr>
            </w:pPr>
            <w:r w:rsidRPr="00D43780">
              <w:rPr>
                <w:rFonts w:ascii="Arial" w:hAnsi="Arial" w:cs="Arial"/>
                <w:sz w:val="32"/>
                <w:szCs w:val="32"/>
              </w:rPr>
              <w:t xml:space="preserve">        X</w:t>
            </w:r>
          </w:p>
        </w:tc>
        <w:tc>
          <w:tcPr>
            <w:tcW w:w="1980" w:type="dxa"/>
          </w:tcPr>
          <w:p w:rsidR="0003653A" w:rsidRPr="00D43780" w:rsidRDefault="0003653A" w:rsidP="0003653A">
            <w:pPr>
              <w:ind w:right="-720"/>
              <w:rPr>
                <w:rFonts w:ascii="Arial" w:hAnsi="Arial" w:cs="Arial"/>
                <w:sz w:val="32"/>
                <w:szCs w:val="32"/>
              </w:rPr>
            </w:pPr>
          </w:p>
          <w:p w:rsidR="00A33F4E" w:rsidRPr="00D43780" w:rsidRDefault="00A33F4E" w:rsidP="0003653A">
            <w:pPr>
              <w:ind w:right="-720"/>
              <w:rPr>
                <w:rFonts w:ascii="Arial" w:hAnsi="Arial" w:cs="Arial"/>
                <w:sz w:val="32"/>
                <w:szCs w:val="32"/>
              </w:rPr>
            </w:pPr>
          </w:p>
          <w:p w:rsidR="00A33F4E" w:rsidRPr="00D43780" w:rsidRDefault="00A33F4E" w:rsidP="00A33F4E">
            <w:pPr>
              <w:ind w:right="-720"/>
              <w:rPr>
                <w:rFonts w:ascii="Arial" w:hAnsi="Arial" w:cs="Arial"/>
                <w:sz w:val="32"/>
                <w:szCs w:val="32"/>
              </w:rPr>
            </w:pPr>
            <w:r w:rsidRPr="00D43780">
              <w:rPr>
                <w:rFonts w:ascii="Arial" w:hAnsi="Arial" w:cs="Arial"/>
                <w:sz w:val="32"/>
                <w:szCs w:val="32"/>
              </w:rPr>
              <w:t xml:space="preserve">        X</w:t>
            </w:r>
          </w:p>
        </w:tc>
        <w:tc>
          <w:tcPr>
            <w:tcW w:w="2160" w:type="dxa"/>
          </w:tcPr>
          <w:p w:rsidR="0003653A" w:rsidRPr="00D43780" w:rsidRDefault="0003653A" w:rsidP="0003653A">
            <w:pPr>
              <w:ind w:right="-720"/>
              <w:rPr>
                <w:rFonts w:ascii="Arial" w:hAnsi="Arial" w:cs="Arial"/>
                <w:sz w:val="32"/>
                <w:szCs w:val="32"/>
              </w:rPr>
            </w:pPr>
          </w:p>
          <w:p w:rsidR="00A33F4E" w:rsidRPr="00D43780" w:rsidRDefault="00A33F4E" w:rsidP="0003653A">
            <w:pPr>
              <w:ind w:right="-720"/>
              <w:rPr>
                <w:rFonts w:ascii="Arial" w:hAnsi="Arial" w:cs="Arial"/>
                <w:sz w:val="32"/>
                <w:szCs w:val="32"/>
              </w:rPr>
            </w:pPr>
          </w:p>
          <w:p w:rsidR="00A33F4E" w:rsidRPr="00D43780" w:rsidRDefault="00A33F4E" w:rsidP="00A33F4E">
            <w:pPr>
              <w:ind w:right="-720"/>
              <w:rPr>
                <w:rFonts w:ascii="Arial" w:hAnsi="Arial" w:cs="Arial"/>
                <w:sz w:val="32"/>
                <w:szCs w:val="32"/>
              </w:rPr>
            </w:pPr>
            <w:r w:rsidRPr="00D43780">
              <w:rPr>
                <w:rFonts w:ascii="Arial" w:hAnsi="Arial" w:cs="Arial"/>
                <w:sz w:val="32"/>
                <w:szCs w:val="32"/>
              </w:rPr>
              <w:t xml:space="preserve">        X</w:t>
            </w:r>
          </w:p>
        </w:tc>
      </w:tr>
    </w:tbl>
    <w:p w:rsidR="0003653A" w:rsidRDefault="0003653A" w:rsidP="0003653A">
      <w:pPr>
        <w:spacing w:after="0" w:line="240" w:lineRule="auto"/>
        <w:ind w:right="-720"/>
      </w:pPr>
    </w:p>
    <w:p w:rsidR="0003653A" w:rsidRDefault="0003653A" w:rsidP="0037537F">
      <w:pPr>
        <w:ind w:right="-720"/>
        <w:rPr>
          <w:rFonts w:ascii="Arial" w:hAnsi="Arial" w:cs="Arial"/>
          <w:b/>
        </w:rPr>
      </w:pPr>
      <w:r>
        <w:t xml:space="preserve"> </w:t>
      </w:r>
    </w:p>
    <w:p w:rsidR="002A0537" w:rsidRDefault="002A0537" w:rsidP="0036533F">
      <w:pPr>
        <w:ind w:right="900"/>
        <w:rPr>
          <w:rFonts w:ascii="Arial" w:hAnsi="Arial" w:cs="Arial"/>
        </w:rPr>
      </w:pPr>
    </w:p>
    <w:sectPr w:rsidR="002A0537" w:rsidSect="00A751CC">
      <w:headerReference w:type="even" r:id="rId7"/>
      <w:headerReference w:type="default" r:id="rId8"/>
      <w:footerReference w:type="even" r:id="rId9"/>
      <w:footerReference w:type="default" r:id="rId10"/>
      <w:headerReference w:type="first" r:id="rId11"/>
      <w:footerReference w:type="first" r:id="rId12"/>
      <w:pgSz w:w="12240" w:h="15840"/>
      <w:pgMar w:top="1440" w:right="5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9DC" w:rsidRDefault="00BC19DC" w:rsidP="00887CF2">
      <w:pPr>
        <w:spacing w:after="0" w:line="240" w:lineRule="auto"/>
      </w:pPr>
      <w:r>
        <w:separator/>
      </w:r>
    </w:p>
  </w:endnote>
  <w:endnote w:type="continuationSeparator" w:id="0">
    <w:p w:rsidR="00BC19DC" w:rsidRDefault="00BC19DC" w:rsidP="00887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CF2" w:rsidRDefault="00887C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540630"/>
      <w:docPartObj>
        <w:docPartGallery w:val="Page Numbers (Bottom of Page)"/>
        <w:docPartUnique/>
      </w:docPartObj>
    </w:sdtPr>
    <w:sdtContent>
      <w:p w:rsidR="00887CF2" w:rsidRDefault="00F26CAD">
        <w:pPr>
          <w:pStyle w:val="Footer"/>
          <w:jc w:val="center"/>
        </w:pPr>
        <w:fldSimple w:instr=" PAGE   \* MERGEFORMAT ">
          <w:r w:rsidR="007D5326">
            <w:rPr>
              <w:noProof/>
            </w:rPr>
            <w:t>2</w:t>
          </w:r>
        </w:fldSimple>
      </w:p>
    </w:sdtContent>
  </w:sdt>
  <w:p w:rsidR="00887CF2" w:rsidRDefault="00887C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CF2" w:rsidRDefault="00887C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9DC" w:rsidRDefault="00BC19DC" w:rsidP="00887CF2">
      <w:pPr>
        <w:spacing w:after="0" w:line="240" w:lineRule="auto"/>
      </w:pPr>
      <w:r>
        <w:separator/>
      </w:r>
    </w:p>
  </w:footnote>
  <w:footnote w:type="continuationSeparator" w:id="0">
    <w:p w:rsidR="00BC19DC" w:rsidRDefault="00BC19DC" w:rsidP="00887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CF2" w:rsidRDefault="00887C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CF2" w:rsidRDefault="00887CF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CF2" w:rsidRDefault="00887C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31444"/>
    <w:multiLevelType w:val="hybridMultilevel"/>
    <w:tmpl w:val="41E45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82760"/>
    <w:multiLevelType w:val="hybridMultilevel"/>
    <w:tmpl w:val="9EAA5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745B9E"/>
    <w:multiLevelType w:val="hybridMultilevel"/>
    <w:tmpl w:val="349E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811518"/>
    <w:multiLevelType w:val="hybridMultilevel"/>
    <w:tmpl w:val="294A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538F3"/>
    <w:rsid w:val="0003653A"/>
    <w:rsid w:val="000D176D"/>
    <w:rsid w:val="000F4398"/>
    <w:rsid w:val="00112039"/>
    <w:rsid w:val="001121EF"/>
    <w:rsid w:val="00122629"/>
    <w:rsid w:val="00177EE1"/>
    <w:rsid w:val="001A2787"/>
    <w:rsid w:val="001B0D36"/>
    <w:rsid w:val="001B7B3B"/>
    <w:rsid w:val="001D4F0A"/>
    <w:rsid w:val="002A0537"/>
    <w:rsid w:val="00325B5F"/>
    <w:rsid w:val="0036533F"/>
    <w:rsid w:val="0037537F"/>
    <w:rsid w:val="003C287E"/>
    <w:rsid w:val="00424804"/>
    <w:rsid w:val="004B6A88"/>
    <w:rsid w:val="00644AD8"/>
    <w:rsid w:val="006C4CA3"/>
    <w:rsid w:val="006E7A1F"/>
    <w:rsid w:val="007879AC"/>
    <w:rsid w:val="007D5326"/>
    <w:rsid w:val="007F6558"/>
    <w:rsid w:val="00873331"/>
    <w:rsid w:val="00887CF2"/>
    <w:rsid w:val="008A7ECA"/>
    <w:rsid w:val="008E794E"/>
    <w:rsid w:val="0091054D"/>
    <w:rsid w:val="00936CD3"/>
    <w:rsid w:val="00952D9E"/>
    <w:rsid w:val="00994474"/>
    <w:rsid w:val="009A0870"/>
    <w:rsid w:val="009D3345"/>
    <w:rsid w:val="009D746A"/>
    <w:rsid w:val="009E0580"/>
    <w:rsid w:val="00A02FD8"/>
    <w:rsid w:val="00A03859"/>
    <w:rsid w:val="00A33F4E"/>
    <w:rsid w:val="00A4785D"/>
    <w:rsid w:val="00A55110"/>
    <w:rsid w:val="00A55B80"/>
    <w:rsid w:val="00A751CC"/>
    <w:rsid w:val="00A828A6"/>
    <w:rsid w:val="00A833FD"/>
    <w:rsid w:val="00A83961"/>
    <w:rsid w:val="00AE4271"/>
    <w:rsid w:val="00AF0802"/>
    <w:rsid w:val="00B17E73"/>
    <w:rsid w:val="00B46CFA"/>
    <w:rsid w:val="00BB0E83"/>
    <w:rsid w:val="00BC19DC"/>
    <w:rsid w:val="00C01FA1"/>
    <w:rsid w:val="00C268E6"/>
    <w:rsid w:val="00C83833"/>
    <w:rsid w:val="00CC16E8"/>
    <w:rsid w:val="00D27D3F"/>
    <w:rsid w:val="00D43780"/>
    <w:rsid w:val="00D57964"/>
    <w:rsid w:val="00D87295"/>
    <w:rsid w:val="00DF06DD"/>
    <w:rsid w:val="00EF6B03"/>
    <w:rsid w:val="00F26CAD"/>
    <w:rsid w:val="00F30F8B"/>
    <w:rsid w:val="00F346E2"/>
    <w:rsid w:val="00F37087"/>
    <w:rsid w:val="00F447F6"/>
    <w:rsid w:val="00F538F3"/>
    <w:rsid w:val="00F96318"/>
    <w:rsid w:val="00FA5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804"/>
    <w:pPr>
      <w:spacing w:after="0" w:line="240" w:lineRule="auto"/>
    </w:pPr>
  </w:style>
  <w:style w:type="paragraph" w:styleId="ListParagraph">
    <w:name w:val="List Paragraph"/>
    <w:basedOn w:val="Normal"/>
    <w:uiPriority w:val="34"/>
    <w:qFormat/>
    <w:rsid w:val="00325B5F"/>
    <w:pPr>
      <w:ind w:left="720"/>
      <w:contextualSpacing/>
    </w:pPr>
  </w:style>
  <w:style w:type="table" w:styleId="TableGrid">
    <w:name w:val="Table Grid"/>
    <w:basedOn w:val="TableNormal"/>
    <w:uiPriority w:val="59"/>
    <w:rsid w:val="000365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87C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7CF2"/>
  </w:style>
  <w:style w:type="paragraph" w:styleId="Footer">
    <w:name w:val="footer"/>
    <w:basedOn w:val="Normal"/>
    <w:link w:val="FooterChar"/>
    <w:uiPriority w:val="99"/>
    <w:unhideWhenUsed/>
    <w:rsid w:val="00887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CF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mbrady</dc:creator>
  <cp:lastModifiedBy>mbrady</cp:lastModifiedBy>
  <cp:revision>2</cp:revision>
  <cp:lastPrinted>2010-11-03T21:09:00Z</cp:lastPrinted>
  <dcterms:created xsi:type="dcterms:W3CDTF">2011-12-23T16:47:00Z</dcterms:created>
  <dcterms:modified xsi:type="dcterms:W3CDTF">2011-12-23T16:47:00Z</dcterms:modified>
</cp:coreProperties>
</file>