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708" w:rsidRDefault="006706BA" w:rsidP="00BF0EF4">
      <w:pPr>
        <w:jc w:val="center"/>
      </w:pPr>
      <w:r>
        <w:t>Results of Standar</w:t>
      </w:r>
      <w:r w:rsidR="00394708">
        <w:t>dized Examinations: Department of Chemistry and Biochemistry</w:t>
      </w:r>
      <w:r w:rsidR="00BF0EF4">
        <w:t>: 2010-2011</w:t>
      </w:r>
    </w:p>
    <w:p w:rsidR="00394708" w:rsidRDefault="00394708"/>
    <w:p w:rsidR="00BF0EF4" w:rsidRDefault="00BF0EF4">
      <w:r>
        <w:t>Key: ACS = standardized exam from American Chemical Society;</w:t>
      </w:r>
    </w:p>
    <w:p w:rsidR="00BF0EF4" w:rsidRDefault="00BF0EF4">
      <w:r>
        <w:t xml:space="preserve">          In-House = </w:t>
      </w:r>
      <w:proofErr w:type="gramStart"/>
      <w:r>
        <w:t>exam  developed</w:t>
      </w:r>
      <w:proofErr w:type="gramEnd"/>
      <w:r>
        <w:t xml:space="preserve"> fully at FAU (no acceptable ACS exam available)</w:t>
      </w:r>
    </w:p>
    <w:p w:rsidR="00BF0EF4" w:rsidRDefault="00BF0EF4">
      <w:r>
        <w:t xml:space="preserve">          Hybrid = exam containing appropriate questions from ACS exams and others</w:t>
      </w:r>
    </w:p>
    <w:p w:rsidR="00BF0EF4" w:rsidRDefault="00BF0EF4">
      <w:r>
        <w:t xml:space="preserve">                            </w:t>
      </w:r>
      <w:proofErr w:type="gramStart"/>
      <w:r>
        <w:t>developed</w:t>
      </w:r>
      <w:proofErr w:type="gramEnd"/>
      <w:r>
        <w:t xml:space="preserve"> in-house.</w:t>
      </w:r>
    </w:p>
    <w:p w:rsidR="00BF0EF4" w:rsidRDefault="00BF0EF4">
      <w:r>
        <w:t xml:space="preserve">            </w:t>
      </w:r>
      <w:proofErr w:type="gramStart"/>
      <w:r>
        <w:t>est</w:t>
      </w:r>
      <w:proofErr w:type="gramEnd"/>
      <w:r>
        <w:t>. =  estimated percentile based on available data</w:t>
      </w:r>
    </w:p>
    <w:p w:rsidR="00394708" w:rsidRDefault="00394708"/>
    <w:tbl>
      <w:tblPr>
        <w:tblStyle w:val="TableGrid"/>
        <w:tblW w:w="0" w:type="auto"/>
        <w:tblLook w:val="00BF"/>
      </w:tblPr>
      <w:tblGrid>
        <w:gridCol w:w="1476"/>
        <w:gridCol w:w="1476"/>
        <w:gridCol w:w="1476"/>
        <w:gridCol w:w="1476"/>
        <w:gridCol w:w="1476"/>
        <w:gridCol w:w="1476"/>
      </w:tblGrid>
      <w:tr w:rsidR="006706BA">
        <w:tc>
          <w:tcPr>
            <w:tcW w:w="1476" w:type="dxa"/>
          </w:tcPr>
          <w:p w:rsidR="006706BA" w:rsidRDefault="006706BA">
            <w:r>
              <w:t>Course</w:t>
            </w:r>
          </w:p>
        </w:tc>
        <w:tc>
          <w:tcPr>
            <w:tcW w:w="1476" w:type="dxa"/>
          </w:tcPr>
          <w:p w:rsidR="006706BA" w:rsidRDefault="006706BA">
            <w:r>
              <w:t>Semester</w:t>
            </w:r>
          </w:p>
        </w:tc>
        <w:tc>
          <w:tcPr>
            <w:tcW w:w="1476" w:type="dxa"/>
          </w:tcPr>
          <w:p w:rsidR="006706BA" w:rsidRDefault="006706BA">
            <w:r>
              <w:t>Instructor</w:t>
            </w:r>
          </w:p>
        </w:tc>
        <w:tc>
          <w:tcPr>
            <w:tcW w:w="1476" w:type="dxa"/>
          </w:tcPr>
          <w:p w:rsidR="006706BA" w:rsidRDefault="006706BA">
            <w:r>
              <w:t xml:space="preserve">Type of Exam </w:t>
            </w:r>
          </w:p>
        </w:tc>
        <w:tc>
          <w:tcPr>
            <w:tcW w:w="1476" w:type="dxa"/>
          </w:tcPr>
          <w:p w:rsidR="006706BA" w:rsidRDefault="006706BA">
            <w:r>
              <w:t>Mean Score</w:t>
            </w:r>
          </w:p>
        </w:tc>
        <w:tc>
          <w:tcPr>
            <w:tcW w:w="1476" w:type="dxa"/>
          </w:tcPr>
          <w:p w:rsidR="006706BA" w:rsidRDefault="006706BA">
            <w:r>
              <w:t>National Percentile</w:t>
            </w:r>
          </w:p>
        </w:tc>
      </w:tr>
      <w:tr w:rsidR="006706BA">
        <w:tc>
          <w:tcPr>
            <w:tcW w:w="1476" w:type="dxa"/>
          </w:tcPr>
          <w:p w:rsidR="006706BA" w:rsidRDefault="006706BA">
            <w:r>
              <w:t>CHM 2210</w:t>
            </w:r>
          </w:p>
        </w:tc>
        <w:tc>
          <w:tcPr>
            <w:tcW w:w="1476" w:type="dxa"/>
          </w:tcPr>
          <w:p w:rsidR="006706BA" w:rsidRDefault="006706BA">
            <w:r>
              <w:t>Fall 2010</w:t>
            </w:r>
          </w:p>
        </w:tc>
        <w:tc>
          <w:tcPr>
            <w:tcW w:w="1476" w:type="dxa"/>
          </w:tcPr>
          <w:p w:rsidR="006706BA" w:rsidRDefault="006706BA">
            <w:proofErr w:type="spellStart"/>
            <w:r>
              <w:t>Chamely</w:t>
            </w:r>
            <w:proofErr w:type="spellEnd"/>
          </w:p>
        </w:tc>
        <w:tc>
          <w:tcPr>
            <w:tcW w:w="1476" w:type="dxa"/>
          </w:tcPr>
          <w:p w:rsidR="006706BA" w:rsidRDefault="006706BA">
            <w:r>
              <w:t>ACS</w:t>
            </w:r>
          </w:p>
        </w:tc>
        <w:tc>
          <w:tcPr>
            <w:tcW w:w="1476" w:type="dxa"/>
          </w:tcPr>
          <w:p w:rsidR="006706BA" w:rsidRDefault="006706BA">
            <w:r>
              <w:t>78/100</w:t>
            </w:r>
          </w:p>
        </w:tc>
        <w:tc>
          <w:tcPr>
            <w:tcW w:w="1476" w:type="dxa"/>
          </w:tcPr>
          <w:p w:rsidR="006706BA" w:rsidRDefault="006706BA">
            <w:r>
              <w:t>55th</w:t>
            </w:r>
          </w:p>
        </w:tc>
      </w:tr>
      <w:tr w:rsidR="006706BA">
        <w:tc>
          <w:tcPr>
            <w:tcW w:w="1476" w:type="dxa"/>
          </w:tcPr>
          <w:p w:rsidR="006706BA" w:rsidRDefault="006706BA">
            <w:r>
              <w:t>CHM 2210</w:t>
            </w:r>
          </w:p>
        </w:tc>
        <w:tc>
          <w:tcPr>
            <w:tcW w:w="1476" w:type="dxa"/>
          </w:tcPr>
          <w:p w:rsidR="006706BA" w:rsidRDefault="006706BA">
            <w:r>
              <w:t>Spring 2011</w:t>
            </w:r>
          </w:p>
        </w:tc>
        <w:tc>
          <w:tcPr>
            <w:tcW w:w="1476" w:type="dxa"/>
          </w:tcPr>
          <w:p w:rsidR="006706BA" w:rsidRDefault="006706BA">
            <w:proofErr w:type="spellStart"/>
            <w:r>
              <w:t>Rezler</w:t>
            </w:r>
            <w:proofErr w:type="spellEnd"/>
          </w:p>
        </w:tc>
        <w:tc>
          <w:tcPr>
            <w:tcW w:w="1476" w:type="dxa"/>
          </w:tcPr>
          <w:p w:rsidR="006706BA" w:rsidRDefault="006706BA">
            <w:r>
              <w:t>ACS</w:t>
            </w:r>
          </w:p>
        </w:tc>
        <w:tc>
          <w:tcPr>
            <w:tcW w:w="1476" w:type="dxa"/>
          </w:tcPr>
          <w:p w:rsidR="006706BA" w:rsidRDefault="006706BA">
            <w:r>
              <w:t>79/100</w:t>
            </w:r>
          </w:p>
        </w:tc>
        <w:tc>
          <w:tcPr>
            <w:tcW w:w="1476" w:type="dxa"/>
          </w:tcPr>
          <w:p w:rsidR="006706BA" w:rsidRDefault="006706BA">
            <w:r>
              <w:t>55th</w:t>
            </w:r>
          </w:p>
        </w:tc>
      </w:tr>
      <w:tr w:rsidR="006706BA"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</w:tr>
      <w:tr w:rsidR="006706BA">
        <w:tc>
          <w:tcPr>
            <w:tcW w:w="1476" w:type="dxa"/>
          </w:tcPr>
          <w:p w:rsidR="006706BA" w:rsidRDefault="006706BA">
            <w:r>
              <w:t>CHM 3210</w:t>
            </w:r>
          </w:p>
        </w:tc>
        <w:tc>
          <w:tcPr>
            <w:tcW w:w="1476" w:type="dxa"/>
          </w:tcPr>
          <w:p w:rsidR="006706BA" w:rsidRDefault="00EC36C5">
            <w:r>
              <w:t>Fall 2010</w:t>
            </w:r>
          </w:p>
        </w:tc>
        <w:tc>
          <w:tcPr>
            <w:tcW w:w="1476" w:type="dxa"/>
          </w:tcPr>
          <w:p w:rsidR="006706BA" w:rsidRDefault="00EC36C5">
            <w:r>
              <w:t xml:space="preserve">De </w:t>
            </w:r>
            <w:proofErr w:type="spellStart"/>
            <w:r>
              <w:t>Lill</w:t>
            </w:r>
            <w:proofErr w:type="spellEnd"/>
          </w:p>
        </w:tc>
        <w:tc>
          <w:tcPr>
            <w:tcW w:w="1476" w:type="dxa"/>
          </w:tcPr>
          <w:p w:rsidR="006706BA" w:rsidRDefault="00EC36C5">
            <w:r>
              <w:t>ACS</w:t>
            </w:r>
          </w:p>
        </w:tc>
        <w:tc>
          <w:tcPr>
            <w:tcW w:w="1476" w:type="dxa"/>
          </w:tcPr>
          <w:p w:rsidR="006706BA" w:rsidRDefault="00EC36C5">
            <w:r>
              <w:t>60/100</w:t>
            </w:r>
          </w:p>
        </w:tc>
        <w:tc>
          <w:tcPr>
            <w:tcW w:w="1476" w:type="dxa"/>
          </w:tcPr>
          <w:p w:rsidR="006706BA" w:rsidRDefault="00EC36C5">
            <w:r>
              <w:t>57th</w:t>
            </w:r>
          </w:p>
        </w:tc>
      </w:tr>
      <w:tr w:rsidR="006706BA"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</w:tr>
      <w:tr w:rsidR="00EC36C5">
        <w:tc>
          <w:tcPr>
            <w:tcW w:w="1476" w:type="dxa"/>
          </w:tcPr>
          <w:p w:rsidR="00EC36C5" w:rsidRDefault="00EC36C5">
            <w:r>
              <w:t>CHM 2211L</w:t>
            </w:r>
          </w:p>
        </w:tc>
        <w:tc>
          <w:tcPr>
            <w:tcW w:w="1476" w:type="dxa"/>
          </w:tcPr>
          <w:p w:rsidR="00EC36C5" w:rsidRDefault="00EC36C5">
            <w:r>
              <w:t>Fall 2010</w:t>
            </w:r>
          </w:p>
        </w:tc>
        <w:tc>
          <w:tcPr>
            <w:tcW w:w="1476" w:type="dxa"/>
          </w:tcPr>
          <w:p w:rsidR="00EC36C5" w:rsidRDefault="00EC36C5">
            <w:proofErr w:type="spellStart"/>
            <w:r>
              <w:t>Rezler</w:t>
            </w:r>
            <w:proofErr w:type="spellEnd"/>
          </w:p>
        </w:tc>
        <w:tc>
          <w:tcPr>
            <w:tcW w:w="1476" w:type="dxa"/>
          </w:tcPr>
          <w:p w:rsidR="00EC36C5" w:rsidRDefault="00EC36C5">
            <w:r>
              <w:t>In-House</w:t>
            </w:r>
          </w:p>
        </w:tc>
        <w:tc>
          <w:tcPr>
            <w:tcW w:w="1476" w:type="dxa"/>
          </w:tcPr>
          <w:p w:rsidR="00EC36C5" w:rsidRDefault="00EC36C5">
            <w:r>
              <w:t>67/100</w:t>
            </w:r>
          </w:p>
        </w:tc>
        <w:tc>
          <w:tcPr>
            <w:tcW w:w="1476" w:type="dxa"/>
          </w:tcPr>
          <w:p w:rsidR="00EC36C5" w:rsidRDefault="00EC36C5">
            <w:r>
              <w:t>N/A</w:t>
            </w:r>
          </w:p>
        </w:tc>
      </w:tr>
      <w:tr w:rsidR="00EC36C5">
        <w:tc>
          <w:tcPr>
            <w:tcW w:w="1476" w:type="dxa"/>
          </w:tcPr>
          <w:p w:rsidR="00EC36C5" w:rsidRDefault="00EC36C5">
            <w:r>
              <w:t>CHM 2211L</w:t>
            </w:r>
          </w:p>
        </w:tc>
        <w:tc>
          <w:tcPr>
            <w:tcW w:w="1476" w:type="dxa"/>
          </w:tcPr>
          <w:p w:rsidR="00EC36C5" w:rsidRDefault="00EC36C5">
            <w:r>
              <w:t>Spring 2011</w:t>
            </w:r>
          </w:p>
        </w:tc>
        <w:tc>
          <w:tcPr>
            <w:tcW w:w="1476" w:type="dxa"/>
          </w:tcPr>
          <w:p w:rsidR="00EC36C5" w:rsidRDefault="00EC36C5">
            <w:proofErr w:type="spellStart"/>
            <w:r>
              <w:t>Chamely</w:t>
            </w:r>
            <w:proofErr w:type="spellEnd"/>
          </w:p>
        </w:tc>
        <w:tc>
          <w:tcPr>
            <w:tcW w:w="1476" w:type="dxa"/>
          </w:tcPr>
          <w:p w:rsidR="00EC36C5" w:rsidRDefault="00EC36C5">
            <w:r>
              <w:t>In-House</w:t>
            </w:r>
          </w:p>
        </w:tc>
        <w:tc>
          <w:tcPr>
            <w:tcW w:w="1476" w:type="dxa"/>
          </w:tcPr>
          <w:p w:rsidR="00EC36C5" w:rsidRDefault="00EC36C5">
            <w:r>
              <w:t>60/100</w:t>
            </w:r>
          </w:p>
        </w:tc>
        <w:tc>
          <w:tcPr>
            <w:tcW w:w="1476" w:type="dxa"/>
          </w:tcPr>
          <w:p w:rsidR="00EC36C5" w:rsidRDefault="00EC36C5">
            <w:r>
              <w:t>N/A</w:t>
            </w:r>
          </w:p>
        </w:tc>
      </w:tr>
      <w:tr w:rsidR="00EC36C5">
        <w:tc>
          <w:tcPr>
            <w:tcW w:w="1476" w:type="dxa"/>
          </w:tcPr>
          <w:p w:rsidR="00EC36C5" w:rsidRDefault="00EC36C5"/>
        </w:tc>
        <w:tc>
          <w:tcPr>
            <w:tcW w:w="1476" w:type="dxa"/>
          </w:tcPr>
          <w:p w:rsidR="00EC36C5" w:rsidRDefault="00EC36C5"/>
        </w:tc>
        <w:tc>
          <w:tcPr>
            <w:tcW w:w="1476" w:type="dxa"/>
          </w:tcPr>
          <w:p w:rsidR="00EC36C5" w:rsidRDefault="00EC36C5"/>
        </w:tc>
        <w:tc>
          <w:tcPr>
            <w:tcW w:w="1476" w:type="dxa"/>
          </w:tcPr>
          <w:p w:rsidR="00EC36C5" w:rsidRDefault="00EC36C5"/>
        </w:tc>
        <w:tc>
          <w:tcPr>
            <w:tcW w:w="1476" w:type="dxa"/>
          </w:tcPr>
          <w:p w:rsidR="00EC36C5" w:rsidRDefault="00EC36C5"/>
        </w:tc>
        <w:tc>
          <w:tcPr>
            <w:tcW w:w="1476" w:type="dxa"/>
          </w:tcPr>
          <w:p w:rsidR="00EC36C5" w:rsidRDefault="00EC36C5"/>
        </w:tc>
      </w:tr>
      <w:tr w:rsidR="00EC36C5">
        <w:tc>
          <w:tcPr>
            <w:tcW w:w="1476" w:type="dxa"/>
          </w:tcPr>
          <w:p w:rsidR="00EC36C5" w:rsidRDefault="00EC36C5">
            <w:r>
              <w:t>CHM 3609</w:t>
            </w:r>
          </w:p>
        </w:tc>
        <w:tc>
          <w:tcPr>
            <w:tcW w:w="1476" w:type="dxa"/>
          </w:tcPr>
          <w:p w:rsidR="00EC36C5" w:rsidRDefault="00EC36C5">
            <w:r>
              <w:t>Fall 2010</w:t>
            </w:r>
          </w:p>
        </w:tc>
        <w:tc>
          <w:tcPr>
            <w:tcW w:w="1476" w:type="dxa"/>
          </w:tcPr>
          <w:p w:rsidR="00EC36C5" w:rsidRDefault="00EC36C5">
            <w:proofErr w:type="spellStart"/>
            <w:r>
              <w:t>Rezler</w:t>
            </w:r>
            <w:proofErr w:type="spellEnd"/>
          </w:p>
        </w:tc>
        <w:tc>
          <w:tcPr>
            <w:tcW w:w="1476" w:type="dxa"/>
          </w:tcPr>
          <w:p w:rsidR="00EC36C5" w:rsidRDefault="00EC36C5">
            <w:r>
              <w:t>Hybrid</w:t>
            </w:r>
          </w:p>
        </w:tc>
        <w:tc>
          <w:tcPr>
            <w:tcW w:w="1476" w:type="dxa"/>
          </w:tcPr>
          <w:p w:rsidR="00EC36C5" w:rsidRDefault="00EC36C5">
            <w:r>
              <w:t>54/100</w:t>
            </w:r>
          </w:p>
        </w:tc>
        <w:tc>
          <w:tcPr>
            <w:tcW w:w="1476" w:type="dxa"/>
          </w:tcPr>
          <w:p w:rsidR="00EC36C5" w:rsidRDefault="00BF0EF4">
            <w:r>
              <w:t>~ 40</w:t>
            </w:r>
            <w:r w:rsidRPr="00BF0EF4">
              <w:rPr>
                <w:vertAlign w:val="superscript"/>
              </w:rPr>
              <w:t>th</w:t>
            </w:r>
            <w:r>
              <w:t xml:space="preserve"> (est.)</w:t>
            </w:r>
          </w:p>
        </w:tc>
      </w:tr>
      <w:tr w:rsidR="006706BA">
        <w:tc>
          <w:tcPr>
            <w:tcW w:w="1476" w:type="dxa"/>
          </w:tcPr>
          <w:p w:rsidR="006706BA" w:rsidRDefault="00EC36C5">
            <w:r>
              <w:t>CHM 3609</w:t>
            </w:r>
          </w:p>
        </w:tc>
        <w:tc>
          <w:tcPr>
            <w:tcW w:w="1476" w:type="dxa"/>
          </w:tcPr>
          <w:p w:rsidR="006706BA" w:rsidRDefault="00EC36C5">
            <w:r>
              <w:t>Spring 2011</w:t>
            </w:r>
          </w:p>
        </w:tc>
        <w:tc>
          <w:tcPr>
            <w:tcW w:w="1476" w:type="dxa"/>
          </w:tcPr>
          <w:p w:rsidR="006706BA" w:rsidRDefault="00EC36C5">
            <w:r>
              <w:t xml:space="preserve">De </w:t>
            </w:r>
            <w:proofErr w:type="spellStart"/>
            <w:r>
              <w:t>Lill</w:t>
            </w:r>
            <w:proofErr w:type="spellEnd"/>
          </w:p>
        </w:tc>
        <w:tc>
          <w:tcPr>
            <w:tcW w:w="1476" w:type="dxa"/>
          </w:tcPr>
          <w:p w:rsidR="006706BA" w:rsidRDefault="00EC36C5">
            <w:r>
              <w:t>ACS</w:t>
            </w:r>
          </w:p>
        </w:tc>
        <w:tc>
          <w:tcPr>
            <w:tcW w:w="1476" w:type="dxa"/>
          </w:tcPr>
          <w:p w:rsidR="006706BA" w:rsidRDefault="00EC36C5">
            <w:r>
              <w:t>48/100</w:t>
            </w:r>
          </w:p>
        </w:tc>
        <w:tc>
          <w:tcPr>
            <w:tcW w:w="1476" w:type="dxa"/>
          </w:tcPr>
          <w:p w:rsidR="006706BA" w:rsidRDefault="00EC36C5">
            <w:r>
              <w:t>~40</w:t>
            </w:r>
            <w:r w:rsidRPr="00EC36C5">
              <w:rPr>
                <w:vertAlign w:val="superscript"/>
              </w:rPr>
              <w:t>th</w:t>
            </w:r>
            <w:r>
              <w:t xml:space="preserve"> (</w:t>
            </w:r>
            <w:proofErr w:type="spellStart"/>
            <w:r>
              <w:t>est</w:t>
            </w:r>
            <w:proofErr w:type="spellEnd"/>
            <w:r>
              <w:t>)</w:t>
            </w:r>
          </w:p>
        </w:tc>
      </w:tr>
      <w:tr w:rsidR="006706BA"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</w:tr>
      <w:tr w:rsidR="006706BA">
        <w:tc>
          <w:tcPr>
            <w:tcW w:w="1476" w:type="dxa"/>
          </w:tcPr>
          <w:p w:rsidR="006706BA" w:rsidRDefault="00EC36C5">
            <w:r>
              <w:t>CHM 3410</w:t>
            </w:r>
          </w:p>
        </w:tc>
        <w:tc>
          <w:tcPr>
            <w:tcW w:w="1476" w:type="dxa"/>
          </w:tcPr>
          <w:p w:rsidR="006706BA" w:rsidRDefault="00EC36C5">
            <w:r>
              <w:t>Fall, 2010</w:t>
            </w:r>
          </w:p>
        </w:tc>
        <w:tc>
          <w:tcPr>
            <w:tcW w:w="1476" w:type="dxa"/>
          </w:tcPr>
          <w:p w:rsidR="006706BA" w:rsidRDefault="00EC36C5">
            <w:proofErr w:type="spellStart"/>
            <w:r>
              <w:t>Terentis</w:t>
            </w:r>
            <w:proofErr w:type="spellEnd"/>
          </w:p>
        </w:tc>
        <w:tc>
          <w:tcPr>
            <w:tcW w:w="1476" w:type="dxa"/>
          </w:tcPr>
          <w:p w:rsidR="006706BA" w:rsidRDefault="00EC36C5">
            <w:r>
              <w:t>Hybrid</w:t>
            </w:r>
          </w:p>
        </w:tc>
        <w:tc>
          <w:tcPr>
            <w:tcW w:w="1476" w:type="dxa"/>
          </w:tcPr>
          <w:p w:rsidR="006706BA" w:rsidRDefault="00EC36C5">
            <w:r>
              <w:t>65/100</w:t>
            </w:r>
          </w:p>
        </w:tc>
        <w:tc>
          <w:tcPr>
            <w:tcW w:w="1476" w:type="dxa"/>
          </w:tcPr>
          <w:p w:rsidR="006706BA" w:rsidRDefault="00EC36C5">
            <w:r>
              <w:t>&gt;50</w:t>
            </w:r>
            <w:r w:rsidR="00BF0EF4" w:rsidRPr="00BF0EF4">
              <w:rPr>
                <w:vertAlign w:val="superscript"/>
              </w:rPr>
              <w:t>th</w:t>
            </w:r>
            <w:r w:rsidR="00BF0EF4">
              <w:t xml:space="preserve"> (est</w:t>
            </w:r>
            <w:r w:rsidR="000A4AEF">
              <w:t>.</w:t>
            </w:r>
            <w:r w:rsidR="00BF0EF4">
              <w:t>)</w:t>
            </w:r>
          </w:p>
        </w:tc>
      </w:tr>
      <w:tr w:rsidR="006706BA"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</w:tr>
      <w:tr w:rsidR="006706BA">
        <w:tc>
          <w:tcPr>
            <w:tcW w:w="1476" w:type="dxa"/>
          </w:tcPr>
          <w:p w:rsidR="006706BA" w:rsidRDefault="00BF0EF4">
            <w:r>
              <w:t>CHM 3411</w:t>
            </w:r>
          </w:p>
        </w:tc>
        <w:tc>
          <w:tcPr>
            <w:tcW w:w="1476" w:type="dxa"/>
          </w:tcPr>
          <w:p w:rsidR="006706BA" w:rsidRDefault="00BF0EF4">
            <w:r>
              <w:t>Spring 2011</w:t>
            </w:r>
          </w:p>
        </w:tc>
        <w:tc>
          <w:tcPr>
            <w:tcW w:w="1476" w:type="dxa"/>
          </w:tcPr>
          <w:p w:rsidR="006706BA" w:rsidRDefault="00BF0EF4">
            <w:proofErr w:type="spellStart"/>
            <w:r>
              <w:t>Terentis</w:t>
            </w:r>
            <w:proofErr w:type="spellEnd"/>
          </w:p>
        </w:tc>
        <w:tc>
          <w:tcPr>
            <w:tcW w:w="1476" w:type="dxa"/>
          </w:tcPr>
          <w:p w:rsidR="006706BA" w:rsidRDefault="00BF0EF4">
            <w:r>
              <w:t>Hybrid</w:t>
            </w:r>
          </w:p>
        </w:tc>
        <w:tc>
          <w:tcPr>
            <w:tcW w:w="1476" w:type="dxa"/>
          </w:tcPr>
          <w:p w:rsidR="006706BA" w:rsidRDefault="00BF0EF4">
            <w:r>
              <w:t>67/100</w:t>
            </w:r>
          </w:p>
        </w:tc>
        <w:tc>
          <w:tcPr>
            <w:tcW w:w="1476" w:type="dxa"/>
          </w:tcPr>
          <w:p w:rsidR="006706BA" w:rsidRDefault="00BF0EF4">
            <w:r>
              <w:t>&gt; 50</w:t>
            </w:r>
            <w:r w:rsidRPr="00BF0EF4">
              <w:rPr>
                <w:vertAlign w:val="superscript"/>
              </w:rPr>
              <w:t>th</w:t>
            </w:r>
            <w:r>
              <w:t xml:space="preserve"> (est</w:t>
            </w:r>
            <w:r w:rsidR="000A4AEF">
              <w:t>.</w:t>
            </w:r>
            <w:r>
              <w:t>)</w:t>
            </w:r>
          </w:p>
        </w:tc>
      </w:tr>
      <w:tr w:rsidR="006706BA"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</w:tr>
      <w:tr w:rsidR="006706BA">
        <w:tc>
          <w:tcPr>
            <w:tcW w:w="1476" w:type="dxa"/>
          </w:tcPr>
          <w:p w:rsidR="006706BA" w:rsidRDefault="00BF0EF4">
            <w:r>
              <w:t>CHM 4139</w:t>
            </w:r>
          </w:p>
        </w:tc>
        <w:tc>
          <w:tcPr>
            <w:tcW w:w="1476" w:type="dxa"/>
          </w:tcPr>
          <w:p w:rsidR="006706BA" w:rsidRDefault="00BF0EF4">
            <w:r>
              <w:t>Spring 2011</w:t>
            </w:r>
          </w:p>
        </w:tc>
        <w:tc>
          <w:tcPr>
            <w:tcW w:w="1476" w:type="dxa"/>
          </w:tcPr>
          <w:p w:rsidR="006706BA" w:rsidRDefault="00BF0EF4">
            <w:r>
              <w:t>Haky</w:t>
            </w:r>
          </w:p>
        </w:tc>
        <w:tc>
          <w:tcPr>
            <w:tcW w:w="1476" w:type="dxa"/>
          </w:tcPr>
          <w:p w:rsidR="006706BA" w:rsidRDefault="00BF0EF4">
            <w:r>
              <w:t>Hybrid</w:t>
            </w:r>
          </w:p>
        </w:tc>
        <w:tc>
          <w:tcPr>
            <w:tcW w:w="1476" w:type="dxa"/>
          </w:tcPr>
          <w:p w:rsidR="006706BA" w:rsidRDefault="00BF0EF4">
            <w:r>
              <w:t>70/100</w:t>
            </w:r>
          </w:p>
        </w:tc>
        <w:tc>
          <w:tcPr>
            <w:tcW w:w="1476" w:type="dxa"/>
          </w:tcPr>
          <w:p w:rsidR="006706BA" w:rsidRDefault="00BF0EF4">
            <w:r>
              <w:t>&gt;50</w:t>
            </w:r>
            <w:r w:rsidRPr="00BF0EF4">
              <w:rPr>
                <w:vertAlign w:val="superscript"/>
              </w:rPr>
              <w:t>th</w:t>
            </w:r>
            <w:r>
              <w:t xml:space="preserve"> (est</w:t>
            </w:r>
            <w:r w:rsidR="000A4AEF">
              <w:t>.</w:t>
            </w:r>
            <w:r>
              <w:t>)</w:t>
            </w:r>
          </w:p>
        </w:tc>
      </w:tr>
      <w:tr w:rsidR="006706BA"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</w:tr>
      <w:tr w:rsidR="006706BA"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  <w:tc>
          <w:tcPr>
            <w:tcW w:w="1476" w:type="dxa"/>
          </w:tcPr>
          <w:p w:rsidR="006706BA" w:rsidRDefault="006706BA"/>
        </w:tc>
      </w:tr>
    </w:tbl>
    <w:p w:rsidR="00BF0EF4" w:rsidRDefault="00BF0EF4"/>
    <w:p w:rsidR="00394708" w:rsidRDefault="00394708"/>
    <w:sectPr w:rsidR="00394708" w:rsidSect="0039470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94708"/>
    <w:rsid w:val="000A4AEF"/>
    <w:rsid w:val="00394708"/>
    <w:rsid w:val="006706BA"/>
    <w:rsid w:val="00BF0EF4"/>
    <w:rsid w:val="00EC36C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4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947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0</Characters>
  <Application>Microsoft Macintosh Word</Application>
  <DocSecurity>0</DocSecurity>
  <Lines>1</Lines>
  <Paragraphs>1</Paragraphs>
  <ScaleCrop>false</ScaleCrop>
  <Company>research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Jerome Haky</cp:lastModifiedBy>
  <cp:revision>1</cp:revision>
  <dcterms:created xsi:type="dcterms:W3CDTF">2011-09-05T23:20:00Z</dcterms:created>
  <dcterms:modified xsi:type="dcterms:W3CDTF">2011-09-06T00:13:00Z</dcterms:modified>
</cp:coreProperties>
</file>