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586" w:type="dxa"/>
        <w:tblInd w:w="76" w:type="dxa"/>
        <w:tblLayout w:type="fixed"/>
        <w:tblCellMar>
          <w:left w:w="10" w:type="dxa"/>
          <w:right w:w="10" w:type="dxa"/>
        </w:tblCellMar>
        <w:tblLook w:val="0000" w:firstRow="0" w:lastRow="0" w:firstColumn="0" w:lastColumn="0" w:noHBand="0" w:noVBand="0"/>
      </w:tblPr>
      <w:tblGrid>
        <w:gridCol w:w="16704"/>
        <w:gridCol w:w="1882"/>
      </w:tblGrid>
      <w:tr w:rsidR="000477C5" w:rsidTr="00A33ADF">
        <w:trPr>
          <w:trHeight w:val="311"/>
        </w:trPr>
        <w:tc>
          <w:tcPr>
            <w:tcW w:w="16704" w:type="dxa"/>
            <w:tcMar>
              <w:top w:w="0" w:type="dxa"/>
              <w:left w:w="0" w:type="dxa"/>
              <w:bottom w:w="0" w:type="dxa"/>
              <w:right w:w="0" w:type="dxa"/>
            </w:tcMar>
          </w:tcPr>
          <w:p w:rsidR="000477C5" w:rsidRDefault="000477C5" w:rsidP="00A33ADF">
            <w:pPr>
              <w:pStyle w:val="Standard"/>
              <w:snapToGrid w:val="0"/>
              <w:jc w:val="center"/>
              <w:rPr>
                <w:rFonts w:ascii="Garamond" w:hAnsi="Garamond"/>
                <w:sz w:val="40"/>
                <w:szCs w:val="40"/>
              </w:rPr>
            </w:pPr>
            <w:r>
              <w:rPr>
                <w:rFonts w:ascii="Garamond" w:hAnsi="Garamond"/>
                <w:b/>
                <w:smallCaps/>
                <w:color w:val="000000"/>
                <w:sz w:val="40"/>
                <w:szCs w:val="40"/>
                <w:lang w:val="en-US"/>
              </w:rPr>
              <w:t xml:space="preserve">Written Communication </w:t>
            </w:r>
            <w:r>
              <w:rPr>
                <w:rFonts w:ascii="Garamond" w:hAnsi="Garamond"/>
                <w:b/>
                <w:smallCaps/>
                <w:color w:val="000000"/>
                <w:sz w:val="40"/>
                <w:szCs w:val="40"/>
              </w:rPr>
              <w:t>VALUE Rubric</w:t>
            </w:r>
          </w:p>
          <w:p w:rsidR="000477C5" w:rsidRDefault="000477C5" w:rsidP="00A33ADF">
            <w:pPr>
              <w:pStyle w:val="Standard"/>
              <w:snapToGrid w:val="0"/>
              <w:jc w:val="center"/>
              <w:rPr>
                <w:rFonts w:ascii="Garamond" w:hAnsi="Garamond"/>
                <w:sz w:val="22"/>
                <w:szCs w:val="22"/>
              </w:rPr>
            </w:pPr>
            <w:r>
              <w:rPr>
                <w:rFonts w:ascii="Garamond" w:eastAsia="Helvetica" w:hAnsi="Garamond" w:cs="Helvetica"/>
                <w:i/>
                <w:sz w:val="22"/>
                <w:szCs w:val="22"/>
                <w:lang w:val="en-US"/>
              </w:rPr>
              <w:t>f</w:t>
            </w:r>
            <w:r>
              <w:rPr>
                <w:rFonts w:ascii="Garamond" w:eastAsia="Helvetica" w:hAnsi="Garamond" w:cs="Helvetica"/>
                <w:i/>
                <w:sz w:val="22"/>
                <w:szCs w:val="22"/>
              </w:rPr>
              <w:t>or more information</w:t>
            </w:r>
            <w:r>
              <w:rPr>
                <w:rFonts w:ascii="Garamond" w:eastAsia="Helvetica" w:hAnsi="Garamond" w:cs="Helvetica"/>
                <w:i/>
                <w:sz w:val="22"/>
                <w:szCs w:val="22"/>
                <w:lang w:val="en-US"/>
              </w:rPr>
              <w:t xml:space="preserve">, </w:t>
            </w:r>
            <w:r>
              <w:rPr>
                <w:rFonts w:ascii="Garamond" w:eastAsia="Helvetica" w:hAnsi="Garamond" w:cs="Helvetica"/>
                <w:i/>
                <w:sz w:val="22"/>
                <w:szCs w:val="22"/>
              </w:rPr>
              <w:t xml:space="preserve">please </w:t>
            </w:r>
            <w:r>
              <w:rPr>
                <w:rFonts w:ascii="Garamond" w:eastAsia="Helvetica" w:hAnsi="Garamond" w:cs="Helvetica"/>
                <w:i/>
                <w:sz w:val="22"/>
                <w:szCs w:val="22"/>
                <w:lang w:val="en-US"/>
              </w:rPr>
              <w:t>contact value</w:t>
            </w:r>
            <w:r>
              <w:rPr>
                <w:rFonts w:ascii="Garamond" w:eastAsia="Helvetica" w:hAnsi="Garamond" w:cs="Helvetica"/>
                <w:i/>
                <w:sz w:val="22"/>
                <w:szCs w:val="22"/>
              </w:rPr>
              <w:t>@</w:t>
            </w:r>
            <w:r>
              <w:rPr>
                <w:rFonts w:ascii="Garamond" w:eastAsia="Helvetica" w:hAnsi="Garamond" w:cs="Helvetica"/>
                <w:i/>
                <w:sz w:val="22"/>
                <w:szCs w:val="22"/>
                <w:lang w:val="en-US"/>
              </w:rPr>
              <w:t>aacu.org</w:t>
            </w:r>
          </w:p>
        </w:tc>
        <w:tc>
          <w:tcPr>
            <w:tcW w:w="1882" w:type="dxa"/>
            <w:tcMar>
              <w:top w:w="0" w:type="dxa"/>
              <w:left w:w="0" w:type="dxa"/>
              <w:bottom w:w="0" w:type="dxa"/>
              <w:right w:w="0" w:type="dxa"/>
            </w:tcMar>
          </w:tcPr>
          <w:p w:rsidR="000477C5" w:rsidRDefault="000477C5" w:rsidP="00A33AD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jc w:val="center"/>
              <w:rPr>
                <w:rFonts w:ascii="Garamond" w:hAnsi="Garamond"/>
                <w:sz w:val="22"/>
                <w:szCs w:val="22"/>
              </w:rPr>
            </w:pPr>
            <w:r>
              <w:rPr>
                <w:rFonts w:ascii="Garamond" w:hAnsi="Garamond"/>
                <w:noProof/>
                <w:sz w:val="22"/>
                <w:szCs w:val="22"/>
                <w:lang w:val="en-US"/>
              </w:rPr>
              <w:drawing>
                <wp:inline distT="0" distB="0" distL="0" distR="0">
                  <wp:extent cx="11430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600075"/>
                          </a:xfrm>
                          <a:prstGeom prst="rect">
                            <a:avLst/>
                          </a:prstGeom>
                          <a:solidFill>
                            <a:srgbClr val="FFFFFF"/>
                          </a:solidFill>
                          <a:ln>
                            <a:noFill/>
                          </a:ln>
                        </pic:spPr>
                      </pic:pic>
                    </a:graphicData>
                  </a:graphic>
                </wp:inline>
              </w:drawing>
            </w:r>
          </w:p>
        </w:tc>
      </w:tr>
    </w:tbl>
    <w:p w:rsidR="000477C5" w:rsidRDefault="000477C5" w:rsidP="000477C5">
      <w:pPr>
        <w:pStyle w:val="Standard"/>
        <w:jc w:val="center"/>
        <w:rPr>
          <w:rFonts w:ascii="Garamond" w:hAnsi="Garamond"/>
          <w:i/>
          <w:iCs/>
          <w:sz w:val="22"/>
          <w:szCs w:val="22"/>
        </w:rPr>
      </w:pPr>
    </w:p>
    <w:p w:rsidR="000477C5" w:rsidRDefault="000477C5" w:rsidP="000477C5">
      <w:pPr>
        <w:pStyle w:val="Standard"/>
        <w:jc w:val="center"/>
        <w:rPr>
          <w:rFonts w:ascii="Garamond" w:hAnsi="Garamond"/>
          <w:b/>
          <w:bCs/>
          <w:sz w:val="22"/>
          <w:szCs w:val="22"/>
        </w:rPr>
      </w:pPr>
      <w:r>
        <w:rPr>
          <w:rFonts w:ascii="Garamond" w:hAnsi="Garamond"/>
          <w:b/>
          <w:bCs/>
          <w:sz w:val="22"/>
          <w:szCs w:val="22"/>
        </w:rPr>
        <w:t>Definition</w:t>
      </w:r>
    </w:p>
    <w:p w:rsidR="000477C5" w:rsidRDefault="000477C5" w:rsidP="000477C5">
      <w:pPr>
        <w:pStyle w:val="Standard"/>
        <w:rPr>
          <w:rFonts w:ascii="Garamond" w:hAnsi="Garamond"/>
          <w:sz w:val="22"/>
          <w:szCs w:val="22"/>
        </w:rPr>
      </w:pPr>
      <w:r>
        <w:rPr>
          <w:rFonts w:ascii="Garamond" w:hAnsi="Garamond"/>
          <w:sz w:val="22"/>
          <w:szCs w:val="22"/>
        </w:rPr>
        <w:tab/>
        <w:t>Written communication is the development and expression of ideas in writing. Written communication involves learning to work in many genres and styles. It can involve working with many different writing technologies, and mixing texts, data, and images. Written communication abilities develop through iterative experiences across the curriculum.</w:t>
      </w:r>
    </w:p>
    <w:p w:rsidR="000477C5" w:rsidRDefault="000477C5" w:rsidP="000477C5">
      <w:pPr>
        <w:pStyle w:val="Standard"/>
        <w:rPr>
          <w:rFonts w:ascii="Garamond" w:hAnsi="Garamond"/>
          <w:sz w:val="22"/>
          <w:szCs w:val="22"/>
        </w:rPr>
      </w:pPr>
      <w:bookmarkStart w:id="0" w:name="_GoBack"/>
      <w:bookmarkEnd w:id="0"/>
    </w:p>
    <w:p w:rsidR="000477C5" w:rsidRDefault="000477C5" w:rsidP="000477C5">
      <w:pPr>
        <w:pStyle w:val="Standard"/>
        <w:jc w:val="center"/>
        <w:rPr>
          <w:rFonts w:ascii="Garamond" w:hAnsi="Garamond"/>
          <w:i/>
          <w:iCs/>
          <w:sz w:val="22"/>
          <w:szCs w:val="22"/>
        </w:rPr>
      </w:pPr>
      <w:r>
        <w:rPr>
          <w:rFonts w:ascii="Garamond" w:hAnsi="Garamond"/>
          <w:i/>
          <w:iCs/>
          <w:sz w:val="22"/>
          <w:szCs w:val="22"/>
        </w:rPr>
        <w:t>Evaluators are encouraged to assign a zero to any work sample or collection of work that does not meet benchmark (cell one) level performance.</w:t>
      </w:r>
    </w:p>
    <w:p w:rsidR="000477C5" w:rsidRDefault="000477C5" w:rsidP="000477C5">
      <w:pPr>
        <w:pStyle w:val="Standard"/>
        <w:jc w:val="center"/>
        <w:rPr>
          <w:rFonts w:ascii="Garamond" w:hAnsi="Garamond"/>
          <w:sz w:val="22"/>
          <w:szCs w:val="22"/>
        </w:rPr>
      </w:pPr>
    </w:p>
    <w:tbl>
      <w:tblPr>
        <w:tblW w:w="18723" w:type="dxa"/>
        <w:tblInd w:w="45" w:type="dxa"/>
        <w:tblLayout w:type="fixed"/>
        <w:tblCellMar>
          <w:left w:w="10" w:type="dxa"/>
          <w:right w:w="10" w:type="dxa"/>
        </w:tblCellMar>
        <w:tblLook w:val="0000" w:firstRow="0" w:lastRow="0" w:firstColumn="0" w:lastColumn="0" w:noHBand="0" w:noVBand="0"/>
      </w:tblPr>
      <w:tblGrid>
        <w:gridCol w:w="3743"/>
        <w:gridCol w:w="3745"/>
        <w:gridCol w:w="3744"/>
        <w:gridCol w:w="3745"/>
        <w:gridCol w:w="3746"/>
      </w:tblGrid>
      <w:tr w:rsidR="00212CC1" w:rsidTr="00212CC1">
        <w:tc>
          <w:tcPr>
            <w:tcW w:w="3743" w:type="dxa"/>
            <w:tcBorders>
              <w:top w:val="single" w:sz="2" w:space="0" w:color="000000"/>
              <w:left w:val="single" w:sz="2" w:space="0" w:color="000000"/>
              <w:bottom w:val="single" w:sz="2" w:space="0" w:color="000000"/>
            </w:tcBorders>
            <w:tcMar>
              <w:top w:w="55" w:type="dxa"/>
              <w:left w:w="55" w:type="dxa"/>
              <w:bottom w:w="55" w:type="dxa"/>
              <w:right w:w="55" w:type="dxa"/>
            </w:tcMar>
          </w:tcPr>
          <w:p w:rsidR="00212CC1" w:rsidRDefault="00212CC1" w:rsidP="00A33ADF">
            <w:pPr>
              <w:pStyle w:val="Standard"/>
              <w:jc w:val="center"/>
              <w:rPr>
                <w:b/>
                <w:bCs/>
                <w:sz w:val="22"/>
                <w:szCs w:val="22"/>
              </w:rPr>
            </w:pPr>
          </w:p>
        </w:tc>
        <w:tc>
          <w:tcPr>
            <w:tcW w:w="3745" w:type="dxa"/>
            <w:tcBorders>
              <w:top w:val="single" w:sz="2" w:space="0" w:color="000000"/>
              <w:left w:val="single" w:sz="2" w:space="0" w:color="000000"/>
              <w:bottom w:val="single" w:sz="2" w:space="0" w:color="000000"/>
            </w:tcBorders>
            <w:tcMar>
              <w:top w:w="55" w:type="dxa"/>
              <w:left w:w="55" w:type="dxa"/>
              <w:bottom w:w="55" w:type="dxa"/>
              <w:right w:w="55" w:type="dxa"/>
            </w:tcMar>
          </w:tcPr>
          <w:p w:rsidR="00212CC1" w:rsidRPr="00212CC1" w:rsidRDefault="00212CC1" w:rsidP="00A33ADF">
            <w:pPr>
              <w:pStyle w:val="Standard"/>
              <w:jc w:val="center"/>
              <w:rPr>
                <w:b/>
                <w:bCs/>
                <w:sz w:val="22"/>
                <w:szCs w:val="22"/>
                <w:lang w:val="en-US"/>
              </w:rPr>
            </w:pPr>
            <w:r>
              <w:rPr>
                <w:b/>
                <w:bCs/>
                <w:sz w:val="22"/>
                <w:szCs w:val="22"/>
                <w:lang w:val="en-US"/>
              </w:rPr>
              <w:t>Excellent</w:t>
            </w:r>
          </w:p>
          <w:p w:rsidR="00212CC1" w:rsidRDefault="00212CC1" w:rsidP="00A33ADF">
            <w:pPr>
              <w:pStyle w:val="Standard"/>
              <w:jc w:val="center"/>
              <w:rPr>
                <w:sz w:val="22"/>
                <w:szCs w:val="22"/>
              </w:rPr>
            </w:pPr>
            <w:r>
              <w:rPr>
                <w:sz w:val="22"/>
                <w:szCs w:val="22"/>
              </w:rPr>
              <w:t>4</w:t>
            </w:r>
          </w:p>
        </w:tc>
        <w:tc>
          <w:tcPr>
            <w:tcW w:w="3744" w:type="dxa"/>
            <w:tcBorders>
              <w:top w:val="single" w:sz="2" w:space="0" w:color="000000"/>
              <w:left w:val="single" w:sz="2" w:space="0" w:color="000000"/>
              <w:bottom w:val="single" w:sz="2" w:space="0" w:color="000000"/>
            </w:tcBorders>
            <w:tcMar>
              <w:top w:w="55" w:type="dxa"/>
              <w:left w:w="55" w:type="dxa"/>
              <w:bottom w:w="55" w:type="dxa"/>
              <w:right w:w="55" w:type="dxa"/>
            </w:tcMar>
          </w:tcPr>
          <w:p w:rsidR="00212CC1" w:rsidRDefault="00212CC1" w:rsidP="00A33ADF">
            <w:pPr>
              <w:pStyle w:val="Standard"/>
              <w:jc w:val="center"/>
              <w:rPr>
                <w:b/>
                <w:bCs/>
                <w:sz w:val="22"/>
                <w:szCs w:val="22"/>
                <w:lang w:val="en-US"/>
              </w:rPr>
            </w:pPr>
            <w:r>
              <w:rPr>
                <w:b/>
                <w:bCs/>
                <w:sz w:val="22"/>
                <w:szCs w:val="22"/>
                <w:lang w:val="en-US"/>
              </w:rPr>
              <w:t>Above Satisfactory</w:t>
            </w:r>
          </w:p>
          <w:p w:rsidR="00212CC1" w:rsidRPr="00212CC1" w:rsidRDefault="00212CC1" w:rsidP="00A33ADF">
            <w:pPr>
              <w:pStyle w:val="Standard"/>
              <w:jc w:val="center"/>
              <w:rPr>
                <w:bCs/>
                <w:sz w:val="22"/>
                <w:szCs w:val="22"/>
                <w:lang w:val="en-US"/>
              </w:rPr>
            </w:pPr>
            <w:r w:rsidRPr="00212CC1">
              <w:rPr>
                <w:bCs/>
                <w:sz w:val="22"/>
                <w:szCs w:val="22"/>
                <w:lang w:val="en-US"/>
              </w:rPr>
              <w:t>3</w:t>
            </w:r>
          </w:p>
        </w:tc>
        <w:tc>
          <w:tcPr>
            <w:tcW w:w="3745" w:type="dxa"/>
            <w:tcBorders>
              <w:top w:val="single" w:sz="2" w:space="0" w:color="000000"/>
              <w:left w:val="single" w:sz="2" w:space="0" w:color="000000"/>
              <w:bottom w:val="single" w:sz="2" w:space="0" w:color="000000"/>
            </w:tcBorders>
          </w:tcPr>
          <w:p w:rsidR="00212CC1" w:rsidRPr="00212CC1" w:rsidRDefault="00212CC1" w:rsidP="00A33ADF">
            <w:pPr>
              <w:pStyle w:val="Standard"/>
              <w:jc w:val="center"/>
              <w:rPr>
                <w:b/>
                <w:sz w:val="22"/>
                <w:szCs w:val="22"/>
                <w:lang w:val="en-US"/>
              </w:rPr>
            </w:pPr>
            <w:r w:rsidRPr="00212CC1">
              <w:rPr>
                <w:b/>
                <w:sz w:val="22"/>
                <w:szCs w:val="22"/>
                <w:lang w:val="en-US"/>
              </w:rPr>
              <w:t>Satisfactory</w:t>
            </w:r>
          </w:p>
          <w:p w:rsidR="00212CC1" w:rsidRPr="00212CC1" w:rsidRDefault="00212CC1" w:rsidP="00A33ADF">
            <w:pPr>
              <w:pStyle w:val="Standard"/>
              <w:jc w:val="center"/>
              <w:rPr>
                <w:sz w:val="22"/>
                <w:szCs w:val="22"/>
                <w:lang w:val="en-US"/>
              </w:rPr>
            </w:pPr>
            <w:r>
              <w:rPr>
                <w:sz w:val="22"/>
                <w:szCs w:val="22"/>
                <w:lang w:val="en-US"/>
              </w:rPr>
              <w:t>2</w:t>
            </w:r>
          </w:p>
        </w:tc>
        <w:tc>
          <w:tcPr>
            <w:tcW w:w="374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12CC1" w:rsidRDefault="00212CC1" w:rsidP="00A33ADF">
            <w:pPr>
              <w:pStyle w:val="Standard"/>
              <w:jc w:val="center"/>
              <w:rPr>
                <w:b/>
                <w:bCs/>
                <w:sz w:val="22"/>
                <w:szCs w:val="22"/>
                <w:lang w:val="en-US"/>
              </w:rPr>
            </w:pPr>
            <w:r>
              <w:rPr>
                <w:b/>
                <w:bCs/>
                <w:sz w:val="22"/>
                <w:szCs w:val="22"/>
                <w:lang w:val="en-US"/>
              </w:rPr>
              <w:t>Needs Work</w:t>
            </w:r>
          </w:p>
          <w:p w:rsidR="00212CC1" w:rsidRPr="00212CC1" w:rsidRDefault="00212CC1" w:rsidP="00A33ADF">
            <w:pPr>
              <w:pStyle w:val="Standard"/>
              <w:jc w:val="center"/>
              <w:rPr>
                <w:sz w:val="22"/>
                <w:szCs w:val="22"/>
                <w:lang w:val="en-US"/>
              </w:rPr>
            </w:pPr>
            <w:r w:rsidRPr="00212CC1">
              <w:rPr>
                <w:bCs/>
                <w:sz w:val="22"/>
                <w:szCs w:val="22"/>
                <w:lang w:val="en-US"/>
              </w:rPr>
              <w:t>1</w:t>
            </w:r>
          </w:p>
        </w:tc>
      </w:tr>
      <w:tr w:rsidR="000477C5" w:rsidTr="00212CC1">
        <w:tc>
          <w:tcPr>
            <w:tcW w:w="3743"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b/>
                <w:bCs/>
                <w:sz w:val="22"/>
                <w:szCs w:val="22"/>
              </w:rPr>
            </w:pPr>
            <w:r>
              <w:rPr>
                <w:b/>
                <w:bCs/>
                <w:sz w:val="22"/>
                <w:szCs w:val="22"/>
              </w:rPr>
              <w:t xml:space="preserve">Context of and </w:t>
            </w:r>
            <w:r>
              <w:rPr>
                <w:b/>
                <w:bCs/>
                <w:sz w:val="22"/>
                <w:szCs w:val="22"/>
                <w:lang w:val="en-US"/>
              </w:rPr>
              <w:t>P</w:t>
            </w:r>
            <w:r>
              <w:rPr>
                <w:b/>
                <w:bCs/>
                <w:sz w:val="22"/>
                <w:szCs w:val="22"/>
              </w:rPr>
              <w:t xml:space="preserve">urpose for </w:t>
            </w:r>
            <w:r>
              <w:rPr>
                <w:b/>
                <w:bCs/>
                <w:sz w:val="22"/>
                <w:szCs w:val="22"/>
                <w:lang w:val="en-US"/>
              </w:rPr>
              <w:t>W</w:t>
            </w:r>
            <w:r>
              <w:rPr>
                <w:b/>
                <w:bCs/>
                <w:sz w:val="22"/>
                <w:szCs w:val="22"/>
              </w:rPr>
              <w:t>riting</w:t>
            </w:r>
          </w:p>
          <w:p w:rsidR="000477C5" w:rsidRDefault="000477C5" w:rsidP="00A33ADF">
            <w:pPr>
              <w:pStyle w:val="Standard"/>
              <w:rPr>
                <w:i/>
                <w:iCs/>
                <w:sz w:val="22"/>
                <w:szCs w:val="22"/>
              </w:rPr>
            </w:pPr>
            <w:r>
              <w:rPr>
                <w:i/>
                <w:iCs/>
                <w:sz w:val="22"/>
                <w:szCs w:val="22"/>
              </w:rPr>
              <w:t>Includes considerations of audience, purpose, and the circumstances surrounding the writing task(s).</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a thorough understanding of context, audience, and purpose that is responsive to the assigned task(s) and focuses all elements of the work.</w:t>
            </w:r>
          </w:p>
        </w:tc>
        <w:tc>
          <w:tcPr>
            <w:tcW w:w="3744"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adequate consideration of context, audience, and purpose and a clear focus on the assigned task(s) (e.g., the task aligns with audience, purpose, and context).</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awareness of context, audience, purpose, and to the assigned tasks(s) (e.g., begins to show awareness of audience's perceptions and assumptions).</w:t>
            </w:r>
          </w:p>
        </w:tc>
        <w:tc>
          <w:tcPr>
            <w:tcW w:w="3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minimal attention to context, audience, purpose, and to the assigned tasks(s) (e.g., expectation of instructor or self as audience).</w:t>
            </w:r>
          </w:p>
        </w:tc>
      </w:tr>
      <w:tr w:rsidR="000477C5" w:rsidTr="00212CC1">
        <w:tc>
          <w:tcPr>
            <w:tcW w:w="3743"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b/>
                <w:bCs/>
                <w:sz w:val="22"/>
                <w:szCs w:val="22"/>
              </w:rPr>
            </w:pPr>
            <w:r>
              <w:rPr>
                <w:b/>
                <w:bCs/>
                <w:sz w:val="22"/>
                <w:szCs w:val="22"/>
              </w:rPr>
              <w:t>Content Development</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appropriate, relevant, and compelling content to illustrate mastery of the subject, conveying the writer's understanding, and shaping the whole work.</w:t>
            </w:r>
          </w:p>
        </w:tc>
        <w:tc>
          <w:tcPr>
            <w:tcW w:w="3744" w:type="dxa"/>
            <w:tcBorders>
              <w:left w:val="single" w:sz="2" w:space="0" w:color="000000"/>
              <w:bottom w:val="single" w:sz="2" w:space="0" w:color="000000"/>
            </w:tcBorders>
            <w:tcMar>
              <w:top w:w="55" w:type="dxa"/>
              <w:left w:w="55" w:type="dxa"/>
              <w:bottom w:w="55" w:type="dxa"/>
              <w:right w:w="55" w:type="dxa"/>
            </w:tcMar>
          </w:tcPr>
          <w:p w:rsidR="000477C5" w:rsidRPr="00C36CE5" w:rsidRDefault="000477C5" w:rsidP="00A33ADF">
            <w:pPr>
              <w:pStyle w:val="Standard"/>
              <w:rPr>
                <w:sz w:val="22"/>
                <w:szCs w:val="22"/>
                <w:lang w:val="en-US"/>
              </w:rPr>
            </w:pPr>
            <w:r>
              <w:rPr>
                <w:sz w:val="22"/>
                <w:szCs w:val="22"/>
              </w:rPr>
              <w:t>Uses appropriate, relevant, and compelling content to explore ideas within the context of the discipline and shape the whole work</w:t>
            </w:r>
            <w:r>
              <w:rPr>
                <w:sz w:val="22"/>
                <w:szCs w:val="22"/>
                <w:lang w:val="en-US"/>
              </w:rPr>
              <w:t>.</w:t>
            </w:r>
          </w:p>
          <w:p w:rsidR="000477C5" w:rsidRDefault="000477C5" w:rsidP="00A33ADF">
            <w:pPr>
              <w:pStyle w:val="Standard"/>
              <w:rPr>
                <w:sz w:val="22"/>
                <w:szCs w:val="22"/>
              </w:rPr>
            </w:pP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appropriate and relevant content to develop and explore ideas through most of the work.</w:t>
            </w:r>
          </w:p>
        </w:tc>
        <w:tc>
          <w:tcPr>
            <w:tcW w:w="3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appropriate and relevant content to develop simple ideas in some parts of the work.</w:t>
            </w:r>
          </w:p>
        </w:tc>
      </w:tr>
      <w:tr w:rsidR="000477C5" w:rsidTr="00212CC1">
        <w:tc>
          <w:tcPr>
            <w:tcW w:w="3743"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b/>
                <w:bCs/>
                <w:sz w:val="22"/>
                <w:szCs w:val="22"/>
              </w:rPr>
            </w:pPr>
            <w:r>
              <w:rPr>
                <w:b/>
                <w:bCs/>
                <w:sz w:val="22"/>
                <w:szCs w:val="22"/>
              </w:rPr>
              <w:t xml:space="preserve">Genre and </w:t>
            </w:r>
            <w:r>
              <w:rPr>
                <w:b/>
                <w:bCs/>
                <w:sz w:val="22"/>
                <w:szCs w:val="22"/>
                <w:lang w:val="en-US"/>
              </w:rPr>
              <w:t>D</w:t>
            </w:r>
            <w:r>
              <w:rPr>
                <w:b/>
                <w:bCs/>
                <w:sz w:val="22"/>
                <w:szCs w:val="22"/>
              </w:rPr>
              <w:t xml:space="preserve">isciplinary </w:t>
            </w:r>
            <w:r>
              <w:rPr>
                <w:b/>
                <w:bCs/>
                <w:sz w:val="22"/>
                <w:szCs w:val="22"/>
                <w:lang w:val="en-US"/>
              </w:rPr>
              <w:t>C</w:t>
            </w:r>
            <w:r>
              <w:rPr>
                <w:b/>
                <w:bCs/>
                <w:sz w:val="22"/>
                <w:szCs w:val="22"/>
              </w:rPr>
              <w:t>onventions</w:t>
            </w:r>
          </w:p>
          <w:p w:rsidR="000477C5" w:rsidRDefault="000477C5" w:rsidP="00A33ADF">
            <w:pPr>
              <w:pStyle w:val="Standard"/>
              <w:rPr>
                <w:i/>
                <w:iCs/>
                <w:sz w:val="22"/>
                <w:szCs w:val="22"/>
              </w:rPr>
            </w:pPr>
            <w:r>
              <w:rPr>
                <w:i/>
                <w:iCs/>
                <w:sz w:val="22"/>
                <w:szCs w:val="22"/>
              </w:rPr>
              <w:t>Formal and informal rules inherent in the expectations for writing in particular forms and/or academic fields (please see glossary).</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detailed attention to and successful execution of a wide range of conventions particular to a specific discipline and/or writing task (s) including  organization, content, presentation, formatting, and stylistic choices</w:t>
            </w:r>
          </w:p>
        </w:tc>
        <w:tc>
          <w:tcPr>
            <w:tcW w:w="3744"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consistent use of important conventions particular to a specific discipline and/or writing task(s), including organization, content, presentation, and stylistic choices</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Follows expectations appropriate to a specific discipline and/or writing task(s) for basic organization, content, and presentation</w:t>
            </w:r>
          </w:p>
        </w:tc>
        <w:tc>
          <w:tcPr>
            <w:tcW w:w="3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0477C5" w:rsidRPr="00C36CE5" w:rsidRDefault="000477C5" w:rsidP="00A33ADF">
            <w:pPr>
              <w:pStyle w:val="Standard"/>
              <w:rPr>
                <w:sz w:val="22"/>
                <w:szCs w:val="22"/>
                <w:lang w:val="en-US"/>
              </w:rPr>
            </w:pPr>
            <w:r>
              <w:rPr>
                <w:sz w:val="22"/>
                <w:szCs w:val="22"/>
              </w:rPr>
              <w:t>Attempts to use a consistent system for basic organization and presentation</w:t>
            </w:r>
            <w:r>
              <w:rPr>
                <w:sz w:val="22"/>
                <w:szCs w:val="22"/>
                <w:lang w:val="en-US"/>
              </w:rPr>
              <w:t>.</w:t>
            </w:r>
          </w:p>
        </w:tc>
      </w:tr>
      <w:tr w:rsidR="000477C5" w:rsidTr="00212CC1">
        <w:tc>
          <w:tcPr>
            <w:tcW w:w="3743"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b/>
                <w:bCs/>
                <w:sz w:val="22"/>
                <w:szCs w:val="22"/>
              </w:rPr>
            </w:pPr>
            <w:r>
              <w:rPr>
                <w:b/>
                <w:bCs/>
                <w:sz w:val="22"/>
                <w:szCs w:val="22"/>
              </w:rPr>
              <w:t xml:space="preserve">Sources and </w:t>
            </w:r>
            <w:r>
              <w:rPr>
                <w:b/>
                <w:bCs/>
                <w:sz w:val="22"/>
                <w:szCs w:val="22"/>
                <w:lang w:val="en-US"/>
              </w:rPr>
              <w:t>E</w:t>
            </w:r>
            <w:r>
              <w:rPr>
                <w:b/>
                <w:bCs/>
                <w:sz w:val="22"/>
                <w:szCs w:val="22"/>
              </w:rPr>
              <w:t>vidence</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skillful use of high</w:t>
            </w:r>
            <w:r>
              <w:rPr>
                <w:sz w:val="22"/>
                <w:szCs w:val="22"/>
                <w:lang w:val="en-US"/>
              </w:rPr>
              <w:t>-</w:t>
            </w:r>
            <w:r>
              <w:rPr>
                <w:sz w:val="22"/>
                <w:szCs w:val="22"/>
              </w:rPr>
              <w:t>quality, credible, relevant sources to develop ideas that are appropriate for the discipline and genre of the writing</w:t>
            </w:r>
          </w:p>
        </w:tc>
        <w:tc>
          <w:tcPr>
            <w:tcW w:w="3744"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consistent use of credible, relevant sources to support ideas that are situated within the discipline and genre of the writing.</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an attempt to use credible and/or relevant sources to support ideas that are appropriate for the discipline and genre of the writing.</w:t>
            </w:r>
          </w:p>
        </w:tc>
        <w:tc>
          <w:tcPr>
            <w:tcW w:w="3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Demonstrates an attempt to use sources to support ideas in the writing.</w:t>
            </w:r>
          </w:p>
        </w:tc>
      </w:tr>
      <w:tr w:rsidR="000477C5" w:rsidTr="00212CC1">
        <w:tc>
          <w:tcPr>
            <w:tcW w:w="3743"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b/>
                <w:bCs/>
                <w:sz w:val="22"/>
                <w:szCs w:val="22"/>
              </w:rPr>
            </w:pPr>
            <w:r>
              <w:rPr>
                <w:b/>
                <w:bCs/>
                <w:sz w:val="22"/>
                <w:szCs w:val="22"/>
              </w:rPr>
              <w:t xml:space="preserve">Control of Syntax and </w:t>
            </w:r>
            <w:r>
              <w:rPr>
                <w:b/>
                <w:bCs/>
                <w:sz w:val="22"/>
                <w:szCs w:val="22"/>
                <w:lang w:val="en-US"/>
              </w:rPr>
              <w:t>M</w:t>
            </w:r>
            <w:r>
              <w:rPr>
                <w:b/>
                <w:bCs/>
                <w:sz w:val="22"/>
                <w:szCs w:val="22"/>
              </w:rPr>
              <w:t>echanics</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graceful language that skillfully communicates meaning to readers with clarity and fluency, and is virtually error-free.</w:t>
            </w:r>
          </w:p>
        </w:tc>
        <w:tc>
          <w:tcPr>
            <w:tcW w:w="3744"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straightforward language that generally conveys meaning to readers. The language in the portfolio has few errors.</w:t>
            </w:r>
          </w:p>
        </w:tc>
        <w:tc>
          <w:tcPr>
            <w:tcW w:w="3745" w:type="dxa"/>
            <w:tcBorders>
              <w:left w:val="single" w:sz="2" w:space="0" w:color="000000"/>
              <w:bottom w:val="single" w:sz="2" w:space="0" w:color="000000"/>
            </w:tcBorders>
            <w:tcMar>
              <w:top w:w="55" w:type="dxa"/>
              <w:left w:w="55" w:type="dxa"/>
              <w:bottom w:w="55" w:type="dxa"/>
              <w:right w:w="55" w:type="dxa"/>
            </w:tcMar>
          </w:tcPr>
          <w:p w:rsidR="000477C5" w:rsidRDefault="000477C5" w:rsidP="00A33ADF">
            <w:pPr>
              <w:pStyle w:val="Standard"/>
              <w:rPr>
                <w:sz w:val="22"/>
                <w:szCs w:val="22"/>
              </w:rPr>
            </w:pPr>
            <w:r>
              <w:rPr>
                <w:sz w:val="22"/>
                <w:szCs w:val="22"/>
              </w:rPr>
              <w:t>Uses language that generally conveys meaning to readers with clarity, although writing may include some errors.</w:t>
            </w:r>
          </w:p>
        </w:tc>
        <w:tc>
          <w:tcPr>
            <w:tcW w:w="3746" w:type="dxa"/>
            <w:tcBorders>
              <w:left w:val="single" w:sz="2" w:space="0" w:color="000000"/>
              <w:bottom w:val="single" w:sz="2" w:space="0" w:color="000000"/>
              <w:right w:val="single" w:sz="2" w:space="0" w:color="000000"/>
            </w:tcBorders>
            <w:tcMar>
              <w:top w:w="55" w:type="dxa"/>
              <w:left w:w="55" w:type="dxa"/>
              <w:bottom w:w="55" w:type="dxa"/>
              <w:right w:w="55" w:type="dxa"/>
            </w:tcMar>
          </w:tcPr>
          <w:p w:rsidR="000477C5" w:rsidRPr="00C36CE5" w:rsidRDefault="000477C5" w:rsidP="00A33ADF">
            <w:pPr>
              <w:pStyle w:val="Standard"/>
              <w:rPr>
                <w:sz w:val="22"/>
                <w:szCs w:val="22"/>
                <w:lang w:val="en-US"/>
              </w:rPr>
            </w:pPr>
            <w:r>
              <w:rPr>
                <w:sz w:val="22"/>
                <w:szCs w:val="22"/>
              </w:rPr>
              <w:t>Uses language that sometimes impedes meaning because of errors in usage</w:t>
            </w:r>
            <w:r>
              <w:rPr>
                <w:sz w:val="22"/>
                <w:szCs w:val="22"/>
                <w:lang w:val="en-US"/>
              </w:rPr>
              <w:t>.</w:t>
            </w:r>
          </w:p>
        </w:tc>
      </w:tr>
    </w:tbl>
    <w:p w:rsidR="000477C5" w:rsidRDefault="000477C5" w:rsidP="000477C5">
      <w:pPr>
        <w:pStyle w:val="Standard"/>
        <w:rPr>
          <w:rFonts w:ascii="Garamond" w:hAnsi="Garamond"/>
          <w:sz w:val="22"/>
          <w:szCs w:val="22"/>
        </w:rPr>
      </w:pPr>
    </w:p>
    <w:p w:rsidR="009905ED" w:rsidRDefault="000477C5">
      <w:r>
        <w:t xml:space="preserve">Reprinted [or </w:t>
      </w:r>
      <w:proofErr w:type="gramStart"/>
      <w:r>
        <w:t>Excerpted</w:t>
      </w:r>
      <w:proofErr w:type="gramEnd"/>
      <w:r>
        <w:t xml:space="preserve">] with permission from </w:t>
      </w:r>
      <w:r>
        <w:rPr>
          <w:rStyle w:val="Emphasis"/>
        </w:rPr>
        <w:t>Assessing Outcomes and Improving Achievement: Tips and tools for Using Rubrics</w:t>
      </w:r>
      <w:r>
        <w:t xml:space="preserve">, edited by </w:t>
      </w:r>
      <w:proofErr w:type="spellStart"/>
      <w:r>
        <w:t>Terrel</w:t>
      </w:r>
      <w:proofErr w:type="spellEnd"/>
      <w:r>
        <w:t xml:space="preserve"> L. Rhodes. </w:t>
      </w:r>
      <w:proofErr w:type="gramStart"/>
      <w:r>
        <w:t xml:space="preserve">Copyright 2010 by the Association </w:t>
      </w:r>
      <w:r>
        <w:lastRenderedPageBreak/>
        <w:t>of American Colleges and Universities.</w:t>
      </w:r>
      <w:proofErr w:type="gramEnd"/>
    </w:p>
    <w:sectPr w:rsidR="009905ED" w:rsidSect="009A20E5">
      <w:pgSz w:w="20163"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C5"/>
    <w:rsid w:val="000477C5"/>
    <w:rsid w:val="00212CC1"/>
    <w:rsid w:val="0099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7C5"/>
    <w:pPr>
      <w:widowControl w:val="0"/>
      <w:suppressAutoHyphens/>
      <w:autoSpaceDN w:val="0"/>
      <w:spacing w:after="0" w:line="240" w:lineRule="auto"/>
      <w:textAlignment w:val="baseline"/>
    </w:pPr>
    <w:rPr>
      <w:rFonts w:ascii="Times New Roman" w:eastAsia="Tahoma" w:hAnsi="Times New Roman"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77C5"/>
    <w:pPr>
      <w:suppressAutoHyphens/>
      <w:autoSpaceDN w:val="0"/>
      <w:spacing w:after="0" w:line="240" w:lineRule="auto"/>
      <w:textAlignment w:val="baseline"/>
    </w:pPr>
    <w:rPr>
      <w:rFonts w:ascii="Times New Roman" w:eastAsia="Times New Roman" w:hAnsi="Times New Roman" w:cs="Times New Roman"/>
      <w:kern w:val="3"/>
      <w:sz w:val="24"/>
      <w:szCs w:val="24"/>
      <w:lang w:val="ru-RU"/>
    </w:rPr>
  </w:style>
  <w:style w:type="paragraph" w:styleId="BalloonText">
    <w:name w:val="Balloon Text"/>
    <w:basedOn w:val="Normal"/>
    <w:link w:val="BalloonTextChar"/>
    <w:uiPriority w:val="99"/>
    <w:semiHidden/>
    <w:unhideWhenUsed/>
    <w:rsid w:val="000477C5"/>
    <w:rPr>
      <w:rFonts w:ascii="Tahoma" w:hAnsi="Tahoma"/>
      <w:sz w:val="16"/>
      <w:szCs w:val="16"/>
    </w:rPr>
  </w:style>
  <w:style w:type="character" w:customStyle="1" w:styleId="BalloonTextChar">
    <w:name w:val="Balloon Text Char"/>
    <w:basedOn w:val="DefaultParagraphFont"/>
    <w:link w:val="BalloonText"/>
    <w:uiPriority w:val="99"/>
    <w:semiHidden/>
    <w:rsid w:val="000477C5"/>
    <w:rPr>
      <w:rFonts w:ascii="Tahoma" w:eastAsia="Tahoma" w:hAnsi="Tahoma" w:cs="Tahoma"/>
      <w:kern w:val="3"/>
      <w:sz w:val="16"/>
      <w:szCs w:val="16"/>
    </w:rPr>
  </w:style>
  <w:style w:type="character" w:styleId="Emphasis">
    <w:name w:val="Emphasis"/>
    <w:basedOn w:val="DefaultParagraphFont"/>
    <w:uiPriority w:val="20"/>
    <w:qFormat/>
    <w:rsid w:val="000477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7C5"/>
    <w:pPr>
      <w:widowControl w:val="0"/>
      <w:suppressAutoHyphens/>
      <w:autoSpaceDN w:val="0"/>
      <w:spacing w:after="0" w:line="240" w:lineRule="auto"/>
      <w:textAlignment w:val="baseline"/>
    </w:pPr>
    <w:rPr>
      <w:rFonts w:ascii="Times New Roman" w:eastAsia="Tahoma" w:hAnsi="Times New Roman"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77C5"/>
    <w:pPr>
      <w:suppressAutoHyphens/>
      <w:autoSpaceDN w:val="0"/>
      <w:spacing w:after="0" w:line="240" w:lineRule="auto"/>
      <w:textAlignment w:val="baseline"/>
    </w:pPr>
    <w:rPr>
      <w:rFonts w:ascii="Times New Roman" w:eastAsia="Times New Roman" w:hAnsi="Times New Roman" w:cs="Times New Roman"/>
      <w:kern w:val="3"/>
      <w:sz w:val="24"/>
      <w:szCs w:val="24"/>
      <w:lang w:val="ru-RU"/>
    </w:rPr>
  </w:style>
  <w:style w:type="paragraph" w:styleId="BalloonText">
    <w:name w:val="Balloon Text"/>
    <w:basedOn w:val="Normal"/>
    <w:link w:val="BalloonTextChar"/>
    <w:uiPriority w:val="99"/>
    <w:semiHidden/>
    <w:unhideWhenUsed/>
    <w:rsid w:val="000477C5"/>
    <w:rPr>
      <w:rFonts w:ascii="Tahoma" w:hAnsi="Tahoma"/>
      <w:sz w:val="16"/>
      <w:szCs w:val="16"/>
    </w:rPr>
  </w:style>
  <w:style w:type="character" w:customStyle="1" w:styleId="BalloonTextChar">
    <w:name w:val="Balloon Text Char"/>
    <w:basedOn w:val="DefaultParagraphFont"/>
    <w:link w:val="BalloonText"/>
    <w:uiPriority w:val="99"/>
    <w:semiHidden/>
    <w:rsid w:val="000477C5"/>
    <w:rPr>
      <w:rFonts w:ascii="Tahoma" w:eastAsia="Tahoma" w:hAnsi="Tahoma" w:cs="Tahoma"/>
      <w:kern w:val="3"/>
      <w:sz w:val="16"/>
      <w:szCs w:val="16"/>
    </w:rPr>
  </w:style>
  <w:style w:type="character" w:styleId="Emphasis">
    <w:name w:val="Emphasis"/>
    <w:basedOn w:val="DefaultParagraphFont"/>
    <w:uiPriority w:val="20"/>
    <w:qFormat/>
    <w:rsid w:val="00047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2011-11-20T15:36:00Z</dcterms:created>
  <dcterms:modified xsi:type="dcterms:W3CDTF">2011-11-20T15:36:00Z</dcterms:modified>
</cp:coreProperties>
</file>