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E7" w:rsidRDefault="007241E7">
      <w:pPr>
        <w:rPr>
          <w:rFonts w:ascii="ConduitITC-Black" w:hAnsi="ConduitITC-Black" w:cs="ConduitITC-Black"/>
          <w:color w:val="231F20"/>
          <w:sz w:val="122"/>
          <w:szCs w:val="122"/>
        </w:rPr>
      </w:pPr>
      <w:bookmarkStart w:id="0" w:name="_GoBack"/>
      <w:bookmarkEnd w:id="0"/>
    </w:p>
    <w:p w:rsidR="007241E7" w:rsidRDefault="007241E7">
      <w:pPr>
        <w:rPr>
          <w:rFonts w:ascii="ConduitITC-Black" w:hAnsi="ConduitITC-Black" w:cs="ConduitITC-Black"/>
          <w:color w:val="231F20"/>
          <w:sz w:val="122"/>
          <w:szCs w:val="122"/>
        </w:rPr>
      </w:pPr>
    </w:p>
    <w:p w:rsidR="004B2159" w:rsidRDefault="004B2159">
      <w:pPr>
        <w:rPr>
          <w:rFonts w:ascii="ConduitITC-Black" w:hAnsi="ConduitITC-Black" w:cs="ConduitITC-Black"/>
          <w:color w:val="231F20"/>
          <w:sz w:val="122"/>
          <w:szCs w:val="122"/>
        </w:rPr>
      </w:pPr>
      <w:r>
        <w:rPr>
          <w:rFonts w:ascii="ConduitITC-Black" w:hAnsi="ConduitITC-Black" w:cs="ConduitITC-Black"/>
          <w:noProof/>
          <w:color w:val="231F20"/>
          <w:sz w:val="122"/>
          <w:szCs w:val="122"/>
        </w:rPr>
        <w:drawing>
          <wp:inline distT="0" distB="0" distL="0" distR="0" wp14:anchorId="402C8763" wp14:editId="0752B244">
            <wp:extent cx="6696724" cy="1181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 - Lo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27" cy="11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59" w:rsidRDefault="004B2159" w:rsidP="004B2159">
      <w:pPr>
        <w:jc w:val="center"/>
        <w:rPr>
          <w:rFonts w:ascii="ConduitITC-Black" w:hAnsi="ConduitITC-Black" w:cs="ConduitITC-Black"/>
          <w:color w:val="231F20"/>
          <w:sz w:val="72"/>
          <w:szCs w:val="72"/>
        </w:rPr>
      </w:pPr>
    </w:p>
    <w:p w:rsidR="004B2159" w:rsidRPr="004B2159" w:rsidRDefault="004B2159" w:rsidP="004B2159">
      <w:pPr>
        <w:jc w:val="center"/>
        <w:rPr>
          <w:rFonts w:ascii="ConduitITC-Black" w:hAnsi="ConduitITC-Black" w:cs="ConduitITC-Black"/>
          <w:color w:val="231F20"/>
          <w:sz w:val="72"/>
          <w:szCs w:val="72"/>
        </w:rPr>
      </w:pPr>
      <w:r w:rsidRPr="004B2159">
        <w:rPr>
          <w:rFonts w:ascii="ConduitITC-Black" w:hAnsi="ConduitITC-Black" w:cs="ConduitITC-Black"/>
          <w:color w:val="231F20"/>
          <w:sz w:val="72"/>
          <w:szCs w:val="72"/>
        </w:rPr>
        <w:t>Competency Guide</w:t>
      </w:r>
    </w:p>
    <w:p w:rsidR="004B2159" w:rsidRPr="004B2159" w:rsidRDefault="004B2159" w:rsidP="004B2159">
      <w:pPr>
        <w:jc w:val="center"/>
        <w:rPr>
          <w:rFonts w:ascii="ConduitITC-Black" w:hAnsi="ConduitITC-Black" w:cs="ConduitITC-Black"/>
          <w:color w:val="231F20"/>
          <w:sz w:val="72"/>
          <w:szCs w:val="72"/>
        </w:rPr>
      </w:pPr>
      <w:r w:rsidRPr="004B2159">
        <w:rPr>
          <w:rFonts w:ascii="ConduitITC-Black" w:hAnsi="ConduitITC-Black" w:cs="ConduitITC-Black"/>
          <w:color w:val="231F20"/>
          <w:sz w:val="72"/>
          <w:szCs w:val="72"/>
        </w:rPr>
        <w:t>For</w:t>
      </w:r>
    </w:p>
    <w:p w:rsidR="004B2159" w:rsidRPr="004B2159" w:rsidRDefault="004B2159" w:rsidP="004B2159">
      <w:pPr>
        <w:jc w:val="center"/>
        <w:rPr>
          <w:rFonts w:ascii="ConduitITC-Black" w:hAnsi="ConduitITC-Black" w:cs="ConduitITC-Black"/>
          <w:color w:val="231F20"/>
          <w:sz w:val="72"/>
          <w:szCs w:val="72"/>
        </w:rPr>
      </w:pPr>
      <w:r w:rsidRPr="004B2159">
        <w:rPr>
          <w:rFonts w:ascii="ConduitITC-Black" w:hAnsi="ConduitITC-Black" w:cs="ConduitITC-Black"/>
          <w:color w:val="231F20"/>
          <w:sz w:val="72"/>
          <w:szCs w:val="72"/>
        </w:rPr>
        <w:t>College Student Leaders</w:t>
      </w:r>
    </w:p>
    <w:p w:rsidR="004B2159" w:rsidRPr="004B2159" w:rsidRDefault="004B2159" w:rsidP="004B2159">
      <w:pPr>
        <w:jc w:val="center"/>
        <w:rPr>
          <w:rFonts w:ascii="ConduitITC-Black" w:hAnsi="ConduitITC-Black" w:cs="ConduitITC-Black"/>
          <w:color w:val="231F20"/>
          <w:sz w:val="56"/>
          <w:szCs w:val="56"/>
        </w:rPr>
      </w:pPr>
    </w:p>
    <w:p w:rsidR="00A835F1" w:rsidRPr="004B2159" w:rsidRDefault="007241E7" w:rsidP="004B2159">
      <w:pPr>
        <w:jc w:val="center"/>
        <w:rPr>
          <w:rFonts w:ascii="ConduitITC-Black" w:hAnsi="ConduitITC-Black" w:cs="ConduitITC-Black"/>
          <w:color w:val="231F20"/>
          <w:sz w:val="56"/>
          <w:szCs w:val="56"/>
        </w:rPr>
      </w:pPr>
      <w:r w:rsidRPr="004B2159">
        <w:rPr>
          <w:rFonts w:ascii="ConduitITC-Black" w:hAnsi="ConduitITC-Black" w:cs="ConduitITC-Black"/>
          <w:color w:val="231F20"/>
          <w:sz w:val="56"/>
          <w:szCs w:val="56"/>
        </w:rPr>
        <w:t>EVALUATION</w:t>
      </w: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ConduitITC-Black" w:hAnsi="ConduitITC-Black" w:cs="ConduitITC-Black"/>
          <w:color w:val="231F20"/>
          <w:sz w:val="122"/>
          <w:szCs w:val="122"/>
        </w:rPr>
      </w:pPr>
    </w:p>
    <w:p w:rsidR="004B2159" w:rsidRDefault="004B2159" w:rsidP="007241E7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40"/>
          <w:szCs w:val="40"/>
        </w:rPr>
      </w:pPr>
    </w:p>
    <w:p w:rsidR="007241E7" w:rsidRDefault="007241E7" w:rsidP="007241E7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40"/>
          <w:szCs w:val="40"/>
        </w:rPr>
      </w:pPr>
      <w:r>
        <w:rPr>
          <w:rFonts w:ascii="FranklinGothic-Heavy" w:hAnsi="FranklinGothic-Heavy" w:cs="FranklinGothic-Heavy"/>
          <w:b/>
          <w:bCs/>
          <w:color w:val="231F20"/>
          <w:sz w:val="40"/>
          <w:szCs w:val="40"/>
        </w:rPr>
        <w:lastRenderedPageBreak/>
        <w:t>College Student Leaders Competency Evaluation</w:t>
      </w:r>
    </w:p>
    <w:p w:rsidR="00E23392" w:rsidRDefault="00E23392" w:rsidP="007241E7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40"/>
          <w:szCs w:val="40"/>
        </w:rPr>
      </w:pPr>
    </w:p>
    <w:p w:rsidR="007241E7" w:rsidRDefault="007241E7" w:rsidP="007241E7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This evaluation is intended to be filled out by both the student leader and advisor.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 The student leader should fill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out their portion under each competency and then the advisor should complete their 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portion. After both individuals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have completed their sections independently, the two should meet to discuss all of t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he feedback. Utilize only areas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of this evaluation that apply.</w:t>
      </w: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241E7" w:rsidP="007241E7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24"/>
          <w:szCs w:val="24"/>
        </w:rPr>
      </w:pPr>
      <w:r>
        <w:rPr>
          <w:rFonts w:ascii="FranklinGothic-Heavy" w:hAnsi="FranklinGothic-Heavy" w:cs="FranklinGothic-Heavy"/>
          <w:b/>
          <w:bCs/>
          <w:color w:val="231F20"/>
          <w:sz w:val="24"/>
          <w:szCs w:val="24"/>
        </w:rPr>
        <w:t>CORE COMPETENCIES for Student Leaders</w:t>
      </w: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24"/>
          <w:szCs w:val="24"/>
        </w:rPr>
      </w:pPr>
    </w:p>
    <w:p w:rsidR="007241E7" w:rsidRPr="005D1380" w:rsidRDefault="007241E7" w:rsidP="00E233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5D1380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Desired Student Learning and Development Outcome—Leadership Development</w:t>
      </w:r>
    </w:p>
    <w:p w:rsidR="007241E7" w:rsidRDefault="007241E7" w:rsidP="00E23392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Intro—Student leaders involved in campus activities must understand that their 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role is to be a positive change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agent, to influence others and create a vision. Leadership is a process rather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 than a position. Leadership is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relationship oriented and situational in nature.</w:t>
      </w: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241E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7922A6" w:rsidRDefault="007241E7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Understands the skill set of the membership and utilizes it effectively for eng</w:t>
      </w:r>
      <w:r w:rsidR="007922A6">
        <w:rPr>
          <w:rFonts w:ascii="FranklinGothic-Book" w:hAnsi="FranklinGothic-Book" w:cs="FranklinGothic-Book"/>
          <w:color w:val="231F20"/>
          <w:sz w:val="20"/>
          <w:szCs w:val="20"/>
        </w:rPr>
        <w:t xml:space="preserve">aging them in accomplishing the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group’s goals</w:t>
      </w:r>
    </w:p>
    <w:p w:rsidR="005D1380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5D1380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Hold self and members accountable</w:t>
      </w:r>
    </w:p>
    <w:p w:rsidR="005D1380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Develops an organization inclusive of teambuilding, collaboration and strategic planning</w:t>
      </w:r>
    </w:p>
    <w:p w:rsidR="005D1380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Encourages institutional pride and community building among student body</w:t>
      </w:r>
    </w:p>
    <w:p w:rsidR="005D1380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28172B" w:rsidRDefault="0028172B" w:rsidP="002817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28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Pr="0028172B" w:rsidRDefault="007241E7" w:rsidP="0028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28172B"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7922A6" w:rsidRDefault="007922A6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241E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7922A6" w:rsidRDefault="007241E7" w:rsidP="005D138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5D138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7241E7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 w:rsidR="007241E7">
        <w:rPr>
          <w:rFonts w:ascii="FranklinGothic-Book" w:hAnsi="FranklinGothic-Book" w:cs="FranklinGothic-Book"/>
          <w:color w:val="231F20"/>
          <w:sz w:val="20"/>
          <w:szCs w:val="20"/>
        </w:rPr>
        <w:t xml:space="preserve">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 w:rsidR="007241E7">
        <w:rPr>
          <w:rFonts w:ascii="FranklinGothic-Book" w:hAnsi="FranklinGothic-Book" w:cs="FranklinGothic-Book"/>
          <w:color w:val="231F20"/>
          <w:sz w:val="20"/>
          <w:szCs w:val="20"/>
        </w:rPr>
        <w:t xml:space="preserve">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 w:rsidR="007241E7">
        <w:rPr>
          <w:rFonts w:ascii="FranklinGothic-Book" w:hAnsi="FranklinGothic-Book" w:cs="FranklinGothic-Book"/>
          <w:color w:val="231F20"/>
          <w:sz w:val="20"/>
          <w:szCs w:val="20"/>
        </w:rPr>
        <w:t xml:space="preserve">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 w:rsidR="007241E7">
        <w:rPr>
          <w:rFonts w:ascii="FranklinGothic-Book" w:hAnsi="FranklinGothic-Book" w:cs="FranklinGothic-Book"/>
          <w:color w:val="231F20"/>
          <w:sz w:val="20"/>
          <w:szCs w:val="20"/>
        </w:rPr>
        <w:t>Strongly Disagree</w:t>
      </w:r>
    </w:p>
    <w:p w:rsidR="005D1380" w:rsidRDefault="005D1380" w:rsidP="005D1380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241E7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7241E7" w:rsidRDefault="007241E7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922A6" w:rsidRDefault="007922A6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7241E7" w:rsidRDefault="007241E7" w:rsidP="007922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7241E7" w:rsidRDefault="007241E7" w:rsidP="007922A6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5D1380" w:rsidRDefault="005D1380" w:rsidP="00352CD2">
      <w:pPr>
        <w:autoSpaceDE w:val="0"/>
        <w:autoSpaceDN w:val="0"/>
        <w:adjustRightInd w:val="0"/>
        <w:spacing w:after="0" w:line="240" w:lineRule="auto"/>
      </w:pPr>
    </w:p>
    <w:p w:rsidR="005D1380" w:rsidRDefault="005D1380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Pr="00E23392" w:rsidRDefault="005D1380" w:rsidP="00E233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E23392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 xml:space="preserve"> </w:t>
      </w:r>
      <w:r w:rsidR="00352CD2" w:rsidRPr="00E23392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Desired Student Learning and Development Outcome—Assessment and Evaluation</w:t>
      </w:r>
    </w:p>
    <w:p w:rsidR="00352CD2" w:rsidRPr="005D1380" w:rsidRDefault="00352CD2" w:rsidP="00E23392">
      <w:pPr>
        <w:autoSpaceDE w:val="0"/>
        <w:autoSpaceDN w:val="0"/>
        <w:adjustRightInd w:val="0"/>
        <w:spacing w:after="0" w:line="240" w:lineRule="auto"/>
        <w:ind w:left="432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>Intro—Student leaders involved in campus activities should make knowledge-based decisions in regard to</w:t>
      </w:r>
    </w:p>
    <w:p w:rsidR="00352CD2" w:rsidRPr="005D1380" w:rsidRDefault="00352CD2" w:rsidP="00E23392">
      <w:pPr>
        <w:autoSpaceDE w:val="0"/>
        <w:autoSpaceDN w:val="0"/>
        <w:adjustRightInd w:val="0"/>
        <w:spacing w:after="0" w:line="240" w:lineRule="auto"/>
        <w:ind w:left="432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>resources</w:t>
      </w:r>
      <w:proofErr w:type="gramEnd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 xml:space="preserve"> allocated for the campus programs planned and implemented by their organization. Leaders should</w:t>
      </w:r>
    </w:p>
    <w:p w:rsidR="00352CD2" w:rsidRPr="005D1380" w:rsidRDefault="00352CD2" w:rsidP="00E23392">
      <w:pPr>
        <w:autoSpaceDE w:val="0"/>
        <w:autoSpaceDN w:val="0"/>
        <w:adjustRightInd w:val="0"/>
        <w:spacing w:after="0" w:line="240" w:lineRule="auto"/>
        <w:ind w:left="432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>possess</w:t>
      </w:r>
      <w:proofErr w:type="gramEnd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 xml:space="preserve"> the ability to effectively evaluate programs as well as assess their campus and community culture.</w:t>
      </w:r>
    </w:p>
    <w:p w:rsidR="00352CD2" w:rsidRPr="005D1380" w:rsidRDefault="00352CD2" w:rsidP="00E23392">
      <w:pPr>
        <w:autoSpaceDE w:val="0"/>
        <w:autoSpaceDN w:val="0"/>
        <w:adjustRightInd w:val="0"/>
        <w:spacing w:after="0" w:line="240" w:lineRule="auto"/>
        <w:ind w:left="432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>Program evaluations will assure the continued improvement of campus activities and comprehensive assessment</w:t>
      </w: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432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>will</w:t>
      </w:r>
      <w:proofErr w:type="gramEnd"/>
      <w:r w:rsidRPr="005D1380">
        <w:rPr>
          <w:rFonts w:ascii="FranklinGothic-Book" w:hAnsi="FranklinGothic-Book" w:cs="FranklinGothic-Book"/>
          <w:color w:val="231F20"/>
          <w:sz w:val="20"/>
          <w:szCs w:val="20"/>
        </w:rPr>
        <w:t xml:space="preserve"> allow campus activities offerings to meet the community development needs of the entire campus.</w:t>
      </w:r>
    </w:p>
    <w:p w:rsidR="00E23392" w:rsidRPr="005D1380" w:rsidRDefault="00E23392" w:rsidP="00E23392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E23392" w:rsidRDefault="00E2339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Ability to “map” or connect the mission or primary goals or functions of the organization to the activities and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programs that the organization facilitates.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Ability to design the right programs, as well as gather the right evidence to foster the intended learning outcomes.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Ability to measure organizational effectiveness through internal assessments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 xml:space="preserve"> (e.g. pre- and post-membership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surveys, leadership &amp; advisor feedback)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Ability to measure service and impact on student body (or appropriate constituency)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E2339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B2159" w:rsidRDefault="004B2159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B2159" w:rsidRDefault="004B2159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E23392" w:rsidRDefault="00E2339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Pr="004B2159" w:rsidRDefault="00352CD2" w:rsidP="004B21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4B2159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>Desired Student Learning and Development Outcome—Event Management</w:t>
      </w: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Intro—Student leaders engaged in campus activities have a unique opportunity to learn and practice effective</w:t>
      </w: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>
        <w:rPr>
          <w:rFonts w:ascii="FranklinGothic-Book" w:hAnsi="FranklinGothic-Book" w:cs="FranklinGothic-Book"/>
          <w:color w:val="231F20"/>
          <w:sz w:val="20"/>
          <w:szCs w:val="20"/>
        </w:rPr>
        <w:t>event</w:t>
      </w:r>
      <w:proofErr w:type="gram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management. Student leaders should strive toward understanding the appropriate steps and issues</w:t>
      </w: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>
        <w:rPr>
          <w:rFonts w:ascii="FranklinGothic-Book" w:hAnsi="FranklinGothic-Book" w:cs="FranklinGothic-Book"/>
          <w:color w:val="231F20"/>
          <w:sz w:val="20"/>
          <w:szCs w:val="20"/>
        </w:rPr>
        <w:t>involved</w:t>
      </w:r>
      <w:proofErr w:type="gram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i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>n event planning and management.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Utilizes personnel and financial resources appropriately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Implements appropriate risk management strategies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Negotiates contract adhering to college/university policies and practices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Manages program development, implementation and evaluation in an organized manner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E23392" w:rsidRDefault="00E23392" w:rsidP="00E2339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E23392" w:rsidRDefault="00E23392" w:rsidP="00E2339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E23392">
      <w:pPr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Pr="00E23392" w:rsidRDefault="00352CD2" w:rsidP="00E233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E23392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>Desired Student Learning and Development Outcome—Collaboration</w:t>
      </w:r>
    </w:p>
    <w:p w:rsidR="00352CD2" w:rsidRDefault="00352CD2" w:rsidP="00E23392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Intro—Collaboration involves seeking the involvement of others and working well with people. Collaboration is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often used in campus activities to increase student involvement, enhance the available resources and provide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the team with a larger skill set. Student leaders involved in collaboration o</w:t>
      </w:r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 xml:space="preserve">ften expand their skill set </w:t>
      </w:r>
      <w:proofErr w:type="spellStart"/>
      <w:r w:rsidR="00E23392">
        <w:rPr>
          <w:rFonts w:ascii="FranklinGothic-Book" w:hAnsi="FranklinGothic-Book" w:cs="FranklinGothic-Book"/>
          <w:color w:val="231F20"/>
          <w:sz w:val="20"/>
          <w:szCs w:val="20"/>
        </w:rPr>
        <w:t>and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exhibit</w:t>
      </w:r>
      <w:proofErr w:type="spell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growth as a result of their participation.</w:t>
      </w: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.</w:t>
      </w: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Works cooperatively with others, seeking their involvement and feedback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Utilizes delegation as a means to involve group members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Creates formal and informal networks with other student leaders to build aware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ness of the issues facing their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organizations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Promotes and conducts joint programs between organizations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Pr="00A835F1" w:rsidRDefault="00352CD2" w:rsidP="00A835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A835F1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>Desired Student Learning and Development Outcome—Multicultural Competency</w:t>
      </w: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Intro—Multicultural competency is developed through celebration of diverse cultures, advocacy for the needs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and identities of all members within the community, recognition of the diverse communities within the campus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community and beyond, education and awareness of the concerns of those d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iverse communities, and support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of the ongoing inclusion, understanding and dignity of all members within a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nd beyond the campus community.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Being abl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e to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understand one’s own identity, as well as recognizing the similari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ties and differences of </w:t>
      </w:r>
      <w:proofErr w:type="spellStart"/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>others</w:t>
      </w:r>
      <w:proofErr w:type="gramStart"/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>,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will</w:t>
      </w:r>
      <w:proofErr w:type="spellEnd"/>
      <w:proofErr w:type="gram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equip students to serve and lead as citizens in a global society.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firstLine="36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-432" w:firstLine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-432" w:firstLine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Recognizes the contributions diversity brings to their own campus and society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Seeks involvement with people different from oneself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Advocates equality and inclusiveness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Positively impacts others’ perspective on diversity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52CD2" w:rsidRDefault="00352CD2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35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52CD2" w:rsidRDefault="00352CD2" w:rsidP="00352CD2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B2159" w:rsidRDefault="004B2159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B2159" w:rsidRDefault="004B2159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B2159" w:rsidRDefault="004B2159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Pr="00A835F1" w:rsidRDefault="0040382A" w:rsidP="00A835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A835F1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>Desired Student Learning and Development Outcome—Realistic self-appraisal</w:t>
      </w:r>
    </w:p>
    <w:p w:rsidR="00A835F1" w:rsidRDefault="0040382A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Intro—</w:t>
      </w:r>
      <w:proofErr w:type="gramStart"/>
      <w:r>
        <w:rPr>
          <w:rFonts w:ascii="FranklinGothic-Book" w:hAnsi="FranklinGothic-Book" w:cs="FranklinGothic-Book"/>
          <w:color w:val="231F20"/>
          <w:sz w:val="20"/>
          <w:szCs w:val="20"/>
        </w:rPr>
        <w:t>The</w:t>
      </w:r>
      <w:proofErr w:type="gram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use of reflection and assessment measures to better understand one's self promote student learning.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Realistic self-appraisal enhances what student leaders know about themselves, where work is needed, and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areas of accomplishment. Student leaders can utilize this knowledge to effectively shar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>e their skills and competencies while</w:t>
      </w: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proofErr w:type="gramStart"/>
      <w:r>
        <w:rPr>
          <w:rFonts w:ascii="FranklinGothic-Book" w:hAnsi="FranklinGothic-Book" w:cs="FranklinGothic-Book"/>
          <w:color w:val="231F20"/>
          <w:sz w:val="20"/>
          <w:szCs w:val="20"/>
        </w:rPr>
        <w:t>seeking</w:t>
      </w:r>
      <w:proofErr w:type="gramEnd"/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opportunities to enhance weaknesses.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Acknowledges and articulates personal skills, abilities and challenges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Learns from past experiences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Open to feedback from others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Seeks to improve areas of challenges and makes them opportunities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Pr="00A835F1" w:rsidRDefault="0040382A" w:rsidP="00A835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 w:rsidRPr="00A835F1"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lastRenderedPageBreak/>
        <w:t>Desired Student Learning and Development Outcome—Personal and Educational Goals</w:t>
      </w: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Intro—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The development of personal and education goals will enhance a student’s ability to choose opportunities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in and outside the classroom appropriate for their development. Once goals are stated student can monitor</w:t>
      </w:r>
      <w:r w:rsidR="00A835F1">
        <w:rPr>
          <w:rFonts w:ascii="FranklinGothic-Book" w:hAnsi="FranklinGothic-Book" w:cs="FranklinGothic-Book"/>
          <w:color w:val="231F20"/>
          <w:sz w:val="20"/>
          <w:szCs w:val="20"/>
        </w:rPr>
        <w:t xml:space="preserve">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the impact of their involvement and ascertain if the involvement is meaningful.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36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Leader: Please rate yourself based on each of the statements below.</w:t>
      </w: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Sets, articulates, and pursues individual and educational goals and objectives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Uses personal and educational goals to guide decisions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Acknowledges the effect of one’s personal and educational goals on others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Overcomes obstacles that hamper goal achievement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Provide examples, reflections and additional comments related to this competency. (Use additional paper if needed.)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Advisor: Please indicate your level of agreement with the above ratings.</w:t>
      </w: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Wingdings" w:hAnsi="Wingdings" w:cs="Wingdings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Book" w:hAnsi="FranklinGothic-Book" w:cs="FranklinGothic-Book"/>
          <w:color w:val="231F20"/>
          <w:sz w:val="20"/>
          <w:szCs w:val="20"/>
        </w:rPr>
      </w:pP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Disagree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ab/>
      </w:r>
      <w:r w:rsidRPr="005D1380">
        <w:rPr>
          <w:rFonts w:ascii="Wingdings" w:hAnsi="Wingdings" w:cs="Wingdings"/>
          <w:color w:val="231F20"/>
          <w:sz w:val="20"/>
          <w:szCs w:val="20"/>
        </w:rPr>
        <w:t>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 Strongly Disagree</w:t>
      </w: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What is the reason for your level of agreement?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Additional Comments/Recommended Actions: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24"/>
          <w:szCs w:val="24"/>
        </w:rPr>
      </w:pPr>
      <w:r>
        <w:rPr>
          <w:rFonts w:ascii="FranklinGothic-Heavy" w:hAnsi="FranklinGothic-Heavy" w:cs="FranklinGothic-Heavy"/>
          <w:b/>
          <w:bCs/>
          <w:color w:val="231F20"/>
          <w:sz w:val="24"/>
          <w:szCs w:val="24"/>
        </w:rPr>
        <w:lastRenderedPageBreak/>
        <w:t>STRENGTHS AND GROWTH OPPORTUNITIES for Student Leaders</w:t>
      </w:r>
    </w:p>
    <w:p w:rsidR="00A835F1" w:rsidRDefault="00A835F1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Heavy" w:hAnsi="FranklinGothic-Heavy" w:cs="FranklinGothic-Heavy"/>
          <w:b/>
          <w:bCs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 xml:space="preserve">The Student Leader and Advisor should review the sections above and then complete this page </w:t>
      </w:r>
      <w:r>
        <w:rPr>
          <w:rFonts w:ascii="FranklinGothic-Heavy" w:hAnsi="FranklinGothic-Heavy" w:cs="FranklinGothic-Heavy"/>
          <w:b/>
          <w:bCs/>
          <w:color w:val="231F20"/>
          <w:sz w:val="20"/>
          <w:szCs w:val="20"/>
        </w:rPr>
        <w:t>together.</w:t>
      </w: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Utilize only areas of this evaluation that apply.</w:t>
      </w:r>
    </w:p>
    <w:p w:rsidR="003E5B4C" w:rsidRDefault="003E5B4C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  <w:r>
        <w:rPr>
          <w:rFonts w:ascii="FranklinGothic-Book" w:hAnsi="FranklinGothic-Book" w:cs="FranklinGothic-Book"/>
          <w:color w:val="231F20"/>
          <w:sz w:val="20"/>
          <w:szCs w:val="20"/>
        </w:rPr>
        <w:t>Indicate three to five competencies which are strengths with an ‘S’. Indicate three</w:t>
      </w:r>
      <w:r w:rsidR="003E5B4C">
        <w:rPr>
          <w:rFonts w:ascii="FranklinGothic-Book" w:hAnsi="FranklinGothic-Book" w:cs="FranklinGothic-Book"/>
          <w:color w:val="231F20"/>
          <w:sz w:val="20"/>
          <w:szCs w:val="20"/>
        </w:rPr>
        <w:t xml:space="preserve"> to five competencies which are </w:t>
      </w:r>
      <w:r>
        <w:rPr>
          <w:rFonts w:ascii="FranklinGothic-Book" w:hAnsi="FranklinGothic-Book" w:cs="FranklinGothic-Book"/>
          <w:color w:val="231F20"/>
          <w:sz w:val="20"/>
          <w:szCs w:val="20"/>
        </w:rPr>
        <w:t>areas for growth development with a ‘G’. Write any concluding thoughts on the lines below.</w:t>
      </w:r>
    </w:p>
    <w:p w:rsidR="003E5B4C" w:rsidRDefault="003E5B4C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E5B4C" w:rsidRDefault="003E5B4C" w:rsidP="0040382A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5B4C" w:rsidTr="003E5B4C">
        <w:trPr>
          <w:trHeight w:val="503"/>
        </w:trPr>
        <w:tc>
          <w:tcPr>
            <w:tcW w:w="5508" w:type="dxa"/>
            <w:shd w:val="clear" w:color="auto" w:fill="DAEEF3" w:themeFill="accent5" w:themeFillTint="33"/>
          </w:tcPr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  <w:t xml:space="preserve">Core Competencies </w:t>
            </w:r>
          </w:p>
        </w:tc>
        <w:tc>
          <w:tcPr>
            <w:tcW w:w="5508" w:type="dxa"/>
            <w:shd w:val="clear" w:color="auto" w:fill="DAEEF3" w:themeFill="accent5" w:themeFillTint="33"/>
          </w:tcPr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  <w:t>S or G</w:t>
            </w:r>
          </w:p>
        </w:tc>
      </w:tr>
      <w:tr w:rsidR="003E5B4C" w:rsidTr="003E5B4C">
        <w:trPr>
          <w:trHeight w:val="422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Leadership Development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3E5B4C">
        <w:trPr>
          <w:trHeight w:val="368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Assessment and Evaluation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3E5B4C">
        <w:trPr>
          <w:trHeight w:val="422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Event Management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3E5B4C">
        <w:trPr>
          <w:trHeight w:val="368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Collaboration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3E5B4C">
        <w:trPr>
          <w:trHeight w:val="422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Multicultural Competency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4B2159">
        <w:trPr>
          <w:trHeight w:val="458"/>
        </w:trPr>
        <w:tc>
          <w:tcPr>
            <w:tcW w:w="5508" w:type="dxa"/>
            <w:shd w:val="clear" w:color="auto" w:fill="DAEEF3" w:themeFill="accent5" w:themeFillTint="33"/>
          </w:tcPr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  <w:t>Additional Competencies</w:t>
            </w:r>
          </w:p>
        </w:tc>
        <w:tc>
          <w:tcPr>
            <w:tcW w:w="5508" w:type="dxa"/>
            <w:shd w:val="clear" w:color="auto" w:fill="DAEEF3" w:themeFill="accent5" w:themeFillTint="33"/>
          </w:tcPr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  <w:t>S or G</w:t>
            </w:r>
          </w:p>
        </w:tc>
      </w:tr>
      <w:tr w:rsidR="003E5B4C" w:rsidTr="003E5B4C">
        <w:trPr>
          <w:trHeight w:val="422"/>
        </w:trPr>
        <w:tc>
          <w:tcPr>
            <w:tcW w:w="5508" w:type="dxa"/>
          </w:tcPr>
          <w:p w:rsid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Realistic self-appraisal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3E5B4C" w:rsidTr="003E5B4C">
        <w:trPr>
          <w:trHeight w:val="440"/>
        </w:trPr>
        <w:tc>
          <w:tcPr>
            <w:tcW w:w="5508" w:type="dxa"/>
          </w:tcPr>
          <w:p w:rsidR="003E5B4C" w:rsidRPr="003E5B4C" w:rsidRDefault="003E5B4C" w:rsidP="003E5B4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</w:pPr>
            <w:r>
              <w:rPr>
                <w:rFonts w:ascii="FranklinGothic-Book" w:hAnsi="FranklinGothic-Book" w:cs="FranklinGothic-Book"/>
                <w:color w:val="231F20"/>
                <w:sz w:val="20"/>
                <w:szCs w:val="20"/>
              </w:rPr>
              <w:t>Personal and Educational Goals</w:t>
            </w:r>
          </w:p>
        </w:tc>
        <w:tc>
          <w:tcPr>
            <w:tcW w:w="5508" w:type="dxa"/>
          </w:tcPr>
          <w:p w:rsidR="003E5B4C" w:rsidRDefault="003E5B4C" w:rsidP="0040382A">
            <w:pPr>
              <w:autoSpaceDE w:val="0"/>
              <w:autoSpaceDN w:val="0"/>
              <w:adjustRightInd w:val="0"/>
              <w:rPr>
                <w:rFonts w:ascii="FranklinGothic-Demi" w:hAnsi="FranklinGothic-Demi" w:cs="FranklinGothic-Demi"/>
                <w:b/>
                <w:bCs/>
                <w:color w:val="231F20"/>
                <w:sz w:val="20"/>
                <w:szCs w:val="20"/>
              </w:rPr>
            </w:pPr>
          </w:p>
        </w:tc>
      </w:tr>
    </w:tbl>
    <w:p w:rsidR="003E5B4C" w:rsidRDefault="003E5B4C" w:rsidP="003E5B4C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E5B4C" w:rsidRDefault="003E5B4C" w:rsidP="003E5B4C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3E5B4C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Student Leader Comments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3E5B4C" w:rsidRDefault="003E5B4C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3E5B4C" w:rsidRDefault="003E5B4C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</w:p>
    <w:p w:rsidR="0040382A" w:rsidRDefault="0040382A" w:rsidP="0040382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</w:pPr>
      <w:r>
        <w:rPr>
          <w:rFonts w:ascii="FranklinGothic-Demi" w:hAnsi="FranklinGothic-Demi" w:cs="FranklinGothic-Demi"/>
          <w:b/>
          <w:bCs/>
          <w:color w:val="231F20"/>
          <w:sz w:val="20"/>
          <w:szCs w:val="20"/>
        </w:rPr>
        <w:t>Advisor Comments</w:t>
      </w:r>
    </w:p>
    <w:p w:rsidR="00A835F1" w:rsidRDefault="00A835F1" w:rsidP="00A835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A835F1" w:rsidRDefault="00A835F1" w:rsidP="00A835F1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88"/>
        <w:rPr>
          <w:rFonts w:ascii="FranklinGothic-Book" w:hAnsi="FranklinGothic-Book" w:cs="FranklinGothic-Book"/>
          <w:color w:val="231F20"/>
          <w:sz w:val="20"/>
          <w:szCs w:val="20"/>
        </w:rPr>
      </w:pPr>
    </w:p>
    <w:p w:rsidR="0040382A" w:rsidRDefault="0040382A" w:rsidP="00A835F1">
      <w:pPr>
        <w:autoSpaceDE w:val="0"/>
        <w:autoSpaceDN w:val="0"/>
        <w:adjustRightInd w:val="0"/>
        <w:spacing w:after="0" w:line="240" w:lineRule="auto"/>
      </w:pPr>
    </w:p>
    <w:sectPr w:rsidR="0040382A" w:rsidSect="00792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C4" w:rsidRDefault="001204C4" w:rsidP="007922A6">
      <w:pPr>
        <w:spacing w:after="0" w:line="240" w:lineRule="auto"/>
      </w:pPr>
      <w:r>
        <w:separator/>
      </w:r>
    </w:p>
  </w:endnote>
  <w:endnote w:type="continuationSeparator" w:id="0">
    <w:p w:rsidR="001204C4" w:rsidRDefault="001204C4" w:rsidP="0079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ITC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C4" w:rsidRDefault="001204C4" w:rsidP="007922A6">
      <w:pPr>
        <w:spacing w:after="0" w:line="240" w:lineRule="auto"/>
      </w:pPr>
      <w:r>
        <w:separator/>
      </w:r>
    </w:p>
  </w:footnote>
  <w:footnote w:type="continuationSeparator" w:id="0">
    <w:p w:rsidR="001204C4" w:rsidRDefault="001204C4" w:rsidP="0079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5EF"/>
    <w:multiLevelType w:val="hybridMultilevel"/>
    <w:tmpl w:val="3FE0BEA2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2E5497C"/>
    <w:multiLevelType w:val="hybridMultilevel"/>
    <w:tmpl w:val="C1429E9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05596134"/>
    <w:multiLevelType w:val="hybridMultilevel"/>
    <w:tmpl w:val="9672388E"/>
    <w:lvl w:ilvl="0" w:tplc="5C3CC714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E0126"/>
    <w:multiLevelType w:val="hybridMultilevel"/>
    <w:tmpl w:val="A0CE7B8C"/>
    <w:lvl w:ilvl="0" w:tplc="5C3CC714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1592CED"/>
    <w:multiLevelType w:val="hybridMultilevel"/>
    <w:tmpl w:val="6AF21C76"/>
    <w:lvl w:ilvl="0" w:tplc="5C3CC71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CD6367"/>
    <w:multiLevelType w:val="hybridMultilevel"/>
    <w:tmpl w:val="97F4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74339"/>
    <w:multiLevelType w:val="hybridMultilevel"/>
    <w:tmpl w:val="E7289912"/>
    <w:lvl w:ilvl="0" w:tplc="5C3CC714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0870CB0"/>
    <w:multiLevelType w:val="hybridMultilevel"/>
    <w:tmpl w:val="D37A7AC0"/>
    <w:lvl w:ilvl="0" w:tplc="5C3CC714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20B85E93"/>
    <w:multiLevelType w:val="hybridMultilevel"/>
    <w:tmpl w:val="E0C46CC6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1014CFF"/>
    <w:multiLevelType w:val="hybridMultilevel"/>
    <w:tmpl w:val="0B88BDF0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12FED"/>
    <w:multiLevelType w:val="hybridMultilevel"/>
    <w:tmpl w:val="A3683E80"/>
    <w:lvl w:ilvl="0" w:tplc="5C3CC714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F896805"/>
    <w:multiLevelType w:val="hybridMultilevel"/>
    <w:tmpl w:val="E3921C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3CC714">
      <w:start w:val="1"/>
      <w:numFmt w:val="bullet"/>
      <w:lvlText w:val=""/>
      <w:lvlJc w:val="left"/>
      <w:pPr>
        <w:ind w:left="468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F9D4449"/>
    <w:multiLevelType w:val="hybridMultilevel"/>
    <w:tmpl w:val="BE729514"/>
    <w:lvl w:ilvl="0" w:tplc="5C3CC714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5AB65323"/>
    <w:multiLevelType w:val="hybridMultilevel"/>
    <w:tmpl w:val="67DE3ED8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630E614C"/>
    <w:multiLevelType w:val="hybridMultilevel"/>
    <w:tmpl w:val="C6043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A573F"/>
    <w:multiLevelType w:val="hybridMultilevel"/>
    <w:tmpl w:val="987086A8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B2188"/>
    <w:multiLevelType w:val="hybridMultilevel"/>
    <w:tmpl w:val="1E60CD24"/>
    <w:lvl w:ilvl="0" w:tplc="5C3CC714">
      <w:start w:val="1"/>
      <w:numFmt w:val="bullet"/>
      <w:lvlText w:val="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16"/>
  </w:num>
  <w:num w:numId="12">
    <w:abstractNumId w:val="10"/>
  </w:num>
  <w:num w:numId="13">
    <w:abstractNumId w:val="2"/>
  </w:num>
  <w:num w:numId="14">
    <w:abstractNumId w:val="11"/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E7"/>
    <w:rsid w:val="000016FC"/>
    <w:rsid w:val="00026F47"/>
    <w:rsid w:val="000B5333"/>
    <w:rsid w:val="000C03FE"/>
    <w:rsid w:val="001204C4"/>
    <w:rsid w:val="00134B10"/>
    <w:rsid w:val="002021CE"/>
    <w:rsid w:val="0028172B"/>
    <w:rsid w:val="00352CD2"/>
    <w:rsid w:val="003E5B4C"/>
    <w:rsid w:val="0040382A"/>
    <w:rsid w:val="004B2159"/>
    <w:rsid w:val="005D1380"/>
    <w:rsid w:val="0072094D"/>
    <w:rsid w:val="007241E7"/>
    <w:rsid w:val="007922A6"/>
    <w:rsid w:val="007C35E8"/>
    <w:rsid w:val="00A835F1"/>
    <w:rsid w:val="00E23392"/>
    <w:rsid w:val="00F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A6"/>
  </w:style>
  <w:style w:type="paragraph" w:styleId="Footer">
    <w:name w:val="footer"/>
    <w:basedOn w:val="Normal"/>
    <w:link w:val="FooterChar"/>
    <w:uiPriority w:val="99"/>
    <w:unhideWhenUsed/>
    <w:rsid w:val="007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A6"/>
  </w:style>
  <w:style w:type="paragraph" w:styleId="ListParagraph">
    <w:name w:val="List Paragraph"/>
    <w:basedOn w:val="Normal"/>
    <w:uiPriority w:val="34"/>
    <w:qFormat/>
    <w:rsid w:val="007922A6"/>
    <w:pPr>
      <w:ind w:left="720"/>
      <w:contextualSpacing/>
    </w:pPr>
  </w:style>
  <w:style w:type="table" w:styleId="TableGrid">
    <w:name w:val="Table Grid"/>
    <w:basedOn w:val="TableNormal"/>
    <w:uiPriority w:val="59"/>
    <w:rsid w:val="003E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E5B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E5B4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A6"/>
  </w:style>
  <w:style w:type="paragraph" w:styleId="Footer">
    <w:name w:val="footer"/>
    <w:basedOn w:val="Normal"/>
    <w:link w:val="FooterChar"/>
    <w:uiPriority w:val="99"/>
    <w:unhideWhenUsed/>
    <w:rsid w:val="0079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A6"/>
  </w:style>
  <w:style w:type="paragraph" w:styleId="ListParagraph">
    <w:name w:val="List Paragraph"/>
    <w:basedOn w:val="Normal"/>
    <w:uiPriority w:val="34"/>
    <w:qFormat/>
    <w:rsid w:val="007922A6"/>
    <w:pPr>
      <w:ind w:left="720"/>
      <w:contextualSpacing/>
    </w:pPr>
  </w:style>
  <w:style w:type="table" w:styleId="TableGrid">
    <w:name w:val="Table Grid"/>
    <w:basedOn w:val="TableNormal"/>
    <w:uiPriority w:val="59"/>
    <w:rsid w:val="003E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E5B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E5B4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Hamm</dc:creator>
  <cp:lastModifiedBy>Alicia Keating</cp:lastModifiedBy>
  <cp:revision>2</cp:revision>
  <cp:lastPrinted>2012-02-16T19:44:00Z</cp:lastPrinted>
  <dcterms:created xsi:type="dcterms:W3CDTF">2012-05-22T20:56:00Z</dcterms:created>
  <dcterms:modified xsi:type="dcterms:W3CDTF">2012-05-22T20:56:00Z</dcterms:modified>
</cp:coreProperties>
</file>