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89BE" w14:textId="77777777" w:rsidR="00FB5C11" w:rsidRPr="00B91C9B" w:rsidRDefault="00B91C9B">
      <w:pPr>
        <w:spacing w:before="0" w:after="0"/>
        <w:rPr>
          <w:rFonts w:eastAsia="Times New Roman"/>
          <w:b/>
          <w:sz w:val="56"/>
          <w:szCs w:val="24"/>
        </w:rPr>
      </w:pPr>
      <w:r w:rsidRPr="00B91C9B">
        <w:rPr>
          <w:rFonts w:eastAsia="Times New Roman"/>
          <w:b/>
          <w:sz w:val="56"/>
          <w:szCs w:val="24"/>
        </w:rPr>
        <w:t>Candidate Information Pack</w:t>
      </w:r>
    </w:p>
    <w:p w14:paraId="0B5B42CD" w14:textId="77777777" w:rsidR="00B91C9B" w:rsidRDefault="00B91C9B">
      <w:pPr>
        <w:spacing w:before="0" w:after="0"/>
        <w:rPr>
          <w:rFonts w:eastAsia="Times New Roman"/>
          <w:b/>
          <w:szCs w:val="24"/>
          <w:highlight w:val="yellow"/>
        </w:rPr>
      </w:pPr>
    </w:p>
    <w:p w14:paraId="471E60DA" w14:textId="77777777" w:rsidR="00C426B5" w:rsidRPr="00FB5C11" w:rsidRDefault="00FB5C11" w:rsidP="00517077">
      <w:pPr>
        <w:pStyle w:val="BodyText"/>
        <w:spacing w:before="0" w:after="0"/>
        <w:rPr>
          <w:b/>
          <w:sz w:val="32"/>
          <w:szCs w:val="32"/>
        </w:rPr>
      </w:pPr>
      <w:r w:rsidRPr="00FB5C11">
        <w:rPr>
          <w:b/>
          <w:sz w:val="32"/>
          <w:szCs w:val="32"/>
        </w:rPr>
        <w:t>Table of contents</w:t>
      </w:r>
    </w:p>
    <w:p w14:paraId="737675BE" w14:textId="77777777" w:rsidR="00C426B5" w:rsidRDefault="00C426B5" w:rsidP="00454914">
      <w:pPr>
        <w:pStyle w:val="BodyText"/>
        <w:spacing w:before="40" w:after="0"/>
        <w:rPr>
          <w:lang w:val="en-US"/>
        </w:rPr>
      </w:pPr>
      <w:r>
        <w:rPr>
          <w:lang w:val="en-US"/>
        </w:rPr>
        <w:t>This document contains the following topics.</w:t>
      </w:r>
    </w:p>
    <w:p w14:paraId="228FDF1B" w14:textId="77777777" w:rsidR="00F62DBA" w:rsidRPr="00517077" w:rsidRDefault="00F17193" w:rsidP="00517077">
      <w:pPr>
        <w:pStyle w:val="BodyText"/>
        <w:spacing w:before="0" w:after="0"/>
        <w:rPr>
          <w:sz w:val="16"/>
          <w:szCs w:val="16"/>
          <w:lang w:val="en-US"/>
        </w:rPr>
      </w:pPr>
      <w:r>
        <w:pict w14:anchorId="55BA752F">
          <v:rect id="_x0000_i1025" style="width:451.3pt;height:3pt" o:hralign="center" o:hrstd="t" o:hrnoshade="t" o:hr="t" fillcolor="#d5d2ca" stroked="f"/>
        </w:pict>
      </w:r>
    </w:p>
    <w:p w14:paraId="046EC3A3" w14:textId="77777777" w:rsidR="00397993" w:rsidRDefault="00C426B5">
      <w:pPr>
        <w:pStyle w:val="TOC1"/>
        <w:rPr>
          <w:rFonts w:asciiTheme="minorHAnsi" w:eastAsiaTheme="minorEastAsia" w:hAnsiTheme="minorHAnsi" w:cstheme="minorBidi"/>
          <w:noProof/>
          <w:lang w:val="en-AU" w:eastAsia="en-AU"/>
        </w:rPr>
      </w:pPr>
      <w:r>
        <w:rPr>
          <w:b/>
          <w:bCs/>
        </w:rPr>
        <w:fldChar w:fldCharType="begin"/>
      </w:r>
      <w:r>
        <w:rPr>
          <w:b/>
          <w:bCs/>
        </w:rPr>
        <w:instrText xml:space="preserve"> TOC \h \z \t "Heading 2,1,Heading 3,2,Heading 4,3" </w:instrText>
      </w:r>
      <w:r>
        <w:rPr>
          <w:b/>
          <w:bCs/>
        </w:rPr>
        <w:fldChar w:fldCharType="separate"/>
      </w:r>
      <w:hyperlink w:anchor="_Toc33700815" w:history="1">
        <w:r w:rsidR="00397993" w:rsidRPr="00D21F7E">
          <w:rPr>
            <w:rStyle w:val="Hyperlink"/>
            <w:noProof/>
          </w:rPr>
          <w:t>Introduction</w:t>
        </w:r>
        <w:r w:rsidR="00397993">
          <w:rPr>
            <w:noProof/>
            <w:webHidden/>
          </w:rPr>
          <w:tab/>
        </w:r>
        <w:r w:rsidR="00397993">
          <w:rPr>
            <w:noProof/>
            <w:webHidden/>
          </w:rPr>
          <w:fldChar w:fldCharType="begin"/>
        </w:r>
        <w:r w:rsidR="00397993">
          <w:rPr>
            <w:noProof/>
            <w:webHidden/>
          </w:rPr>
          <w:instrText xml:space="preserve"> PAGEREF _Toc33700815 \h </w:instrText>
        </w:r>
        <w:r w:rsidR="00397993">
          <w:rPr>
            <w:noProof/>
            <w:webHidden/>
          </w:rPr>
        </w:r>
        <w:r w:rsidR="00397993">
          <w:rPr>
            <w:noProof/>
            <w:webHidden/>
          </w:rPr>
          <w:fldChar w:fldCharType="separate"/>
        </w:r>
        <w:r w:rsidR="002D6D99">
          <w:rPr>
            <w:noProof/>
            <w:webHidden/>
          </w:rPr>
          <w:t>2</w:t>
        </w:r>
        <w:r w:rsidR="00397993">
          <w:rPr>
            <w:noProof/>
            <w:webHidden/>
          </w:rPr>
          <w:fldChar w:fldCharType="end"/>
        </w:r>
      </w:hyperlink>
    </w:p>
    <w:p w14:paraId="2853F9DE" w14:textId="77777777" w:rsidR="00397993" w:rsidRDefault="00F17193">
      <w:pPr>
        <w:pStyle w:val="TOC1"/>
        <w:rPr>
          <w:rFonts w:asciiTheme="minorHAnsi" w:eastAsiaTheme="minorEastAsia" w:hAnsiTheme="minorHAnsi" w:cstheme="minorBidi"/>
          <w:noProof/>
          <w:lang w:val="en-AU" w:eastAsia="en-AU"/>
        </w:rPr>
      </w:pPr>
      <w:hyperlink w:anchor="_Toc33700816" w:history="1">
        <w:r w:rsidR="00397993" w:rsidRPr="00D21F7E">
          <w:rPr>
            <w:rStyle w:val="Hyperlink"/>
            <w:noProof/>
          </w:rPr>
          <w:t>Inclusion and Diversity</w:t>
        </w:r>
        <w:r w:rsidR="00397993">
          <w:rPr>
            <w:noProof/>
            <w:webHidden/>
          </w:rPr>
          <w:tab/>
        </w:r>
        <w:r w:rsidR="00397993">
          <w:rPr>
            <w:noProof/>
            <w:webHidden/>
          </w:rPr>
          <w:fldChar w:fldCharType="begin"/>
        </w:r>
        <w:r w:rsidR="00397993">
          <w:rPr>
            <w:noProof/>
            <w:webHidden/>
          </w:rPr>
          <w:instrText xml:space="preserve"> PAGEREF _Toc33700816 \h </w:instrText>
        </w:r>
        <w:r w:rsidR="00397993">
          <w:rPr>
            <w:noProof/>
            <w:webHidden/>
          </w:rPr>
        </w:r>
        <w:r w:rsidR="00397993">
          <w:rPr>
            <w:noProof/>
            <w:webHidden/>
          </w:rPr>
          <w:fldChar w:fldCharType="separate"/>
        </w:r>
        <w:r w:rsidR="002D6D99">
          <w:rPr>
            <w:noProof/>
            <w:webHidden/>
          </w:rPr>
          <w:t>2</w:t>
        </w:r>
        <w:r w:rsidR="00397993">
          <w:rPr>
            <w:noProof/>
            <w:webHidden/>
          </w:rPr>
          <w:fldChar w:fldCharType="end"/>
        </w:r>
      </w:hyperlink>
    </w:p>
    <w:p w14:paraId="38A56F39" w14:textId="77777777" w:rsidR="00397993" w:rsidRDefault="00F17193">
      <w:pPr>
        <w:pStyle w:val="TOC1"/>
        <w:rPr>
          <w:rFonts w:asciiTheme="minorHAnsi" w:eastAsiaTheme="minorEastAsia" w:hAnsiTheme="minorHAnsi" w:cstheme="minorBidi"/>
          <w:noProof/>
          <w:lang w:val="en-AU" w:eastAsia="en-AU"/>
        </w:rPr>
      </w:pPr>
      <w:hyperlink w:anchor="_Toc33700817" w:history="1">
        <w:r w:rsidR="00397993" w:rsidRPr="00D21F7E">
          <w:rPr>
            <w:rStyle w:val="Hyperlink"/>
            <w:noProof/>
          </w:rPr>
          <w:t>The selection process</w:t>
        </w:r>
        <w:r w:rsidR="00397993">
          <w:rPr>
            <w:noProof/>
            <w:webHidden/>
          </w:rPr>
          <w:tab/>
        </w:r>
        <w:r w:rsidR="00397993">
          <w:rPr>
            <w:noProof/>
            <w:webHidden/>
          </w:rPr>
          <w:fldChar w:fldCharType="begin"/>
        </w:r>
        <w:r w:rsidR="00397993">
          <w:rPr>
            <w:noProof/>
            <w:webHidden/>
          </w:rPr>
          <w:instrText xml:space="preserve"> PAGEREF _Toc33700817 \h </w:instrText>
        </w:r>
        <w:r w:rsidR="00397993">
          <w:rPr>
            <w:noProof/>
            <w:webHidden/>
          </w:rPr>
        </w:r>
        <w:r w:rsidR="00397993">
          <w:rPr>
            <w:noProof/>
            <w:webHidden/>
          </w:rPr>
          <w:fldChar w:fldCharType="separate"/>
        </w:r>
        <w:r w:rsidR="002D6D99">
          <w:rPr>
            <w:noProof/>
            <w:webHidden/>
          </w:rPr>
          <w:t>3</w:t>
        </w:r>
        <w:r w:rsidR="00397993">
          <w:rPr>
            <w:noProof/>
            <w:webHidden/>
          </w:rPr>
          <w:fldChar w:fldCharType="end"/>
        </w:r>
      </w:hyperlink>
    </w:p>
    <w:p w14:paraId="3DA8B2AD" w14:textId="77777777" w:rsidR="00397993" w:rsidRDefault="00F17193">
      <w:pPr>
        <w:pStyle w:val="TOC1"/>
        <w:rPr>
          <w:rFonts w:asciiTheme="minorHAnsi" w:eastAsiaTheme="minorEastAsia" w:hAnsiTheme="minorHAnsi" w:cstheme="minorBidi"/>
          <w:noProof/>
          <w:lang w:val="en-AU" w:eastAsia="en-AU"/>
        </w:rPr>
      </w:pPr>
      <w:hyperlink w:anchor="_Toc33700818" w:history="1">
        <w:r w:rsidR="00397993" w:rsidRPr="00D21F7E">
          <w:rPr>
            <w:rStyle w:val="Hyperlink"/>
            <w:noProof/>
          </w:rPr>
          <w:t>Selection criteria/statement of claims</w:t>
        </w:r>
        <w:r w:rsidR="00397993">
          <w:rPr>
            <w:noProof/>
            <w:webHidden/>
          </w:rPr>
          <w:tab/>
        </w:r>
        <w:r w:rsidR="00397993">
          <w:rPr>
            <w:noProof/>
            <w:webHidden/>
          </w:rPr>
          <w:fldChar w:fldCharType="begin"/>
        </w:r>
        <w:r w:rsidR="00397993">
          <w:rPr>
            <w:noProof/>
            <w:webHidden/>
          </w:rPr>
          <w:instrText xml:space="preserve"> PAGEREF _Toc33700818 \h </w:instrText>
        </w:r>
        <w:r w:rsidR="00397993">
          <w:rPr>
            <w:noProof/>
            <w:webHidden/>
          </w:rPr>
        </w:r>
        <w:r w:rsidR="00397993">
          <w:rPr>
            <w:noProof/>
            <w:webHidden/>
          </w:rPr>
          <w:fldChar w:fldCharType="separate"/>
        </w:r>
        <w:r w:rsidR="002D6D99">
          <w:rPr>
            <w:noProof/>
            <w:webHidden/>
          </w:rPr>
          <w:t>3</w:t>
        </w:r>
        <w:r w:rsidR="00397993">
          <w:rPr>
            <w:noProof/>
            <w:webHidden/>
          </w:rPr>
          <w:fldChar w:fldCharType="end"/>
        </w:r>
      </w:hyperlink>
    </w:p>
    <w:p w14:paraId="0BDB6FF1" w14:textId="77777777" w:rsidR="00397993" w:rsidRDefault="00F17193">
      <w:pPr>
        <w:pStyle w:val="TOC1"/>
        <w:rPr>
          <w:rFonts w:asciiTheme="minorHAnsi" w:eastAsiaTheme="minorEastAsia" w:hAnsiTheme="minorHAnsi" w:cstheme="minorBidi"/>
          <w:noProof/>
          <w:lang w:val="en-AU" w:eastAsia="en-AU"/>
        </w:rPr>
      </w:pPr>
      <w:hyperlink w:anchor="_Toc33700819" w:history="1">
        <w:r w:rsidR="00397993" w:rsidRPr="00D21F7E">
          <w:rPr>
            <w:rStyle w:val="Hyperlink"/>
            <w:noProof/>
          </w:rPr>
          <w:t>Responding to the selection criteria/preparing a statement of claims</w:t>
        </w:r>
        <w:r w:rsidR="00397993">
          <w:rPr>
            <w:noProof/>
            <w:webHidden/>
          </w:rPr>
          <w:tab/>
        </w:r>
        <w:r w:rsidR="00397993">
          <w:rPr>
            <w:noProof/>
            <w:webHidden/>
          </w:rPr>
          <w:fldChar w:fldCharType="begin"/>
        </w:r>
        <w:r w:rsidR="00397993">
          <w:rPr>
            <w:noProof/>
            <w:webHidden/>
          </w:rPr>
          <w:instrText xml:space="preserve"> PAGEREF _Toc33700819 \h </w:instrText>
        </w:r>
        <w:r w:rsidR="00397993">
          <w:rPr>
            <w:noProof/>
            <w:webHidden/>
          </w:rPr>
        </w:r>
        <w:r w:rsidR="00397993">
          <w:rPr>
            <w:noProof/>
            <w:webHidden/>
          </w:rPr>
          <w:fldChar w:fldCharType="separate"/>
        </w:r>
        <w:r w:rsidR="002D6D99">
          <w:rPr>
            <w:noProof/>
            <w:webHidden/>
          </w:rPr>
          <w:t>3</w:t>
        </w:r>
        <w:r w:rsidR="00397993">
          <w:rPr>
            <w:noProof/>
            <w:webHidden/>
          </w:rPr>
          <w:fldChar w:fldCharType="end"/>
        </w:r>
      </w:hyperlink>
    </w:p>
    <w:p w14:paraId="7C6222E6" w14:textId="77777777" w:rsidR="00397993" w:rsidRDefault="00F17193">
      <w:pPr>
        <w:pStyle w:val="TOC1"/>
        <w:rPr>
          <w:rFonts w:asciiTheme="minorHAnsi" w:eastAsiaTheme="minorEastAsia" w:hAnsiTheme="minorHAnsi" w:cstheme="minorBidi"/>
          <w:noProof/>
          <w:lang w:val="en-AU" w:eastAsia="en-AU"/>
        </w:rPr>
      </w:pPr>
      <w:hyperlink w:anchor="_Toc33700820" w:history="1">
        <w:r w:rsidR="00397993" w:rsidRPr="00D21F7E">
          <w:rPr>
            <w:rStyle w:val="Hyperlink"/>
            <w:noProof/>
          </w:rPr>
          <w:t>Referees</w:t>
        </w:r>
        <w:r w:rsidR="00397993">
          <w:rPr>
            <w:noProof/>
            <w:webHidden/>
          </w:rPr>
          <w:tab/>
        </w:r>
        <w:r w:rsidR="00397993">
          <w:rPr>
            <w:noProof/>
            <w:webHidden/>
          </w:rPr>
          <w:fldChar w:fldCharType="begin"/>
        </w:r>
        <w:r w:rsidR="00397993">
          <w:rPr>
            <w:noProof/>
            <w:webHidden/>
          </w:rPr>
          <w:instrText xml:space="preserve"> PAGEREF _Toc33700820 \h </w:instrText>
        </w:r>
        <w:r w:rsidR="00397993">
          <w:rPr>
            <w:noProof/>
            <w:webHidden/>
          </w:rPr>
        </w:r>
        <w:r w:rsidR="00397993">
          <w:rPr>
            <w:noProof/>
            <w:webHidden/>
          </w:rPr>
          <w:fldChar w:fldCharType="separate"/>
        </w:r>
        <w:r w:rsidR="002D6D99">
          <w:rPr>
            <w:noProof/>
            <w:webHidden/>
          </w:rPr>
          <w:t>4</w:t>
        </w:r>
        <w:r w:rsidR="00397993">
          <w:rPr>
            <w:noProof/>
            <w:webHidden/>
          </w:rPr>
          <w:fldChar w:fldCharType="end"/>
        </w:r>
      </w:hyperlink>
    </w:p>
    <w:p w14:paraId="5BE1D427" w14:textId="77777777" w:rsidR="00397993" w:rsidRDefault="00F17193">
      <w:pPr>
        <w:pStyle w:val="TOC1"/>
        <w:rPr>
          <w:rFonts w:asciiTheme="minorHAnsi" w:eastAsiaTheme="minorEastAsia" w:hAnsiTheme="minorHAnsi" w:cstheme="minorBidi"/>
          <w:noProof/>
          <w:lang w:val="en-AU" w:eastAsia="en-AU"/>
        </w:rPr>
      </w:pPr>
      <w:hyperlink w:anchor="_Toc33700821" w:history="1">
        <w:r w:rsidR="00397993" w:rsidRPr="00D21F7E">
          <w:rPr>
            <w:rStyle w:val="Hyperlink"/>
            <w:noProof/>
          </w:rPr>
          <w:t>Privacy</w:t>
        </w:r>
        <w:r w:rsidR="00397993">
          <w:rPr>
            <w:noProof/>
            <w:webHidden/>
          </w:rPr>
          <w:tab/>
        </w:r>
        <w:r w:rsidR="00397993">
          <w:rPr>
            <w:noProof/>
            <w:webHidden/>
          </w:rPr>
          <w:fldChar w:fldCharType="begin"/>
        </w:r>
        <w:r w:rsidR="00397993">
          <w:rPr>
            <w:noProof/>
            <w:webHidden/>
          </w:rPr>
          <w:instrText xml:space="preserve"> PAGEREF _Toc33700821 \h </w:instrText>
        </w:r>
        <w:r w:rsidR="00397993">
          <w:rPr>
            <w:noProof/>
            <w:webHidden/>
          </w:rPr>
        </w:r>
        <w:r w:rsidR="00397993">
          <w:rPr>
            <w:noProof/>
            <w:webHidden/>
          </w:rPr>
          <w:fldChar w:fldCharType="separate"/>
        </w:r>
        <w:r w:rsidR="002D6D99">
          <w:rPr>
            <w:noProof/>
            <w:webHidden/>
          </w:rPr>
          <w:t>4</w:t>
        </w:r>
        <w:r w:rsidR="00397993">
          <w:rPr>
            <w:noProof/>
            <w:webHidden/>
          </w:rPr>
          <w:fldChar w:fldCharType="end"/>
        </w:r>
      </w:hyperlink>
    </w:p>
    <w:p w14:paraId="0194CD17" w14:textId="77777777" w:rsidR="00397993" w:rsidRDefault="00F17193">
      <w:pPr>
        <w:pStyle w:val="TOC1"/>
        <w:rPr>
          <w:rFonts w:asciiTheme="minorHAnsi" w:eastAsiaTheme="minorEastAsia" w:hAnsiTheme="minorHAnsi" w:cstheme="minorBidi"/>
          <w:noProof/>
          <w:lang w:val="en-AU" w:eastAsia="en-AU"/>
        </w:rPr>
      </w:pPr>
      <w:hyperlink w:anchor="_Toc33700822" w:history="1">
        <w:r w:rsidR="00397993" w:rsidRPr="00D21F7E">
          <w:rPr>
            <w:rStyle w:val="Hyperlink"/>
            <w:noProof/>
          </w:rPr>
          <w:t>Eligibility</w:t>
        </w:r>
        <w:r w:rsidR="00397993">
          <w:rPr>
            <w:noProof/>
            <w:webHidden/>
          </w:rPr>
          <w:tab/>
        </w:r>
        <w:r w:rsidR="00397993">
          <w:rPr>
            <w:noProof/>
            <w:webHidden/>
          </w:rPr>
          <w:fldChar w:fldCharType="begin"/>
        </w:r>
        <w:r w:rsidR="00397993">
          <w:rPr>
            <w:noProof/>
            <w:webHidden/>
          </w:rPr>
          <w:instrText xml:space="preserve"> PAGEREF _Toc33700822 \h </w:instrText>
        </w:r>
        <w:r w:rsidR="00397993">
          <w:rPr>
            <w:noProof/>
            <w:webHidden/>
          </w:rPr>
        </w:r>
        <w:r w:rsidR="00397993">
          <w:rPr>
            <w:noProof/>
            <w:webHidden/>
          </w:rPr>
          <w:fldChar w:fldCharType="separate"/>
        </w:r>
        <w:r w:rsidR="002D6D99">
          <w:rPr>
            <w:noProof/>
            <w:webHidden/>
          </w:rPr>
          <w:t>4</w:t>
        </w:r>
        <w:r w:rsidR="00397993">
          <w:rPr>
            <w:noProof/>
            <w:webHidden/>
          </w:rPr>
          <w:fldChar w:fldCharType="end"/>
        </w:r>
      </w:hyperlink>
    </w:p>
    <w:p w14:paraId="448C9491" w14:textId="77777777" w:rsidR="00397993" w:rsidRDefault="00F17193">
      <w:pPr>
        <w:pStyle w:val="TOC2"/>
        <w:rPr>
          <w:rFonts w:asciiTheme="minorHAnsi" w:eastAsiaTheme="minorEastAsia" w:hAnsiTheme="minorHAnsi" w:cstheme="minorBidi"/>
          <w:noProof/>
          <w:lang w:val="en-AU" w:eastAsia="en-AU"/>
        </w:rPr>
      </w:pPr>
      <w:hyperlink w:anchor="_Toc33700823" w:history="1">
        <w:r w:rsidR="00397993" w:rsidRPr="00D21F7E">
          <w:rPr>
            <w:rStyle w:val="Hyperlink"/>
            <w:noProof/>
          </w:rPr>
          <w:t>Citizenship</w:t>
        </w:r>
        <w:r w:rsidR="00397993">
          <w:rPr>
            <w:noProof/>
            <w:webHidden/>
          </w:rPr>
          <w:tab/>
        </w:r>
        <w:r w:rsidR="00397993">
          <w:rPr>
            <w:noProof/>
            <w:webHidden/>
          </w:rPr>
          <w:fldChar w:fldCharType="begin"/>
        </w:r>
        <w:r w:rsidR="00397993">
          <w:rPr>
            <w:noProof/>
            <w:webHidden/>
          </w:rPr>
          <w:instrText xml:space="preserve"> PAGEREF _Toc33700823 \h </w:instrText>
        </w:r>
        <w:r w:rsidR="00397993">
          <w:rPr>
            <w:noProof/>
            <w:webHidden/>
          </w:rPr>
        </w:r>
        <w:r w:rsidR="00397993">
          <w:rPr>
            <w:noProof/>
            <w:webHidden/>
          </w:rPr>
          <w:fldChar w:fldCharType="separate"/>
        </w:r>
        <w:r w:rsidR="002D6D99">
          <w:rPr>
            <w:noProof/>
            <w:webHidden/>
          </w:rPr>
          <w:t>4</w:t>
        </w:r>
        <w:r w:rsidR="00397993">
          <w:rPr>
            <w:noProof/>
            <w:webHidden/>
          </w:rPr>
          <w:fldChar w:fldCharType="end"/>
        </w:r>
      </w:hyperlink>
    </w:p>
    <w:p w14:paraId="602C54C5" w14:textId="77777777" w:rsidR="00397993" w:rsidRDefault="00F17193">
      <w:pPr>
        <w:pStyle w:val="TOC2"/>
        <w:rPr>
          <w:rFonts w:asciiTheme="minorHAnsi" w:eastAsiaTheme="minorEastAsia" w:hAnsiTheme="minorHAnsi" w:cstheme="minorBidi"/>
          <w:noProof/>
          <w:lang w:val="en-AU" w:eastAsia="en-AU"/>
        </w:rPr>
      </w:pPr>
      <w:hyperlink w:anchor="_Toc33700824" w:history="1">
        <w:r w:rsidR="00397993" w:rsidRPr="00D21F7E">
          <w:rPr>
            <w:rStyle w:val="Hyperlink"/>
            <w:noProof/>
          </w:rPr>
          <w:t>Security and National Police Checks</w:t>
        </w:r>
        <w:r w:rsidR="00397993">
          <w:rPr>
            <w:noProof/>
            <w:webHidden/>
          </w:rPr>
          <w:tab/>
        </w:r>
        <w:r w:rsidR="00397993">
          <w:rPr>
            <w:noProof/>
            <w:webHidden/>
          </w:rPr>
          <w:fldChar w:fldCharType="begin"/>
        </w:r>
        <w:r w:rsidR="00397993">
          <w:rPr>
            <w:noProof/>
            <w:webHidden/>
          </w:rPr>
          <w:instrText xml:space="preserve"> PAGEREF _Toc33700824 \h </w:instrText>
        </w:r>
        <w:r w:rsidR="00397993">
          <w:rPr>
            <w:noProof/>
            <w:webHidden/>
          </w:rPr>
        </w:r>
        <w:r w:rsidR="00397993">
          <w:rPr>
            <w:noProof/>
            <w:webHidden/>
          </w:rPr>
          <w:fldChar w:fldCharType="separate"/>
        </w:r>
        <w:r w:rsidR="002D6D99">
          <w:rPr>
            <w:noProof/>
            <w:webHidden/>
          </w:rPr>
          <w:t>4</w:t>
        </w:r>
        <w:r w:rsidR="00397993">
          <w:rPr>
            <w:noProof/>
            <w:webHidden/>
          </w:rPr>
          <w:fldChar w:fldCharType="end"/>
        </w:r>
      </w:hyperlink>
    </w:p>
    <w:p w14:paraId="1FBCE38F" w14:textId="77777777" w:rsidR="00397993" w:rsidRDefault="00F17193">
      <w:pPr>
        <w:pStyle w:val="TOC2"/>
        <w:rPr>
          <w:rFonts w:asciiTheme="minorHAnsi" w:eastAsiaTheme="minorEastAsia" w:hAnsiTheme="minorHAnsi" w:cstheme="minorBidi"/>
          <w:noProof/>
          <w:lang w:val="en-AU" w:eastAsia="en-AU"/>
        </w:rPr>
      </w:pPr>
      <w:hyperlink w:anchor="_Toc33700825" w:history="1">
        <w:r w:rsidR="00397993" w:rsidRPr="00D21F7E">
          <w:rPr>
            <w:rStyle w:val="Hyperlink"/>
            <w:noProof/>
          </w:rPr>
          <w:t>Criminal history and conduct</w:t>
        </w:r>
        <w:r w:rsidR="00397993">
          <w:rPr>
            <w:noProof/>
            <w:webHidden/>
          </w:rPr>
          <w:tab/>
        </w:r>
        <w:r w:rsidR="00397993">
          <w:rPr>
            <w:noProof/>
            <w:webHidden/>
          </w:rPr>
          <w:fldChar w:fldCharType="begin"/>
        </w:r>
        <w:r w:rsidR="00397993">
          <w:rPr>
            <w:noProof/>
            <w:webHidden/>
          </w:rPr>
          <w:instrText xml:space="preserve"> PAGEREF _Toc33700825 \h </w:instrText>
        </w:r>
        <w:r w:rsidR="00397993">
          <w:rPr>
            <w:noProof/>
            <w:webHidden/>
          </w:rPr>
        </w:r>
        <w:r w:rsidR="00397993">
          <w:rPr>
            <w:noProof/>
            <w:webHidden/>
          </w:rPr>
          <w:fldChar w:fldCharType="separate"/>
        </w:r>
        <w:r w:rsidR="002D6D99">
          <w:rPr>
            <w:noProof/>
            <w:webHidden/>
          </w:rPr>
          <w:t>5</w:t>
        </w:r>
        <w:r w:rsidR="00397993">
          <w:rPr>
            <w:noProof/>
            <w:webHidden/>
          </w:rPr>
          <w:fldChar w:fldCharType="end"/>
        </w:r>
      </w:hyperlink>
    </w:p>
    <w:p w14:paraId="2C729E32" w14:textId="77777777" w:rsidR="00397993" w:rsidRDefault="00F17193">
      <w:pPr>
        <w:pStyle w:val="TOC2"/>
        <w:rPr>
          <w:rFonts w:asciiTheme="minorHAnsi" w:eastAsiaTheme="minorEastAsia" w:hAnsiTheme="minorHAnsi" w:cstheme="minorBidi"/>
          <w:noProof/>
          <w:lang w:val="en-AU" w:eastAsia="en-AU"/>
        </w:rPr>
      </w:pPr>
      <w:hyperlink w:anchor="_Toc33700826" w:history="1">
        <w:r w:rsidR="00397993" w:rsidRPr="00D21F7E">
          <w:rPr>
            <w:rStyle w:val="Hyperlink"/>
            <w:noProof/>
          </w:rPr>
          <w:t>Mitigating factors</w:t>
        </w:r>
        <w:r w:rsidR="00397993">
          <w:rPr>
            <w:noProof/>
            <w:webHidden/>
          </w:rPr>
          <w:tab/>
        </w:r>
        <w:r w:rsidR="00397993">
          <w:rPr>
            <w:noProof/>
            <w:webHidden/>
          </w:rPr>
          <w:fldChar w:fldCharType="begin"/>
        </w:r>
        <w:r w:rsidR="00397993">
          <w:rPr>
            <w:noProof/>
            <w:webHidden/>
          </w:rPr>
          <w:instrText xml:space="preserve"> PAGEREF _Toc33700826 \h </w:instrText>
        </w:r>
        <w:r w:rsidR="00397993">
          <w:rPr>
            <w:noProof/>
            <w:webHidden/>
          </w:rPr>
        </w:r>
        <w:r w:rsidR="00397993">
          <w:rPr>
            <w:noProof/>
            <w:webHidden/>
          </w:rPr>
          <w:fldChar w:fldCharType="separate"/>
        </w:r>
        <w:r w:rsidR="002D6D99">
          <w:rPr>
            <w:noProof/>
            <w:webHidden/>
          </w:rPr>
          <w:t>6</w:t>
        </w:r>
        <w:r w:rsidR="00397993">
          <w:rPr>
            <w:noProof/>
            <w:webHidden/>
          </w:rPr>
          <w:fldChar w:fldCharType="end"/>
        </w:r>
      </w:hyperlink>
    </w:p>
    <w:p w14:paraId="442BB550" w14:textId="77777777" w:rsidR="00397993" w:rsidRDefault="00F17193">
      <w:pPr>
        <w:pStyle w:val="TOC2"/>
        <w:rPr>
          <w:rFonts w:asciiTheme="minorHAnsi" w:eastAsiaTheme="minorEastAsia" w:hAnsiTheme="minorHAnsi" w:cstheme="minorBidi"/>
          <w:noProof/>
          <w:lang w:val="en-AU" w:eastAsia="en-AU"/>
        </w:rPr>
      </w:pPr>
      <w:hyperlink w:anchor="_Toc33700827" w:history="1">
        <w:r w:rsidR="00397993" w:rsidRPr="00D21F7E">
          <w:rPr>
            <w:rStyle w:val="Hyperlink"/>
            <w:noProof/>
          </w:rPr>
          <w:t>Health assessment</w:t>
        </w:r>
        <w:r w:rsidR="00397993">
          <w:rPr>
            <w:noProof/>
            <w:webHidden/>
          </w:rPr>
          <w:tab/>
        </w:r>
        <w:r w:rsidR="00397993">
          <w:rPr>
            <w:noProof/>
            <w:webHidden/>
          </w:rPr>
          <w:fldChar w:fldCharType="begin"/>
        </w:r>
        <w:r w:rsidR="00397993">
          <w:rPr>
            <w:noProof/>
            <w:webHidden/>
          </w:rPr>
          <w:instrText xml:space="preserve"> PAGEREF _Toc33700827 \h </w:instrText>
        </w:r>
        <w:r w:rsidR="00397993">
          <w:rPr>
            <w:noProof/>
            <w:webHidden/>
          </w:rPr>
        </w:r>
        <w:r w:rsidR="00397993">
          <w:rPr>
            <w:noProof/>
            <w:webHidden/>
          </w:rPr>
          <w:fldChar w:fldCharType="separate"/>
        </w:r>
        <w:r w:rsidR="002D6D99">
          <w:rPr>
            <w:noProof/>
            <w:webHidden/>
          </w:rPr>
          <w:t>6</w:t>
        </w:r>
        <w:r w:rsidR="00397993">
          <w:rPr>
            <w:noProof/>
            <w:webHidden/>
          </w:rPr>
          <w:fldChar w:fldCharType="end"/>
        </w:r>
      </w:hyperlink>
    </w:p>
    <w:p w14:paraId="5BD78D09" w14:textId="77777777" w:rsidR="00397993" w:rsidRDefault="00F17193">
      <w:pPr>
        <w:pStyle w:val="TOC2"/>
        <w:rPr>
          <w:rFonts w:asciiTheme="minorHAnsi" w:eastAsiaTheme="minorEastAsia" w:hAnsiTheme="minorHAnsi" w:cstheme="minorBidi"/>
          <w:noProof/>
          <w:lang w:val="en-AU" w:eastAsia="en-AU"/>
        </w:rPr>
      </w:pPr>
      <w:hyperlink w:anchor="_Toc33700828" w:history="1">
        <w:r w:rsidR="00397993" w:rsidRPr="00D21F7E">
          <w:rPr>
            <w:rStyle w:val="Hyperlink"/>
            <w:noProof/>
          </w:rPr>
          <w:t>Rotation</w:t>
        </w:r>
        <w:r w:rsidR="00397993">
          <w:rPr>
            <w:noProof/>
            <w:webHidden/>
          </w:rPr>
          <w:tab/>
        </w:r>
        <w:r w:rsidR="00397993">
          <w:rPr>
            <w:noProof/>
            <w:webHidden/>
          </w:rPr>
          <w:fldChar w:fldCharType="begin"/>
        </w:r>
        <w:r w:rsidR="00397993">
          <w:rPr>
            <w:noProof/>
            <w:webHidden/>
          </w:rPr>
          <w:instrText xml:space="preserve"> PAGEREF _Toc33700828 \h </w:instrText>
        </w:r>
        <w:r w:rsidR="00397993">
          <w:rPr>
            <w:noProof/>
            <w:webHidden/>
          </w:rPr>
        </w:r>
        <w:r w:rsidR="00397993">
          <w:rPr>
            <w:noProof/>
            <w:webHidden/>
          </w:rPr>
          <w:fldChar w:fldCharType="separate"/>
        </w:r>
        <w:r w:rsidR="002D6D99">
          <w:rPr>
            <w:noProof/>
            <w:webHidden/>
          </w:rPr>
          <w:t>6</w:t>
        </w:r>
        <w:r w:rsidR="00397993">
          <w:rPr>
            <w:noProof/>
            <w:webHidden/>
          </w:rPr>
          <w:fldChar w:fldCharType="end"/>
        </w:r>
      </w:hyperlink>
    </w:p>
    <w:p w14:paraId="774A7D57" w14:textId="77777777" w:rsidR="00397993" w:rsidRDefault="00F17193">
      <w:pPr>
        <w:pStyle w:val="TOC2"/>
        <w:rPr>
          <w:rFonts w:asciiTheme="minorHAnsi" w:eastAsiaTheme="minorEastAsia" w:hAnsiTheme="minorHAnsi" w:cstheme="minorBidi"/>
          <w:noProof/>
          <w:lang w:val="en-AU" w:eastAsia="en-AU"/>
        </w:rPr>
      </w:pPr>
      <w:hyperlink w:anchor="_Toc33700829" w:history="1">
        <w:r w:rsidR="00397993" w:rsidRPr="00D21F7E">
          <w:rPr>
            <w:rStyle w:val="Hyperlink"/>
            <w:noProof/>
          </w:rPr>
          <w:t>Outside employment</w:t>
        </w:r>
        <w:r w:rsidR="00397993">
          <w:rPr>
            <w:noProof/>
            <w:webHidden/>
          </w:rPr>
          <w:tab/>
        </w:r>
        <w:r w:rsidR="00397993">
          <w:rPr>
            <w:noProof/>
            <w:webHidden/>
          </w:rPr>
          <w:fldChar w:fldCharType="begin"/>
        </w:r>
        <w:r w:rsidR="00397993">
          <w:rPr>
            <w:noProof/>
            <w:webHidden/>
          </w:rPr>
          <w:instrText xml:space="preserve"> PAGEREF _Toc33700829 \h </w:instrText>
        </w:r>
        <w:r w:rsidR="00397993">
          <w:rPr>
            <w:noProof/>
            <w:webHidden/>
          </w:rPr>
        </w:r>
        <w:r w:rsidR="00397993">
          <w:rPr>
            <w:noProof/>
            <w:webHidden/>
          </w:rPr>
          <w:fldChar w:fldCharType="separate"/>
        </w:r>
        <w:r w:rsidR="002D6D99">
          <w:rPr>
            <w:noProof/>
            <w:webHidden/>
          </w:rPr>
          <w:t>6</w:t>
        </w:r>
        <w:r w:rsidR="00397993">
          <w:rPr>
            <w:noProof/>
            <w:webHidden/>
          </w:rPr>
          <w:fldChar w:fldCharType="end"/>
        </w:r>
      </w:hyperlink>
    </w:p>
    <w:p w14:paraId="7FB76218" w14:textId="77777777" w:rsidR="00397993" w:rsidRDefault="00F17193">
      <w:pPr>
        <w:pStyle w:val="TOC1"/>
        <w:rPr>
          <w:rFonts w:asciiTheme="minorHAnsi" w:eastAsiaTheme="minorEastAsia" w:hAnsiTheme="minorHAnsi" w:cstheme="minorBidi"/>
          <w:noProof/>
          <w:lang w:val="en-AU" w:eastAsia="en-AU"/>
        </w:rPr>
      </w:pPr>
      <w:hyperlink w:anchor="_Toc33700830" w:history="1">
        <w:r w:rsidR="00397993" w:rsidRPr="00D21F7E">
          <w:rPr>
            <w:rStyle w:val="Hyperlink"/>
            <w:noProof/>
          </w:rPr>
          <w:t>RecruitAbility scheme</w:t>
        </w:r>
        <w:r w:rsidR="00397993">
          <w:rPr>
            <w:noProof/>
            <w:webHidden/>
          </w:rPr>
          <w:tab/>
        </w:r>
        <w:r w:rsidR="00397993">
          <w:rPr>
            <w:noProof/>
            <w:webHidden/>
          </w:rPr>
          <w:fldChar w:fldCharType="begin"/>
        </w:r>
        <w:r w:rsidR="00397993">
          <w:rPr>
            <w:noProof/>
            <w:webHidden/>
          </w:rPr>
          <w:instrText xml:space="preserve"> PAGEREF _Toc33700830 \h </w:instrText>
        </w:r>
        <w:r w:rsidR="00397993">
          <w:rPr>
            <w:noProof/>
            <w:webHidden/>
          </w:rPr>
        </w:r>
        <w:r w:rsidR="00397993">
          <w:rPr>
            <w:noProof/>
            <w:webHidden/>
          </w:rPr>
          <w:fldChar w:fldCharType="separate"/>
        </w:r>
        <w:r w:rsidR="002D6D99">
          <w:rPr>
            <w:noProof/>
            <w:webHidden/>
          </w:rPr>
          <w:t>6</w:t>
        </w:r>
        <w:r w:rsidR="00397993">
          <w:rPr>
            <w:noProof/>
            <w:webHidden/>
          </w:rPr>
          <w:fldChar w:fldCharType="end"/>
        </w:r>
      </w:hyperlink>
    </w:p>
    <w:p w14:paraId="393B3DB6" w14:textId="77777777" w:rsidR="00397993" w:rsidRDefault="00F17193">
      <w:pPr>
        <w:pStyle w:val="TOC2"/>
        <w:rPr>
          <w:rFonts w:asciiTheme="minorHAnsi" w:eastAsiaTheme="minorEastAsia" w:hAnsiTheme="minorHAnsi" w:cstheme="minorBidi"/>
          <w:noProof/>
          <w:lang w:val="en-AU" w:eastAsia="en-AU"/>
        </w:rPr>
      </w:pPr>
      <w:hyperlink w:anchor="_Toc33700831" w:history="1">
        <w:r w:rsidR="00397993" w:rsidRPr="00D21F7E">
          <w:rPr>
            <w:rStyle w:val="Hyperlink"/>
            <w:noProof/>
          </w:rPr>
          <w:t>How do I opt into RecruitAbility?</w:t>
        </w:r>
        <w:r w:rsidR="00397993">
          <w:rPr>
            <w:noProof/>
            <w:webHidden/>
          </w:rPr>
          <w:tab/>
        </w:r>
        <w:r w:rsidR="00397993">
          <w:rPr>
            <w:noProof/>
            <w:webHidden/>
          </w:rPr>
          <w:fldChar w:fldCharType="begin"/>
        </w:r>
        <w:r w:rsidR="00397993">
          <w:rPr>
            <w:noProof/>
            <w:webHidden/>
          </w:rPr>
          <w:instrText xml:space="preserve"> PAGEREF _Toc33700831 \h </w:instrText>
        </w:r>
        <w:r w:rsidR="00397993">
          <w:rPr>
            <w:noProof/>
            <w:webHidden/>
          </w:rPr>
        </w:r>
        <w:r w:rsidR="00397993">
          <w:rPr>
            <w:noProof/>
            <w:webHidden/>
          </w:rPr>
          <w:fldChar w:fldCharType="separate"/>
        </w:r>
        <w:r w:rsidR="002D6D99">
          <w:rPr>
            <w:noProof/>
            <w:webHidden/>
          </w:rPr>
          <w:t>7</w:t>
        </w:r>
        <w:r w:rsidR="00397993">
          <w:rPr>
            <w:noProof/>
            <w:webHidden/>
          </w:rPr>
          <w:fldChar w:fldCharType="end"/>
        </w:r>
      </w:hyperlink>
    </w:p>
    <w:p w14:paraId="30BB46DC" w14:textId="77777777" w:rsidR="00397993" w:rsidRDefault="00F17193">
      <w:pPr>
        <w:pStyle w:val="TOC1"/>
        <w:rPr>
          <w:rFonts w:asciiTheme="minorHAnsi" w:eastAsiaTheme="minorEastAsia" w:hAnsiTheme="minorHAnsi" w:cstheme="minorBidi"/>
          <w:noProof/>
          <w:lang w:val="en-AU" w:eastAsia="en-AU"/>
        </w:rPr>
      </w:pPr>
      <w:hyperlink w:anchor="_Toc33700832" w:history="1">
        <w:r w:rsidR="00397993" w:rsidRPr="00D21F7E">
          <w:rPr>
            <w:rStyle w:val="Hyperlink"/>
            <w:noProof/>
          </w:rPr>
          <w:t>Reasonable adjustments</w:t>
        </w:r>
        <w:r w:rsidR="00397993">
          <w:rPr>
            <w:noProof/>
            <w:webHidden/>
          </w:rPr>
          <w:tab/>
        </w:r>
        <w:r w:rsidR="00397993">
          <w:rPr>
            <w:noProof/>
            <w:webHidden/>
          </w:rPr>
          <w:fldChar w:fldCharType="begin"/>
        </w:r>
        <w:r w:rsidR="00397993">
          <w:rPr>
            <w:noProof/>
            <w:webHidden/>
          </w:rPr>
          <w:instrText xml:space="preserve"> PAGEREF _Toc33700832 \h </w:instrText>
        </w:r>
        <w:r w:rsidR="00397993">
          <w:rPr>
            <w:noProof/>
            <w:webHidden/>
          </w:rPr>
        </w:r>
        <w:r w:rsidR="00397993">
          <w:rPr>
            <w:noProof/>
            <w:webHidden/>
          </w:rPr>
          <w:fldChar w:fldCharType="separate"/>
        </w:r>
        <w:r w:rsidR="002D6D99">
          <w:rPr>
            <w:noProof/>
            <w:webHidden/>
          </w:rPr>
          <w:t>7</w:t>
        </w:r>
        <w:r w:rsidR="00397993">
          <w:rPr>
            <w:noProof/>
            <w:webHidden/>
          </w:rPr>
          <w:fldChar w:fldCharType="end"/>
        </w:r>
      </w:hyperlink>
    </w:p>
    <w:p w14:paraId="1B9A344D" w14:textId="77777777" w:rsidR="00397993" w:rsidRDefault="00F17193">
      <w:pPr>
        <w:pStyle w:val="TOC1"/>
        <w:rPr>
          <w:rFonts w:asciiTheme="minorHAnsi" w:eastAsiaTheme="minorEastAsia" w:hAnsiTheme="minorHAnsi" w:cstheme="minorBidi"/>
          <w:noProof/>
          <w:lang w:val="en-AU" w:eastAsia="en-AU"/>
        </w:rPr>
      </w:pPr>
      <w:hyperlink w:anchor="_Toc33700833" w:history="1">
        <w:r w:rsidR="00397993" w:rsidRPr="00D21F7E">
          <w:rPr>
            <w:rStyle w:val="Hyperlink"/>
            <w:noProof/>
          </w:rPr>
          <w:t>Working environment</w:t>
        </w:r>
        <w:r w:rsidR="00397993">
          <w:rPr>
            <w:noProof/>
            <w:webHidden/>
          </w:rPr>
          <w:tab/>
        </w:r>
        <w:r w:rsidR="00397993">
          <w:rPr>
            <w:noProof/>
            <w:webHidden/>
          </w:rPr>
          <w:fldChar w:fldCharType="begin"/>
        </w:r>
        <w:r w:rsidR="00397993">
          <w:rPr>
            <w:noProof/>
            <w:webHidden/>
          </w:rPr>
          <w:instrText xml:space="preserve"> PAGEREF _Toc33700833 \h </w:instrText>
        </w:r>
        <w:r w:rsidR="00397993">
          <w:rPr>
            <w:noProof/>
            <w:webHidden/>
          </w:rPr>
        </w:r>
        <w:r w:rsidR="00397993">
          <w:rPr>
            <w:noProof/>
            <w:webHidden/>
          </w:rPr>
          <w:fldChar w:fldCharType="separate"/>
        </w:r>
        <w:r w:rsidR="002D6D99">
          <w:rPr>
            <w:noProof/>
            <w:webHidden/>
          </w:rPr>
          <w:t>7</w:t>
        </w:r>
        <w:r w:rsidR="00397993">
          <w:rPr>
            <w:noProof/>
            <w:webHidden/>
          </w:rPr>
          <w:fldChar w:fldCharType="end"/>
        </w:r>
      </w:hyperlink>
    </w:p>
    <w:p w14:paraId="05D5214D" w14:textId="77777777" w:rsidR="00397993" w:rsidRDefault="00F17193">
      <w:pPr>
        <w:pStyle w:val="TOC1"/>
        <w:rPr>
          <w:rFonts w:asciiTheme="minorHAnsi" w:eastAsiaTheme="minorEastAsia" w:hAnsiTheme="minorHAnsi" w:cstheme="minorBidi"/>
          <w:noProof/>
          <w:lang w:val="en-AU" w:eastAsia="en-AU"/>
        </w:rPr>
      </w:pPr>
      <w:hyperlink w:anchor="_Toc33700834" w:history="1">
        <w:r w:rsidR="00397993" w:rsidRPr="00D21F7E">
          <w:rPr>
            <w:rStyle w:val="Hyperlink"/>
            <w:noProof/>
          </w:rPr>
          <w:t>Behaviour and conduct in the workplace</w:t>
        </w:r>
        <w:r w:rsidR="00397993">
          <w:rPr>
            <w:noProof/>
            <w:webHidden/>
          </w:rPr>
          <w:tab/>
        </w:r>
        <w:r w:rsidR="00397993">
          <w:rPr>
            <w:noProof/>
            <w:webHidden/>
          </w:rPr>
          <w:fldChar w:fldCharType="begin"/>
        </w:r>
        <w:r w:rsidR="00397993">
          <w:rPr>
            <w:noProof/>
            <w:webHidden/>
          </w:rPr>
          <w:instrText xml:space="preserve"> PAGEREF _Toc33700834 \h </w:instrText>
        </w:r>
        <w:r w:rsidR="00397993">
          <w:rPr>
            <w:noProof/>
            <w:webHidden/>
          </w:rPr>
        </w:r>
        <w:r w:rsidR="00397993">
          <w:rPr>
            <w:noProof/>
            <w:webHidden/>
          </w:rPr>
          <w:fldChar w:fldCharType="separate"/>
        </w:r>
        <w:r w:rsidR="002D6D99">
          <w:rPr>
            <w:noProof/>
            <w:webHidden/>
          </w:rPr>
          <w:t>7</w:t>
        </w:r>
        <w:r w:rsidR="00397993">
          <w:rPr>
            <w:noProof/>
            <w:webHidden/>
          </w:rPr>
          <w:fldChar w:fldCharType="end"/>
        </w:r>
      </w:hyperlink>
    </w:p>
    <w:p w14:paraId="5C6B4AB5" w14:textId="77777777" w:rsidR="00397993" w:rsidRDefault="00F17193">
      <w:pPr>
        <w:pStyle w:val="TOC1"/>
        <w:rPr>
          <w:rFonts w:asciiTheme="minorHAnsi" w:eastAsiaTheme="minorEastAsia" w:hAnsiTheme="minorHAnsi" w:cstheme="minorBidi"/>
          <w:noProof/>
          <w:lang w:val="en-AU" w:eastAsia="en-AU"/>
        </w:rPr>
      </w:pPr>
      <w:hyperlink w:anchor="_Toc33700835" w:history="1">
        <w:r w:rsidR="00397993" w:rsidRPr="00D21F7E">
          <w:rPr>
            <w:rStyle w:val="Hyperlink"/>
            <w:noProof/>
          </w:rPr>
          <w:t>Work health and safety</w:t>
        </w:r>
        <w:r w:rsidR="00397993">
          <w:rPr>
            <w:noProof/>
            <w:webHidden/>
          </w:rPr>
          <w:tab/>
        </w:r>
        <w:r w:rsidR="00397993">
          <w:rPr>
            <w:noProof/>
            <w:webHidden/>
          </w:rPr>
          <w:fldChar w:fldCharType="begin"/>
        </w:r>
        <w:r w:rsidR="00397993">
          <w:rPr>
            <w:noProof/>
            <w:webHidden/>
          </w:rPr>
          <w:instrText xml:space="preserve"> PAGEREF _Toc33700835 \h </w:instrText>
        </w:r>
        <w:r w:rsidR="00397993">
          <w:rPr>
            <w:noProof/>
            <w:webHidden/>
          </w:rPr>
        </w:r>
        <w:r w:rsidR="00397993">
          <w:rPr>
            <w:noProof/>
            <w:webHidden/>
          </w:rPr>
          <w:fldChar w:fldCharType="separate"/>
        </w:r>
        <w:r w:rsidR="002D6D99">
          <w:rPr>
            <w:noProof/>
            <w:webHidden/>
          </w:rPr>
          <w:t>8</w:t>
        </w:r>
        <w:r w:rsidR="00397993">
          <w:rPr>
            <w:noProof/>
            <w:webHidden/>
          </w:rPr>
          <w:fldChar w:fldCharType="end"/>
        </w:r>
      </w:hyperlink>
    </w:p>
    <w:p w14:paraId="1B1DE363" w14:textId="77777777" w:rsidR="00397993" w:rsidRDefault="00F17193">
      <w:pPr>
        <w:pStyle w:val="TOC1"/>
        <w:rPr>
          <w:rFonts w:asciiTheme="minorHAnsi" w:eastAsiaTheme="minorEastAsia" w:hAnsiTheme="minorHAnsi" w:cstheme="minorBidi"/>
          <w:noProof/>
          <w:lang w:val="en-AU" w:eastAsia="en-AU"/>
        </w:rPr>
      </w:pPr>
      <w:hyperlink w:anchor="_Toc33700836" w:history="1">
        <w:r w:rsidR="00397993" w:rsidRPr="00D21F7E">
          <w:rPr>
            <w:rStyle w:val="Hyperlink"/>
            <w:noProof/>
          </w:rPr>
          <w:t>Review of promotion decisions</w:t>
        </w:r>
        <w:r w:rsidR="00397993">
          <w:rPr>
            <w:noProof/>
            <w:webHidden/>
          </w:rPr>
          <w:tab/>
        </w:r>
        <w:r w:rsidR="00397993">
          <w:rPr>
            <w:noProof/>
            <w:webHidden/>
          </w:rPr>
          <w:fldChar w:fldCharType="begin"/>
        </w:r>
        <w:r w:rsidR="00397993">
          <w:rPr>
            <w:noProof/>
            <w:webHidden/>
          </w:rPr>
          <w:instrText xml:space="preserve"> PAGEREF _Toc33700836 \h </w:instrText>
        </w:r>
        <w:r w:rsidR="00397993">
          <w:rPr>
            <w:noProof/>
            <w:webHidden/>
          </w:rPr>
        </w:r>
        <w:r w:rsidR="00397993">
          <w:rPr>
            <w:noProof/>
            <w:webHidden/>
          </w:rPr>
          <w:fldChar w:fldCharType="separate"/>
        </w:r>
        <w:r w:rsidR="002D6D99">
          <w:rPr>
            <w:noProof/>
            <w:webHidden/>
          </w:rPr>
          <w:t>8</w:t>
        </w:r>
        <w:r w:rsidR="00397993">
          <w:rPr>
            <w:noProof/>
            <w:webHidden/>
          </w:rPr>
          <w:fldChar w:fldCharType="end"/>
        </w:r>
      </w:hyperlink>
    </w:p>
    <w:p w14:paraId="64A91A70" w14:textId="77777777" w:rsidR="00397993" w:rsidRDefault="00F17193">
      <w:pPr>
        <w:pStyle w:val="TOC1"/>
        <w:rPr>
          <w:rFonts w:asciiTheme="minorHAnsi" w:eastAsiaTheme="minorEastAsia" w:hAnsiTheme="minorHAnsi" w:cstheme="minorBidi"/>
          <w:noProof/>
          <w:lang w:val="en-AU" w:eastAsia="en-AU"/>
        </w:rPr>
      </w:pPr>
      <w:hyperlink w:anchor="_Toc33700837" w:history="1">
        <w:r w:rsidR="00397993" w:rsidRPr="00D21F7E">
          <w:rPr>
            <w:rStyle w:val="Hyperlink"/>
            <w:noProof/>
          </w:rPr>
          <w:t>Drug and alcohol guidelines</w:t>
        </w:r>
        <w:r w:rsidR="00397993">
          <w:rPr>
            <w:noProof/>
            <w:webHidden/>
          </w:rPr>
          <w:tab/>
        </w:r>
        <w:r w:rsidR="00397993">
          <w:rPr>
            <w:noProof/>
            <w:webHidden/>
          </w:rPr>
          <w:fldChar w:fldCharType="begin"/>
        </w:r>
        <w:r w:rsidR="00397993">
          <w:rPr>
            <w:noProof/>
            <w:webHidden/>
          </w:rPr>
          <w:instrText xml:space="preserve"> PAGEREF _Toc33700837 \h </w:instrText>
        </w:r>
        <w:r w:rsidR="00397993">
          <w:rPr>
            <w:noProof/>
            <w:webHidden/>
          </w:rPr>
        </w:r>
        <w:r w:rsidR="00397993">
          <w:rPr>
            <w:noProof/>
            <w:webHidden/>
          </w:rPr>
          <w:fldChar w:fldCharType="separate"/>
        </w:r>
        <w:r w:rsidR="002D6D99">
          <w:rPr>
            <w:noProof/>
            <w:webHidden/>
          </w:rPr>
          <w:t>8</w:t>
        </w:r>
        <w:r w:rsidR="00397993">
          <w:rPr>
            <w:noProof/>
            <w:webHidden/>
          </w:rPr>
          <w:fldChar w:fldCharType="end"/>
        </w:r>
      </w:hyperlink>
    </w:p>
    <w:p w14:paraId="466833D9" w14:textId="77777777" w:rsidR="00397993" w:rsidRDefault="00F17193">
      <w:pPr>
        <w:pStyle w:val="TOC2"/>
        <w:rPr>
          <w:rFonts w:asciiTheme="minorHAnsi" w:eastAsiaTheme="minorEastAsia" w:hAnsiTheme="minorHAnsi" w:cstheme="minorBidi"/>
          <w:noProof/>
          <w:lang w:val="en-AU" w:eastAsia="en-AU"/>
        </w:rPr>
      </w:pPr>
      <w:hyperlink w:anchor="_Toc33700838" w:history="1">
        <w:r w:rsidR="00397993" w:rsidRPr="00D21F7E">
          <w:rPr>
            <w:rStyle w:val="Hyperlink"/>
            <w:noProof/>
          </w:rPr>
          <w:t>Alcohol and other substances</w:t>
        </w:r>
        <w:r w:rsidR="00397993">
          <w:rPr>
            <w:noProof/>
            <w:webHidden/>
          </w:rPr>
          <w:tab/>
        </w:r>
        <w:r w:rsidR="00397993">
          <w:rPr>
            <w:noProof/>
            <w:webHidden/>
          </w:rPr>
          <w:fldChar w:fldCharType="begin"/>
        </w:r>
        <w:r w:rsidR="00397993">
          <w:rPr>
            <w:noProof/>
            <w:webHidden/>
          </w:rPr>
          <w:instrText xml:space="preserve"> PAGEREF _Toc33700838 \h </w:instrText>
        </w:r>
        <w:r w:rsidR="00397993">
          <w:rPr>
            <w:noProof/>
            <w:webHidden/>
          </w:rPr>
        </w:r>
        <w:r w:rsidR="00397993">
          <w:rPr>
            <w:noProof/>
            <w:webHidden/>
          </w:rPr>
          <w:fldChar w:fldCharType="separate"/>
        </w:r>
        <w:r w:rsidR="002D6D99">
          <w:rPr>
            <w:noProof/>
            <w:webHidden/>
          </w:rPr>
          <w:t>8</w:t>
        </w:r>
        <w:r w:rsidR="00397993">
          <w:rPr>
            <w:noProof/>
            <w:webHidden/>
          </w:rPr>
          <w:fldChar w:fldCharType="end"/>
        </w:r>
      </w:hyperlink>
    </w:p>
    <w:p w14:paraId="2699DAA9" w14:textId="77777777" w:rsidR="00397993" w:rsidRDefault="00F17193">
      <w:pPr>
        <w:pStyle w:val="TOC2"/>
        <w:rPr>
          <w:rFonts w:asciiTheme="minorHAnsi" w:eastAsiaTheme="minorEastAsia" w:hAnsiTheme="minorHAnsi" w:cstheme="minorBidi"/>
          <w:noProof/>
          <w:lang w:val="en-AU" w:eastAsia="en-AU"/>
        </w:rPr>
      </w:pPr>
      <w:hyperlink w:anchor="_Toc33700839" w:history="1">
        <w:r w:rsidR="00397993" w:rsidRPr="00D21F7E">
          <w:rPr>
            <w:rStyle w:val="Hyperlink"/>
            <w:noProof/>
          </w:rPr>
          <w:t>Illegal substances</w:t>
        </w:r>
        <w:r w:rsidR="00397993">
          <w:rPr>
            <w:noProof/>
            <w:webHidden/>
          </w:rPr>
          <w:tab/>
        </w:r>
        <w:r w:rsidR="00397993">
          <w:rPr>
            <w:noProof/>
            <w:webHidden/>
          </w:rPr>
          <w:fldChar w:fldCharType="begin"/>
        </w:r>
        <w:r w:rsidR="00397993">
          <w:rPr>
            <w:noProof/>
            <w:webHidden/>
          </w:rPr>
          <w:instrText xml:space="preserve"> PAGEREF _Toc33700839 \h </w:instrText>
        </w:r>
        <w:r w:rsidR="00397993">
          <w:rPr>
            <w:noProof/>
            <w:webHidden/>
          </w:rPr>
        </w:r>
        <w:r w:rsidR="00397993">
          <w:rPr>
            <w:noProof/>
            <w:webHidden/>
          </w:rPr>
          <w:fldChar w:fldCharType="separate"/>
        </w:r>
        <w:r w:rsidR="002D6D99">
          <w:rPr>
            <w:noProof/>
            <w:webHidden/>
          </w:rPr>
          <w:t>9</w:t>
        </w:r>
        <w:r w:rsidR="00397993">
          <w:rPr>
            <w:noProof/>
            <w:webHidden/>
          </w:rPr>
          <w:fldChar w:fldCharType="end"/>
        </w:r>
      </w:hyperlink>
    </w:p>
    <w:p w14:paraId="77663C2A" w14:textId="77777777" w:rsidR="00397993" w:rsidRDefault="00F17193">
      <w:pPr>
        <w:pStyle w:val="TOC2"/>
        <w:rPr>
          <w:rFonts w:asciiTheme="minorHAnsi" w:eastAsiaTheme="minorEastAsia" w:hAnsiTheme="minorHAnsi" w:cstheme="minorBidi"/>
          <w:noProof/>
          <w:lang w:val="en-AU" w:eastAsia="en-AU"/>
        </w:rPr>
      </w:pPr>
      <w:hyperlink w:anchor="_Toc33700840" w:history="1">
        <w:r w:rsidR="00397993" w:rsidRPr="00D21F7E">
          <w:rPr>
            <w:rStyle w:val="Hyperlink"/>
            <w:noProof/>
          </w:rPr>
          <w:t>Smoking</w:t>
        </w:r>
        <w:r w:rsidR="00397993">
          <w:rPr>
            <w:noProof/>
            <w:webHidden/>
          </w:rPr>
          <w:tab/>
        </w:r>
        <w:r w:rsidR="00397993">
          <w:rPr>
            <w:noProof/>
            <w:webHidden/>
          </w:rPr>
          <w:fldChar w:fldCharType="begin"/>
        </w:r>
        <w:r w:rsidR="00397993">
          <w:rPr>
            <w:noProof/>
            <w:webHidden/>
          </w:rPr>
          <w:instrText xml:space="preserve"> PAGEREF _Toc33700840 \h </w:instrText>
        </w:r>
        <w:r w:rsidR="00397993">
          <w:rPr>
            <w:noProof/>
            <w:webHidden/>
          </w:rPr>
        </w:r>
        <w:r w:rsidR="00397993">
          <w:rPr>
            <w:noProof/>
            <w:webHidden/>
          </w:rPr>
          <w:fldChar w:fldCharType="separate"/>
        </w:r>
        <w:r w:rsidR="002D6D99">
          <w:rPr>
            <w:noProof/>
            <w:webHidden/>
          </w:rPr>
          <w:t>9</w:t>
        </w:r>
        <w:r w:rsidR="00397993">
          <w:rPr>
            <w:noProof/>
            <w:webHidden/>
          </w:rPr>
          <w:fldChar w:fldCharType="end"/>
        </w:r>
      </w:hyperlink>
    </w:p>
    <w:p w14:paraId="281F0EFF" w14:textId="77777777" w:rsidR="00397993" w:rsidRDefault="00F17193">
      <w:pPr>
        <w:pStyle w:val="TOC1"/>
        <w:rPr>
          <w:rFonts w:asciiTheme="minorHAnsi" w:eastAsiaTheme="minorEastAsia" w:hAnsiTheme="minorHAnsi" w:cstheme="minorBidi"/>
          <w:noProof/>
          <w:lang w:val="en-AU" w:eastAsia="en-AU"/>
        </w:rPr>
      </w:pPr>
      <w:hyperlink w:anchor="_Toc33700841" w:history="1">
        <w:r w:rsidR="00397993" w:rsidRPr="00D21F7E">
          <w:rPr>
            <w:rStyle w:val="Hyperlink"/>
            <w:noProof/>
          </w:rPr>
          <w:t>Further information</w:t>
        </w:r>
        <w:r w:rsidR="00397993">
          <w:rPr>
            <w:noProof/>
            <w:webHidden/>
          </w:rPr>
          <w:tab/>
        </w:r>
        <w:r w:rsidR="00397993">
          <w:rPr>
            <w:noProof/>
            <w:webHidden/>
          </w:rPr>
          <w:fldChar w:fldCharType="begin"/>
        </w:r>
        <w:r w:rsidR="00397993">
          <w:rPr>
            <w:noProof/>
            <w:webHidden/>
          </w:rPr>
          <w:instrText xml:space="preserve"> PAGEREF _Toc33700841 \h </w:instrText>
        </w:r>
        <w:r w:rsidR="00397993">
          <w:rPr>
            <w:noProof/>
            <w:webHidden/>
          </w:rPr>
        </w:r>
        <w:r w:rsidR="00397993">
          <w:rPr>
            <w:noProof/>
            <w:webHidden/>
          </w:rPr>
          <w:fldChar w:fldCharType="separate"/>
        </w:r>
        <w:r w:rsidR="002D6D99">
          <w:rPr>
            <w:noProof/>
            <w:webHidden/>
          </w:rPr>
          <w:t>9</w:t>
        </w:r>
        <w:r w:rsidR="00397993">
          <w:rPr>
            <w:noProof/>
            <w:webHidden/>
          </w:rPr>
          <w:fldChar w:fldCharType="end"/>
        </w:r>
      </w:hyperlink>
    </w:p>
    <w:p w14:paraId="4A8F0A4D" w14:textId="77777777" w:rsidR="00B91C9B" w:rsidRDefault="00C426B5" w:rsidP="00C757C0">
      <w:pPr>
        <w:pStyle w:val="Heading2"/>
        <w:spacing w:before="0"/>
        <w:rPr>
          <w:lang w:val="en-US"/>
        </w:rPr>
      </w:pPr>
      <w:r>
        <w:rPr>
          <w:lang w:val="en-US"/>
        </w:rPr>
        <w:fldChar w:fldCharType="end"/>
      </w:r>
    </w:p>
    <w:p w14:paraId="6C8B189E" w14:textId="77777777" w:rsidR="00B91C9B" w:rsidRDefault="00B91C9B">
      <w:pPr>
        <w:spacing w:before="0" w:after="0"/>
        <w:rPr>
          <w:rFonts w:eastAsia="Times New Roman"/>
          <w:b/>
          <w:bCs/>
          <w:sz w:val="36"/>
          <w:szCs w:val="26"/>
          <w:lang w:val="en-US"/>
        </w:rPr>
      </w:pPr>
      <w:r>
        <w:rPr>
          <w:lang w:val="en-US"/>
        </w:rPr>
        <w:br w:type="page"/>
      </w:r>
    </w:p>
    <w:p w14:paraId="2F3C4DC6" w14:textId="77777777" w:rsidR="00281921" w:rsidRPr="00177251" w:rsidRDefault="009D4CEB" w:rsidP="00C757C0">
      <w:pPr>
        <w:pStyle w:val="Heading2"/>
        <w:spacing w:before="0"/>
        <w:rPr>
          <w:highlight w:val="yellow"/>
        </w:rPr>
      </w:pPr>
      <w:bookmarkStart w:id="0" w:name="_Toc33700815"/>
      <w:r>
        <w:lastRenderedPageBreak/>
        <w:t>Introduction</w:t>
      </w:r>
      <w:bookmarkEnd w:id="0"/>
    </w:p>
    <w:p w14:paraId="37807FD2" w14:textId="77777777" w:rsidR="009D4CEB" w:rsidRPr="009D4CEB" w:rsidRDefault="009D4CEB" w:rsidP="00C757C0">
      <w:pPr>
        <w:pStyle w:val="BodyText"/>
        <w:spacing w:before="120"/>
      </w:pPr>
      <w:r w:rsidRPr="009D4CEB">
        <w:t>Please read this information carefully before preparing and submitting an application.</w:t>
      </w:r>
    </w:p>
    <w:p w14:paraId="57B45B6D" w14:textId="77777777" w:rsidR="009D4CEB" w:rsidRPr="009D4CEB" w:rsidRDefault="009D4CEB" w:rsidP="009D4CEB">
      <w:pPr>
        <w:pStyle w:val="BodyText"/>
      </w:pPr>
      <w:r w:rsidRPr="009D4CEB">
        <w:t>This information pack provides useful material regarding the role that you are applying for and further advice to guide you with your application.</w:t>
      </w:r>
    </w:p>
    <w:p w14:paraId="3D245105" w14:textId="77777777" w:rsidR="00281921" w:rsidRDefault="009D4CEB" w:rsidP="009D4CEB">
      <w:pPr>
        <w:pStyle w:val="BodyText"/>
      </w:pPr>
      <w:r w:rsidRPr="009D4CEB">
        <w:t>Should you require further information</w:t>
      </w:r>
      <w:r w:rsidR="00C757C0">
        <w:t>,</w:t>
      </w:r>
      <w:r w:rsidRPr="009D4CEB">
        <w:t xml:space="preserve"> please call the contact officer assigned to this </w:t>
      </w:r>
      <w:r w:rsidR="00D74CCB">
        <w:t>advertisement</w:t>
      </w:r>
      <w:r w:rsidRPr="009D4CEB">
        <w:t>.</w:t>
      </w:r>
    </w:p>
    <w:p w14:paraId="3545004A" w14:textId="77777777" w:rsidR="00D146A7" w:rsidRPr="00C757C0" w:rsidRDefault="007E581C" w:rsidP="00D146A7">
      <w:pPr>
        <w:pStyle w:val="Heading2"/>
      </w:pPr>
      <w:bookmarkStart w:id="1" w:name="_Toc33700816"/>
      <w:r>
        <w:t xml:space="preserve">Inclusion and </w:t>
      </w:r>
      <w:r w:rsidR="00D146A7">
        <w:t>Diversity</w:t>
      </w:r>
      <w:bookmarkEnd w:id="1"/>
    </w:p>
    <w:p w14:paraId="5B97DA9C" w14:textId="77777777" w:rsidR="00CD46FE" w:rsidRDefault="00CD46FE" w:rsidP="00CD46FE">
      <w:pPr>
        <w:pStyle w:val="BodyText"/>
      </w:pPr>
      <w:r>
        <w:t>The department</w:t>
      </w:r>
      <w:r w:rsidRPr="00C757C0">
        <w:t xml:space="preserve"> supports inclusiveness and encourages all employees regardless of their gender, cultural background, disability, sexual orientation, or age to bring their authentic self to work to achieve their full potential.</w:t>
      </w:r>
    </w:p>
    <w:p w14:paraId="6BAA8695" w14:textId="77777777" w:rsidR="00CD46FE" w:rsidRDefault="00CD46FE" w:rsidP="00CD46FE">
      <w:pPr>
        <w:pStyle w:val="BodyText"/>
      </w:pPr>
      <w:r w:rsidRPr="00417F0C">
        <w:t xml:space="preserve">Our vision is to foster a workplace where employees feel included, valued, and that they can contribute and participate fully at work. We embrace the variety of experiences, </w:t>
      </w:r>
      <w:proofErr w:type="gramStart"/>
      <w:r w:rsidRPr="00417F0C">
        <w:t>skills</w:t>
      </w:r>
      <w:proofErr w:type="gramEnd"/>
      <w:r w:rsidRPr="00417F0C">
        <w:t xml:space="preserve"> and perspectives that people bring to the workplace and harness these to achieve our objectives.</w:t>
      </w:r>
    </w:p>
    <w:p w14:paraId="07FA0243" w14:textId="77777777" w:rsidR="00CD46FE" w:rsidRDefault="00CD46FE" w:rsidP="00CD46FE">
      <w:pPr>
        <w:pStyle w:val="BodyText"/>
      </w:pPr>
      <w:r>
        <w:t>We are a proud to be a gold member of the Australian Network on Disability and a bronze Australian Workplace Equality (LGBTQ inclusion) employer and member of Pride in Diversity. The department is also proud to have been officially granted stretch status by Reconciliation Australian for our Reconciliation Action Plan (RAP).</w:t>
      </w:r>
    </w:p>
    <w:p w14:paraId="1D3568D5" w14:textId="77777777" w:rsidR="00CD46FE" w:rsidRDefault="00CD46FE" w:rsidP="00CD46FE">
      <w:pPr>
        <w:pStyle w:val="BodyText"/>
      </w:pPr>
      <w:r>
        <w:t>The department has a range of strategies and initiatives to embed diversity and inclusion, including the following employee networks:</w:t>
      </w:r>
    </w:p>
    <w:p w14:paraId="25037877" w14:textId="77777777" w:rsidR="00CD46FE" w:rsidRDefault="00CD46FE" w:rsidP="00CD46FE">
      <w:pPr>
        <w:pStyle w:val="ListBullet"/>
        <w:numPr>
          <w:ilvl w:val="0"/>
          <w:numId w:val="17"/>
        </w:numPr>
      </w:pPr>
      <w:r>
        <w:t xml:space="preserve">Indigenous Staff Network </w:t>
      </w:r>
    </w:p>
    <w:p w14:paraId="113132D8" w14:textId="77777777" w:rsidR="00CD46FE" w:rsidRDefault="00CD46FE" w:rsidP="00CD46FE">
      <w:pPr>
        <w:pStyle w:val="ListBullet"/>
        <w:numPr>
          <w:ilvl w:val="0"/>
          <w:numId w:val="17"/>
        </w:numPr>
      </w:pPr>
      <w:r>
        <w:t>Culturally and Linguistically Diverse Employee Network</w:t>
      </w:r>
    </w:p>
    <w:p w14:paraId="27783221" w14:textId="77777777" w:rsidR="00CD46FE" w:rsidRDefault="00CD46FE" w:rsidP="00CD46FE">
      <w:pPr>
        <w:pStyle w:val="ListBullet"/>
        <w:numPr>
          <w:ilvl w:val="0"/>
          <w:numId w:val="17"/>
        </w:numPr>
      </w:pPr>
      <w:r>
        <w:t>Care and Ability Network</w:t>
      </w:r>
    </w:p>
    <w:p w14:paraId="4927F587" w14:textId="77777777" w:rsidR="00CD46FE" w:rsidRDefault="00CD46FE" w:rsidP="00CD46FE">
      <w:pPr>
        <w:pStyle w:val="ListBullet"/>
        <w:numPr>
          <w:ilvl w:val="0"/>
          <w:numId w:val="17"/>
        </w:numPr>
      </w:pPr>
      <w:r>
        <w:t>LGBTIQ Pride Network</w:t>
      </w:r>
    </w:p>
    <w:p w14:paraId="1D031835" w14:textId="77777777" w:rsidR="00CD46FE" w:rsidRDefault="00CD46FE" w:rsidP="00CD46FE">
      <w:pPr>
        <w:pStyle w:val="ListBullet"/>
        <w:numPr>
          <w:ilvl w:val="0"/>
          <w:numId w:val="17"/>
        </w:numPr>
        <w:spacing w:before="0" w:after="0"/>
        <w:ind w:left="714" w:hanging="357"/>
      </w:pPr>
      <w:r>
        <w:t>Gender Equity Network</w:t>
      </w:r>
    </w:p>
    <w:p w14:paraId="1AC46CC4" w14:textId="77777777" w:rsidR="00CD46FE" w:rsidRDefault="00CD46FE" w:rsidP="00CD46FE">
      <w:pPr>
        <w:pStyle w:val="ListBullet"/>
        <w:numPr>
          <w:ilvl w:val="0"/>
          <w:numId w:val="17"/>
        </w:numPr>
        <w:spacing w:before="0" w:after="0"/>
        <w:ind w:left="714" w:hanging="357"/>
      </w:pPr>
      <w:r>
        <w:t xml:space="preserve">Mental Health Awareness Network </w:t>
      </w:r>
    </w:p>
    <w:p w14:paraId="7C8D67ED" w14:textId="77777777" w:rsidR="00CD46FE" w:rsidRDefault="00CD46FE" w:rsidP="00CD46FE">
      <w:pPr>
        <w:pStyle w:val="BodyText"/>
      </w:pPr>
      <w:r>
        <w:t>Each Network has a Senior Executive Service (SES) level champion to play a visible leadership role across the department to work towards the vision of a more inclusive and diverse workplace. Our Champions work closely with the Employee Networks and the broader department to achieve a cohesive approach to inclusion and diversity.</w:t>
      </w:r>
    </w:p>
    <w:p w14:paraId="57D8EF4D" w14:textId="77777777" w:rsidR="00CD46FE" w:rsidRDefault="00CD46FE" w:rsidP="00CD46FE">
      <w:pPr>
        <w:pStyle w:val="BodyText"/>
      </w:pPr>
      <w:r w:rsidRPr="00417F0C">
        <w:t xml:space="preserve">We encourage applications from people with diverse experience and backgrounds </w:t>
      </w:r>
      <w:proofErr w:type="gramStart"/>
      <w:r w:rsidRPr="00417F0C">
        <w:t>including</w:t>
      </w:r>
      <w:r>
        <w:t>:</w:t>
      </w:r>
      <w:proofErr w:type="gramEnd"/>
      <w:r w:rsidRPr="00417F0C">
        <w:t xml:space="preserve"> Aboriginal and Torres Strait Islander people</w:t>
      </w:r>
      <w:r>
        <w:t>,</w:t>
      </w:r>
      <w:r w:rsidRPr="00417F0C">
        <w:t xml:space="preserve"> </w:t>
      </w:r>
      <w:r>
        <w:t xml:space="preserve">LGBTIQ </w:t>
      </w:r>
      <w:r w:rsidRPr="00417F0C">
        <w:t>people</w:t>
      </w:r>
      <w:r>
        <w:t>,</w:t>
      </w:r>
      <w:r w:rsidRPr="00417F0C">
        <w:t xml:space="preserve"> </w:t>
      </w:r>
      <w:r>
        <w:t>c</w:t>
      </w:r>
      <w:r w:rsidRPr="00417F0C">
        <w:t xml:space="preserve">ulturally and </w:t>
      </w:r>
      <w:r>
        <w:t>linguistically d</w:t>
      </w:r>
      <w:r w:rsidRPr="00417F0C">
        <w:t>iverse people</w:t>
      </w:r>
      <w:r>
        <w:t>,</w:t>
      </w:r>
      <w:r w:rsidRPr="00417F0C">
        <w:t xml:space="preserve"> mature age and pe</w:t>
      </w:r>
      <w:r>
        <w:t xml:space="preserve">ople with disability. The department is an inclusive employer and is committed to supporting people who are transgender / gender divergent. We encourage trans and gender divergent people to apply for roles in the department.  </w:t>
      </w:r>
    </w:p>
    <w:p w14:paraId="38612EB8" w14:textId="2D8A63FB" w:rsidR="00CD46FE" w:rsidRDefault="00CD46FE" w:rsidP="00CD46FE">
      <w:pPr>
        <w:pStyle w:val="BodyText"/>
      </w:pPr>
      <w:r>
        <w:t xml:space="preserve">If you would like a confidential conversation about how we support diversity and inclusion at the </w:t>
      </w:r>
      <w:r w:rsidR="003C49E5">
        <w:t>department,</w:t>
      </w:r>
      <w:r>
        <w:t xml:space="preserve"> please feel free to contact us using the contact details on each of our advertisements.</w:t>
      </w:r>
    </w:p>
    <w:p w14:paraId="2103FB26" w14:textId="77777777" w:rsidR="00D2372D" w:rsidRPr="00D2372D" w:rsidRDefault="00D2372D" w:rsidP="00D2372D">
      <w:pPr>
        <w:pStyle w:val="BodyText"/>
      </w:pPr>
      <w:r w:rsidRPr="00D2372D">
        <w:rPr>
          <w:noProof/>
          <w:lang w:eastAsia="en-AU"/>
        </w:rPr>
        <w:lastRenderedPageBreak/>
        <w:drawing>
          <wp:inline distT="0" distB="0" distL="0" distR="0" wp14:anchorId="6D2E7BDD" wp14:editId="2B52CDCA">
            <wp:extent cx="4764405" cy="1156335"/>
            <wp:effectExtent l="0" t="0" r="0" b="0"/>
            <wp:docPr id="1" name="Picture 1" descr="C:\Users\purdy chris\AppData\Local\Microsoft\Windows\INetCache\Content.Outlook\ZX2T91OD\2020AWEI_Badge_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rdy chris\AppData\Local\Microsoft\Windows\INetCache\Content.Outlook\ZX2T91OD\2020AWEI_Badge_Gold.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595"/>
                    <a:stretch/>
                  </pic:blipFill>
                  <pic:spPr bwMode="auto">
                    <a:xfrm>
                      <a:off x="0" y="0"/>
                      <a:ext cx="4764405" cy="1156335"/>
                    </a:xfrm>
                    <a:prstGeom prst="rect">
                      <a:avLst/>
                    </a:prstGeom>
                    <a:noFill/>
                    <a:ln>
                      <a:noFill/>
                    </a:ln>
                    <a:extLst>
                      <a:ext uri="{53640926-AAD7-44D8-BBD7-CCE9431645EC}">
                        <a14:shadowObscured xmlns:a14="http://schemas.microsoft.com/office/drawing/2010/main"/>
                      </a:ext>
                    </a:extLst>
                  </pic:spPr>
                </pic:pic>
              </a:graphicData>
            </a:graphic>
          </wp:inline>
        </w:drawing>
      </w:r>
    </w:p>
    <w:p w14:paraId="30C69F99" w14:textId="77777777" w:rsidR="00D2372D" w:rsidRPr="00D2372D" w:rsidRDefault="00D2372D" w:rsidP="00D2372D">
      <w:pPr>
        <w:pStyle w:val="BodyText"/>
      </w:pPr>
      <w:r w:rsidRPr="00D2372D">
        <w:t>As an organisation, we are committed to building a culture where difference is valued and respected, and where we work together and leverage the benefit of our diversity.</w:t>
      </w:r>
    </w:p>
    <w:p w14:paraId="4EE56C4D" w14:textId="77777777" w:rsidR="00685B94" w:rsidRDefault="00685B94" w:rsidP="00685B94">
      <w:pPr>
        <w:pStyle w:val="Heading2"/>
      </w:pPr>
      <w:bookmarkStart w:id="2" w:name="_Toc33700817"/>
      <w:r>
        <w:t>The selection process</w:t>
      </w:r>
      <w:bookmarkEnd w:id="2"/>
    </w:p>
    <w:p w14:paraId="527896E5" w14:textId="77777777" w:rsidR="00685B94" w:rsidRDefault="00685B94" w:rsidP="00C757C0">
      <w:pPr>
        <w:pStyle w:val="BodyText"/>
        <w:spacing w:before="120"/>
      </w:pPr>
      <w:r>
        <w:t>We recruit staff based on merit, which means that from a field of candidates we need to select the best person for the position. To do this we compare and weigh up the skills, experience and abilities of each candidate.</w:t>
      </w:r>
    </w:p>
    <w:p w14:paraId="7741AF9F" w14:textId="77777777" w:rsidR="00685B94" w:rsidRDefault="00685B94" w:rsidP="00685B94">
      <w:pPr>
        <w:pStyle w:val="BodyText"/>
      </w:pPr>
      <w:r>
        <w:t>We use different tools and techniques, such as written applications, interviews and or work sample tests, to collect the evidence we need to make a merit-based decision.</w:t>
      </w:r>
    </w:p>
    <w:p w14:paraId="2DFB5E33" w14:textId="77777777" w:rsidR="00685B94" w:rsidRDefault="00685B94" w:rsidP="00685B94">
      <w:pPr>
        <w:pStyle w:val="BodyText"/>
      </w:pPr>
      <w:r>
        <w:t xml:space="preserve">For additional information on preparing your application and addressing selection criteria refer to the </w:t>
      </w:r>
      <w:hyperlink r:id="rId9" w:history="1">
        <w:r>
          <w:rPr>
            <w:rStyle w:val="Hyperlink"/>
          </w:rPr>
          <w:t>Cracking the Code. Shape Australia. Create your future</w:t>
        </w:r>
      </w:hyperlink>
      <w:r>
        <w:t xml:space="preserve"> publication on the Australian Public Service Commission’s website.</w:t>
      </w:r>
    </w:p>
    <w:p w14:paraId="1F5992B0" w14:textId="77777777" w:rsidR="00685B94" w:rsidRDefault="00685B94" w:rsidP="00685B94">
      <w:pPr>
        <w:pStyle w:val="Heading2"/>
      </w:pPr>
      <w:bookmarkStart w:id="3" w:name="_Toc33700818"/>
      <w:r>
        <w:t>S</w:t>
      </w:r>
      <w:r w:rsidRPr="007E261E">
        <w:t>election criteria/statement of claims</w:t>
      </w:r>
      <w:bookmarkEnd w:id="3"/>
    </w:p>
    <w:p w14:paraId="4A5D1A57" w14:textId="77777777" w:rsidR="00685B94" w:rsidRDefault="00685B94" w:rsidP="00C757C0">
      <w:pPr>
        <w:pStyle w:val="BodyText"/>
        <w:spacing w:before="120"/>
      </w:pPr>
      <w:r>
        <w:t>Candidates</w:t>
      </w:r>
      <w:r w:rsidRPr="00C20194">
        <w:t xml:space="preserve"> should address each selection criterion/assessment requirements and provide examples which demonstrate their ability to perform the duties of the position.</w:t>
      </w:r>
    </w:p>
    <w:p w14:paraId="70C8627B" w14:textId="77777777" w:rsidR="00685B94" w:rsidRDefault="00685B94" w:rsidP="00685B94">
      <w:pPr>
        <w:pStyle w:val="BodyText"/>
      </w:pPr>
      <w:r w:rsidRPr="00C20194">
        <w:t>Some vacancies will not ask for a response against the selection criteria but will instead ask you to submit a statement of claims.</w:t>
      </w:r>
    </w:p>
    <w:p w14:paraId="5276F195" w14:textId="77777777" w:rsidR="00685B94" w:rsidRDefault="00685B94" w:rsidP="00685B94">
      <w:pPr>
        <w:pStyle w:val="BodyText"/>
      </w:pPr>
      <w:r w:rsidRPr="00C20194">
        <w:t>Where you are asked to provide a statement of claims, you do not need to specifically respond to the selection criteria (if they are listed on the duty statement) unless this is expressly stated in the duty statement.</w:t>
      </w:r>
    </w:p>
    <w:p w14:paraId="381EC65C" w14:textId="77777777" w:rsidR="00685B94" w:rsidRDefault="00685B94" w:rsidP="004422DE">
      <w:pPr>
        <w:pStyle w:val="Heading2"/>
        <w:spacing w:before="0"/>
      </w:pPr>
      <w:bookmarkStart w:id="4" w:name="_Toc33700819"/>
      <w:r>
        <w:t xml:space="preserve">Responding to </w:t>
      </w:r>
      <w:r w:rsidR="004422DE">
        <w:t xml:space="preserve">the </w:t>
      </w:r>
      <w:r>
        <w:t>selection criteria/preparing a statement of claims</w:t>
      </w:r>
      <w:bookmarkEnd w:id="4"/>
    </w:p>
    <w:p w14:paraId="0FAC7A1D" w14:textId="77777777" w:rsidR="00685B94" w:rsidRDefault="00685B94" w:rsidP="004422DE">
      <w:pPr>
        <w:pStyle w:val="BodyText"/>
        <w:spacing w:before="80"/>
      </w:pPr>
      <w:r>
        <w:t>Your achievements against the selection criteria are an important part of your application.</w:t>
      </w:r>
    </w:p>
    <w:p w14:paraId="66D550F9" w14:textId="77777777" w:rsidR="00685B94" w:rsidRDefault="00685B94" w:rsidP="00685B94">
      <w:pPr>
        <w:pStyle w:val="BodyText"/>
      </w:pPr>
      <w:r>
        <w:t xml:space="preserve">It allows you the opportunity to communicate to the </w:t>
      </w:r>
      <w:r w:rsidR="00B024E5">
        <w:t>Selection Panel</w:t>
      </w:r>
      <w:r>
        <w:t xml:space="preserve"> that you have the abilities, experience, performance and personal qualities that would make them feel confident that you should be shortlisted for the position.</w:t>
      </w:r>
    </w:p>
    <w:p w14:paraId="20904144" w14:textId="77777777" w:rsidR="00685B94" w:rsidRDefault="00685B94" w:rsidP="00685B94">
      <w:pPr>
        <w:pStyle w:val="BodyText"/>
      </w:pPr>
      <w:r>
        <w:t>Your application should specifically address each selection criterion.</w:t>
      </w:r>
    </w:p>
    <w:p w14:paraId="59249B41" w14:textId="77777777" w:rsidR="00685B94" w:rsidRDefault="00685B94" w:rsidP="00685B94">
      <w:pPr>
        <w:pStyle w:val="BodyText"/>
      </w:pPr>
      <w:r>
        <w:t>Responses to the selection criteria should concisely and fully describe how you consider yourself suitable against each selection criteri</w:t>
      </w:r>
      <w:r w:rsidR="000D13CC">
        <w:t>on</w:t>
      </w:r>
      <w:r>
        <w:t>.</w:t>
      </w:r>
    </w:p>
    <w:p w14:paraId="6C64E660" w14:textId="77777777" w:rsidR="00685B94" w:rsidRDefault="00685B94" w:rsidP="00685B94">
      <w:pPr>
        <w:pStyle w:val="BodyText"/>
      </w:pPr>
      <w:r>
        <w:t>Wherever possible</w:t>
      </w:r>
      <w:r w:rsidR="000D13CC">
        <w:t>,</w:t>
      </w:r>
      <w:r>
        <w:t xml:space="preserve"> give examples of how you meet the selection criterion. Do not simply state that you meet the selection criterion.</w:t>
      </w:r>
    </w:p>
    <w:p w14:paraId="75E6E1F0" w14:textId="77777777" w:rsidR="00685B94" w:rsidRDefault="00685B94" w:rsidP="00685B94">
      <w:pPr>
        <w:pStyle w:val="BodyText"/>
      </w:pPr>
      <w:r>
        <w:t>You should restrict your responses to the length specified on the online application form.</w:t>
      </w:r>
    </w:p>
    <w:p w14:paraId="3576B823" w14:textId="77777777" w:rsidR="00685B94" w:rsidRDefault="00685B94" w:rsidP="00685B94">
      <w:pPr>
        <w:pStyle w:val="BodyText"/>
      </w:pPr>
      <w:r>
        <w:lastRenderedPageBreak/>
        <w:t>All selection criteria are weighted equally, unless otherwise noted on the selection documentation and applications will be assessed on all of the criteria.</w:t>
      </w:r>
    </w:p>
    <w:p w14:paraId="2682EB9C" w14:textId="77777777" w:rsidR="00A752AD" w:rsidRDefault="00685B94" w:rsidP="00685B94">
      <w:pPr>
        <w:pStyle w:val="BodyText"/>
      </w:pPr>
      <w:r>
        <w:t>If you are asked to prepare a statement of claims</w:t>
      </w:r>
      <w:r w:rsidR="004422DE">
        <w:t>,</w:t>
      </w:r>
      <w:r>
        <w:t xml:space="preserve"> the instructions will specify what the selection advisory committee are asking you to submit.</w:t>
      </w:r>
      <w:r w:rsidR="00643351">
        <w:t xml:space="preserve"> </w:t>
      </w:r>
    </w:p>
    <w:p w14:paraId="079591CC" w14:textId="77777777" w:rsidR="00685B94" w:rsidRDefault="00685B94" w:rsidP="00685B94">
      <w:pPr>
        <w:pStyle w:val="BodyText"/>
      </w:pPr>
      <w:r>
        <w:t>For example, you may be asked to submit a statement telling us why your skills, knowledge, experience and qualifications make you the best person for the job.</w:t>
      </w:r>
    </w:p>
    <w:p w14:paraId="1006F596" w14:textId="77777777" w:rsidR="009E3941" w:rsidRDefault="009E3941" w:rsidP="009E3941">
      <w:pPr>
        <w:pStyle w:val="Heading2"/>
      </w:pPr>
      <w:bookmarkStart w:id="5" w:name="_Toc33700820"/>
      <w:r>
        <w:t>Referees</w:t>
      </w:r>
      <w:bookmarkEnd w:id="5"/>
    </w:p>
    <w:p w14:paraId="760830FD" w14:textId="77777777" w:rsidR="009E3941" w:rsidRDefault="009E3941" w:rsidP="004422DE">
      <w:pPr>
        <w:pStyle w:val="BodyText"/>
        <w:spacing w:before="80"/>
      </w:pPr>
      <w:r>
        <w:t>You don’t need to provide written referee reports with your application. However, you must include the names and contact details of</w:t>
      </w:r>
      <w:r w:rsidR="00B024E5">
        <w:t xml:space="preserve"> at least one referee</w:t>
      </w:r>
      <w:r>
        <w:t xml:space="preserve"> who can comment on your work performance.</w:t>
      </w:r>
    </w:p>
    <w:p w14:paraId="334C4E46" w14:textId="77777777" w:rsidR="009E3941" w:rsidRDefault="009E3941" w:rsidP="009E3941">
      <w:pPr>
        <w:pStyle w:val="BodyText"/>
      </w:pPr>
      <w:r>
        <w:t>We expect that one of your referees will be your current supervisor or manager. If you don’t want us to contact your referees without advising you first, indicate this in your application.</w:t>
      </w:r>
    </w:p>
    <w:p w14:paraId="1163B0B8" w14:textId="77777777" w:rsidR="009E3941" w:rsidRDefault="009E3941" w:rsidP="009E3941">
      <w:pPr>
        <w:pStyle w:val="BodyText"/>
      </w:pPr>
      <w:r>
        <w:t>Candidates are strongly encouraged to make suitable arrangements with their nominated referee prior to the lodgement of their application.</w:t>
      </w:r>
    </w:p>
    <w:p w14:paraId="387F3BCA" w14:textId="77777777" w:rsidR="00B024E5" w:rsidRDefault="00B024E5" w:rsidP="009E3941">
      <w:pPr>
        <w:pStyle w:val="BodyText"/>
      </w:pPr>
      <w:r>
        <w:t>If one of your referees is a member of the Selection Panel, you must contact them prior to the job closing date to arrange a written referee report.</w:t>
      </w:r>
    </w:p>
    <w:p w14:paraId="04259006" w14:textId="77777777" w:rsidR="003E1D96" w:rsidRDefault="003E1D96" w:rsidP="00AE3D91">
      <w:pPr>
        <w:pStyle w:val="Heading2"/>
      </w:pPr>
      <w:bookmarkStart w:id="6" w:name="_Toc33700821"/>
      <w:r w:rsidRPr="00AE3D91">
        <w:t>Privacy</w:t>
      </w:r>
      <w:bookmarkEnd w:id="6"/>
    </w:p>
    <w:p w14:paraId="3012EF47" w14:textId="77777777" w:rsidR="003E1D96" w:rsidRDefault="003E1D96" w:rsidP="003E1D96">
      <w:pPr>
        <w:pStyle w:val="BodyText"/>
      </w:pPr>
      <w:r>
        <w:t xml:space="preserve">The </w:t>
      </w:r>
      <w:r w:rsidRPr="00F05CE6">
        <w:rPr>
          <w:i/>
        </w:rPr>
        <w:t>Privacy Act 1988</w:t>
      </w:r>
      <w:r>
        <w:t xml:space="preserve"> places obligations on Australian Government agencies (and their employees) in relation to collecting and handling personal information.</w:t>
      </w:r>
    </w:p>
    <w:p w14:paraId="61723A00" w14:textId="77777777" w:rsidR="00AE3D91" w:rsidRPr="00AE3D91" w:rsidRDefault="003E1D96" w:rsidP="00B91C9B">
      <w:pPr>
        <w:pStyle w:val="BodyText"/>
      </w:pPr>
      <w:r>
        <w:t>The information provided in the selection processes and forms will not be used without your prior consent for any purpose other than in relation to your assessment for engagement as an Australian Public Service (APS) employee.</w:t>
      </w:r>
    </w:p>
    <w:p w14:paraId="76280F94" w14:textId="77777777" w:rsidR="003E1D96" w:rsidRDefault="003E1D96" w:rsidP="00AE3D91">
      <w:pPr>
        <w:pStyle w:val="Heading2"/>
      </w:pPr>
      <w:bookmarkStart w:id="7" w:name="_Toc33700822"/>
      <w:r w:rsidRPr="00AE3D91">
        <w:t>Eligibility</w:t>
      </w:r>
      <w:bookmarkEnd w:id="7"/>
    </w:p>
    <w:p w14:paraId="7D0B1E0D" w14:textId="27E46EDC" w:rsidR="00F17193" w:rsidRDefault="003E1D96" w:rsidP="003E1D96">
      <w:pPr>
        <w:pStyle w:val="BodyText"/>
      </w:pPr>
      <w:r w:rsidRPr="00F17193">
        <w:rPr>
          <w:highlight w:val="yellow"/>
        </w:rPr>
        <w:t xml:space="preserve">Employment with the </w:t>
      </w:r>
      <w:r w:rsidR="00397993" w:rsidRPr="00F17193">
        <w:rPr>
          <w:highlight w:val="yellow"/>
        </w:rPr>
        <w:t>department</w:t>
      </w:r>
      <w:r w:rsidRPr="00F17193">
        <w:rPr>
          <w:highlight w:val="yellow"/>
        </w:rPr>
        <w:t xml:space="preserve"> is subject to conditions prescribed within the </w:t>
      </w:r>
      <w:r w:rsidRPr="00F17193">
        <w:rPr>
          <w:i/>
          <w:highlight w:val="yellow"/>
        </w:rPr>
        <w:t>Public Service Act 1999</w:t>
      </w:r>
      <w:r w:rsidR="00B024E5" w:rsidRPr="00F17193">
        <w:rPr>
          <w:highlight w:val="yellow"/>
        </w:rPr>
        <w:t xml:space="preserve">, </w:t>
      </w:r>
      <w:r w:rsidR="00F17193" w:rsidRPr="00F17193">
        <w:rPr>
          <w:rStyle w:val="Strong"/>
          <w:rFonts w:asciiTheme="minorHAnsi" w:hAnsiTheme="minorHAnsi" w:cstheme="minorHAnsi"/>
          <w:b w:val="0"/>
          <w:bCs w:val="0"/>
          <w:highlight w:val="yellow"/>
          <w:shd w:val="clear" w:color="auto" w:fill="FFFFFF"/>
        </w:rPr>
        <w:t>and other</w:t>
      </w:r>
      <w:r w:rsidR="00F17193" w:rsidRPr="00F17193">
        <w:rPr>
          <w:rStyle w:val="Strong"/>
          <w:rFonts w:asciiTheme="minorHAnsi" w:hAnsiTheme="minorHAnsi" w:cstheme="minorHAnsi"/>
          <w:b w:val="0"/>
          <w:bCs w:val="0"/>
          <w:highlight w:val="yellow"/>
          <w:shd w:val="clear" w:color="auto" w:fill="FFFFFF"/>
        </w:rPr>
        <w:t xml:space="preserve"> terms and conditions </w:t>
      </w:r>
      <w:r w:rsidR="00F17193" w:rsidRPr="00F17193">
        <w:rPr>
          <w:rStyle w:val="Strong"/>
          <w:rFonts w:asciiTheme="minorHAnsi" w:hAnsiTheme="minorHAnsi" w:cstheme="minorHAnsi"/>
          <w:b w:val="0"/>
          <w:bCs w:val="0"/>
          <w:highlight w:val="yellow"/>
          <w:shd w:val="clear" w:color="auto" w:fill="FFFFFF"/>
        </w:rPr>
        <w:t>which are</w:t>
      </w:r>
      <w:r w:rsidR="00F17193" w:rsidRPr="00F17193">
        <w:rPr>
          <w:rStyle w:val="Strong"/>
          <w:rFonts w:asciiTheme="minorHAnsi" w:hAnsiTheme="minorHAnsi" w:cstheme="minorHAnsi"/>
          <w:b w:val="0"/>
          <w:bCs w:val="0"/>
          <w:highlight w:val="yellow"/>
          <w:shd w:val="clear" w:color="auto" w:fill="FFFFFF"/>
        </w:rPr>
        <w:t xml:space="preserve"> yet </w:t>
      </w:r>
      <w:r w:rsidR="00F17193" w:rsidRPr="00F17193">
        <w:rPr>
          <w:rStyle w:val="Strong"/>
          <w:rFonts w:asciiTheme="minorHAnsi" w:hAnsiTheme="minorHAnsi" w:cstheme="minorHAnsi"/>
          <w:b w:val="0"/>
          <w:bCs w:val="0"/>
          <w:highlight w:val="yellow"/>
          <w:shd w:val="clear" w:color="auto" w:fill="FFFFFF"/>
        </w:rPr>
        <w:t>to be</w:t>
      </w:r>
      <w:r w:rsidR="00F17193" w:rsidRPr="00F17193">
        <w:rPr>
          <w:rStyle w:val="Strong"/>
          <w:rFonts w:asciiTheme="minorHAnsi" w:hAnsiTheme="minorHAnsi" w:cstheme="minorHAnsi"/>
          <w:b w:val="0"/>
          <w:bCs w:val="0"/>
          <w:highlight w:val="yellow"/>
          <w:shd w:val="clear" w:color="auto" w:fill="FFFFFF"/>
        </w:rPr>
        <w:t xml:space="preserve"> finalised</w:t>
      </w:r>
      <w:r w:rsidR="00F17193" w:rsidRPr="00F17193">
        <w:rPr>
          <w:rStyle w:val="Strong"/>
          <w:rFonts w:asciiTheme="minorHAnsi" w:hAnsiTheme="minorHAnsi" w:cstheme="minorHAnsi"/>
          <w:b w:val="0"/>
          <w:bCs w:val="0"/>
          <w:highlight w:val="yellow"/>
          <w:shd w:val="clear" w:color="auto" w:fill="FFFFFF"/>
        </w:rPr>
        <w:t xml:space="preserve"> pending the completion of recently announced Machinery of Government changes.</w:t>
      </w:r>
    </w:p>
    <w:p w14:paraId="35E6C19B" w14:textId="77777777" w:rsidR="003E1D96" w:rsidRDefault="003E1D96" w:rsidP="00AE3D91">
      <w:pPr>
        <w:pStyle w:val="Heading3"/>
      </w:pPr>
      <w:bookmarkStart w:id="8" w:name="_Toc33700823"/>
      <w:r w:rsidRPr="00AE3D91">
        <w:t>Citizenship</w:t>
      </w:r>
      <w:bookmarkEnd w:id="8"/>
    </w:p>
    <w:p w14:paraId="709E1F76" w14:textId="77777777" w:rsidR="003E1D96" w:rsidRDefault="003E1D96" w:rsidP="003E1D96">
      <w:pPr>
        <w:pStyle w:val="BodyText"/>
      </w:pPr>
      <w:r>
        <w:t>APS employees are required to be Australian citizens</w:t>
      </w:r>
      <w:r w:rsidR="00397993">
        <w:t>.</w:t>
      </w:r>
    </w:p>
    <w:p w14:paraId="7D29EEFE" w14:textId="77777777" w:rsidR="003E1D96" w:rsidRDefault="003E1D96" w:rsidP="00AE3D91">
      <w:pPr>
        <w:pStyle w:val="Heading3"/>
      </w:pPr>
      <w:bookmarkStart w:id="9" w:name="_Toc33700824"/>
      <w:r>
        <w:t xml:space="preserve">Security and </w:t>
      </w:r>
      <w:r w:rsidR="00B024E5">
        <w:t>National Police C</w:t>
      </w:r>
      <w:r>
        <w:t>heck</w:t>
      </w:r>
      <w:bookmarkEnd w:id="9"/>
      <w:r w:rsidR="005315BB">
        <w:t xml:space="preserve"> Information</w:t>
      </w:r>
    </w:p>
    <w:p w14:paraId="4CC293AA" w14:textId="77777777" w:rsidR="003E1D96" w:rsidRDefault="003E1D96" w:rsidP="003E1D96">
      <w:pPr>
        <w:pStyle w:val="BodyText"/>
      </w:pPr>
      <w:r>
        <w:t>For positions located in airports and wharves, you will be required to undergo an assessment for:</w:t>
      </w:r>
    </w:p>
    <w:p w14:paraId="5FA7B14E" w14:textId="77777777" w:rsidR="003E1D96" w:rsidRDefault="003E1D96" w:rsidP="003E1D96">
      <w:pPr>
        <w:pStyle w:val="ListBullet"/>
      </w:pPr>
      <w:r w:rsidRPr="003E1D96">
        <w:t>an airport security clearance—aviation security identification card (ASIC)</w:t>
      </w:r>
    </w:p>
    <w:p w14:paraId="3F49E14A" w14:textId="77777777" w:rsidR="003E1D96" w:rsidRPr="003E1D96" w:rsidRDefault="003E1D96" w:rsidP="003E1D96">
      <w:pPr>
        <w:pStyle w:val="ListBullet"/>
      </w:pPr>
      <w:r>
        <w:t>a</w:t>
      </w:r>
      <w:r w:rsidRPr="003E1D96">
        <w:t xml:space="preserve"> marine security clearance—maritime security identification card (MSIC)</w:t>
      </w:r>
    </w:p>
    <w:p w14:paraId="1054B990" w14:textId="77777777" w:rsidR="00AE3D91" w:rsidRDefault="003E1D96" w:rsidP="003E1D96">
      <w:pPr>
        <w:pStyle w:val="BodyText"/>
      </w:pPr>
      <w:r>
        <w:t>The security cl</w:t>
      </w:r>
      <w:r w:rsidR="00397993">
        <w:t xml:space="preserve">earance </w:t>
      </w:r>
      <w:r>
        <w:t xml:space="preserve">required for these roles </w:t>
      </w:r>
      <w:r w:rsidR="00397993">
        <w:t xml:space="preserve">can be found in the </w:t>
      </w:r>
      <w:r>
        <w:t>job description.</w:t>
      </w:r>
    </w:p>
    <w:p w14:paraId="1D5F8F73" w14:textId="77777777" w:rsidR="00AE3D91" w:rsidRDefault="00AE3D91">
      <w:pPr>
        <w:spacing w:before="0" w:after="0"/>
        <w:rPr>
          <w:rFonts w:eastAsia="Times New Roman"/>
          <w:sz w:val="24"/>
          <w:szCs w:val="24"/>
        </w:rPr>
      </w:pPr>
      <w:r>
        <w:br w:type="page"/>
      </w:r>
    </w:p>
    <w:p w14:paraId="760EE2D9" w14:textId="77777777" w:rsidR="003E1D96" w:rsidRDefault="003E1D96" w:rsidP="00AE3D91">
      <w:pPr>
        <w:pStyle w:val="Heading3"/>
        <w:spacing w:before="0"/>
      </w:pPr>
      <w:bookmarkStart w:id="10" w:name="_Toc33700825"/>
      <w:r>
        <w:lastRenderedPageBreak/>
        <w:t>Criminal history and conduct</w:t>
      </w:r>
      <w:bookmarkEnd w:id="10"/>
    </w:p>
    <w:p w14:paraId="3421A840" w14:textId="77777777" w:rsidR="003E1D96" w:rsidRDefault="003E1D96" w:rsidP="003E1D96">
      <w:pPr>
        <w:pStyle w:val="BodyText"/>
      </w:pPr>
      <w:r>
        <w:t>A history of criminal conduct, irrespective of whether the clearance subject was formally charged with, or punished, may be of significant security concern where the:</w:t>
      </w:r>
    </w:p>
    <w:p w14:paraId="0A407E30" w14:textId="77777777" w:rsidR="003E1D96" w:rsidRDefault="003E1D96" w:rsidP="003E1D96">
      <w:pPr>
        <w:pStyle w:val="ListBullet"/>
      </w:pPr>
      <w:r>
        <w:t>offences involve dishonesty or deception</w:t>
      </w:r>
    </w:p>
    <w:p w14:paraId="6735B03B" w14:textId="77777777" w:rsidR="003E1D96" w:rsidRDefault="003E1D96" w:rsidP="003E1D96">
      <w:pPr>
        <w:pStyle w:val="ListBullet"/>
      </w:pPr>
      <w:r>
        <w:t>offences involve misappropriation of resources or misuse of positions of trust</w:t>
      </w:r>
    </w:p>
    <w:p w14:paraId="11B6BB80" w14:textId="77777777" w:rsidR="003E1D96" w:rsidRDefault="003E1D96" w:rsidP="003E1D96">
      <w:pPr>
        <w:pStyle w:val="ListBullet"/>
      </w:pPr>
      <w:r>
        <w:t>clearance subject would endeavour to ensure that the details of the activity remain concealed from family, friends or work colleagues</w:t>
      </w:r>
    </w:p>
    <w:p w14:paraId="2A43DED7" w14:textId="77777777" w:rsidR="003E1D96" w:rsidRDefault="003E1D96" w:rsidP="003E1D96">
      <w:pPr>
        <w:pStyle w:val="ListBullet"/>
      </w:pPr>
      <w:r>
        <w:t>offences indicate a serious or habitual disregard for the law</w:t>
      </w:r>
    </w:p>
    <w:p w14:paraId="08C8A092" w14:textId="77777777" w:rsidR="003E1D96" w:rsidRDefault="003E1D96" w:rsidP="003E1D96">
      <w:pPr>
        <w:pStyle w:val="ListBullet"/>
      </w:pPr>
      <w:r>
        <w:t>offences are indicative of some other basis for concern.</w:t>
      </w:r>
    </w:p>
    <w:p w14:paraId="13C4B8F0" w14:textId="77777777" w:rsidR="003E1D96" w:rsidRDefault="003E1D96" w:rsidP="003E1D96">
      <w:pPr>
        <w:pStyle w:val="BodyText"/>
      </w:pPr>
      <w:r>
        <w:t>A history or pattern of criminal activity may create doubt about the clearance subject’s judgement, reliability and trustworthiness. Such behaviour may indicate the clearance subject’s lack of respect for rules, the law and social expectation.</w:t>
      </w:r>
    </w:p>
    <w:p w14:paraId="7CF795FE" w14:textId="77777777" w:rsidR="005315BB" w:rsidRPr="005315BB" w:rsidRDefault="005315BB" w:rsidP="005315BB">
      <w:pPr>
        <w:pStyle w:val="BodyText"/>
        <w:rPr>
          <w:b/>
          <w:bCs/>
          <w:lang w:val="x-none"/>
        </w:rPr>
      </w:pPr>
      <w:r w:rsidRPr="005315BB">
        <w:rPr>
          <w:b/>
          <w:bCs/>
          <w:lang w:val="x-none"/>
        </w:rPr>
        <w:t>Spent Convictions Legislation</w:t>
      </w:r>
    </w:p>
    <w:p w14:paraId="41422410" w14:textId="77777777" w:rsidR="005315BB" w:rsidRPr="005315BB" w:rsidRDefault="005315BB" w:rsidP="005315BB">
      <w:pPr>
        <w:pStyle w:val="BodyText"/>
      </w:pPr>
      <w:r w:rsidRPr="005315BB">
        <w:rPr>
          <w:lang w:val="x-none"/>
        </w:rPr>
        <w:t>The aim of spent convictions legislation is to prevent discrimination on the basis of certain previous convictions. Spent convictions legislation limits the use and disclosure of older, less serious convictions and findings of guilt.</w:t>
      </w:r>
    </w:p>
    <w:p w14:paraId="216E5E25" w14:textId="77777777" w:rsidR="005315BB" w:rsidRPr="005315BB" w:rsidRDefault="005315BB" w:rsidP="005315BB">
      <w:pPr>
        <w:pStyle w:val="BodyText"/>
        <w:rPr>
          <w:lang w:val="x-none"/>
        </w:rPr>
      </w:pPr>
      <w:proofErr w:type="spellStart"/>
      <w:r w:rsidRPr="005315BB">
        <w:t>T</w:t>
      </w:r>
      <w:r w:rsidRPr="005315BB">
        <w:rPr>
          <w:lang w:val="x-none"/>
        </w:rPr>
        <w:t>here</w:t>
      </w:r>
      <w:proofErr w:type="spellEnd"/>
      <w:r w:rsidRPr="005315BB">
        <w:rPr>
          <w:lang w:val="x-none"/>
        </w:rPr>
        <w:t xml:space="preserve"> are some different offences excluded from being spent where the check is required for certain purposes – these offences will be released regardless of how old they are. Where a record exists within an Australian police jurisdiction, relevant spent conviction legislation/policies governing the release of that information for that jurisdiction will be applied. As a result certain convictions will not be released provided this is in accordance with the relevant legislation/policies.</w:t>
      </w:r>
    </w:p>
    <w:p w14:paraId="221E6D3D" w14:textId="77777777" w:rsidR="005315BB" w:rsidRPr="005315BB" w:rsidRDefault="005315BB" w:rsidP="005315BB">
      <w:pPr>
        <w:pStyle w:val="BodyText"/>
        <w:rPr>
          <w:lang w:val="x-none"/>
        </w:rPr>
      </w:pPr>
      <w:r w:rsidRPr="005315BB">
        <w:rPr>
          <w:lang w:val="x-none"/>
        </w:rPr>
        <w:t xml:space="preserve">For Commonwealth records the AFP applies the provisions within Section 122.4 of the </w:t>
      </w:r>
      <w:r w:rsidRPr="005315BB">
        <w:rPr>
          <w:i/>
          <w:lang w:val="x-none"/>
        </w:rPr>
        <w:t>Criminal Code Act 1995</w:t>
      </w:r>
      <w:r w:rsidRPr="005315BB">
        <w:rPr>
          <w:lang w:val="x-none"/>
        </w:rPr>
        <w:t xml:space="preserve"> (Criminal code) and for ACT records provisions within the ACT spent convictions Act 2000 are applicable. If further information or clarification is required please contact the individual jurisdiction where the record is held.</w:t>
      </w:r>
    </w:p>
    <w:p w14:paraId="04516EB1" w14:textId="77777777" w:rsidR="005315BB" w:rsidRPr="005315BB" w:rsidRDefault="005315BB" w:rsidP="005315BB">
      <w:pPr>
        <w:pStyle w:val="BodyText"/>
        <w:rPr>
          <w:b/>
          <w:bCs/>
          <w:lang w:val="x-none"/>
        </w:rPr>
      </w:pPr>
      <w:r w:rsidRPr="005315BB">
        <w:rPr>
          <w:b/>
          <w:bCs/>
          <w:lang w:val="x-none"/>
        </w:rPr>
        <w:t>Provision for False or Misleading Information</w:t>
      </w:r>
    </w:p>
    <w:p w14:paraId="43103240" w14:textId="77777777" w:rsidR="005315BB" w:rsidRPr="005315BB" w:rsidRDefault="005315BB" w:rsidP="005315BB">
      <w:pPr>
        <w:pStyle w:val="BodyText"/>
        <w:rPr>
          <w:lang w:val="x-none"/>
        </w:rPr>
      </w:pPr>
      <w:r w:rsidRPr="005315BB">
        <w:rPr>
          <w:lang w:val="x-none"/>
        </w:rPr>
        <w:t>You are asked to certify that the personal information you have provided on the form is correct. Where your check is for employment related purposes and the result is to be provided to your employer or other organisation, discovery of any false or misleading information may be reported by the AFP and may impact on the decision being undertaken by the employer or organisation. The AFP provides information, with your consent, to the employer or organisation but takes no part in any subsequent assessment.</w:t>
      </w:r>
    </w:p>
    <w:p w14:paraId="5F6492B2" w14:textId="77777777" w:rsidR="005315BB" w:rsidRPr="005315BB" w:rsidRDefault="005315BB" w:rsidP="005315BB">
      <w:pPr>
        <w:pStyle w:val="BodyText"/>
        <w:rPr>
          <w:b/>
          <w:bCs/>
          <w:lang w:val="x-none"/>
        </w:rPr>
      </w:pPr>
      <w:r w:rsidRPr="005315BB">
        <w:rPr>
          <w:b/>
          <w:bCs/>
          <w:lang w:val="x-none"/>
        </w:rPr>
        <w:t>Disputed Record Enquiries</w:t>
      </w:r>
    </w:p>
    <w:p w14:paraId="305CA183" w14:textId="77777777" w:rsidR="005315BB" w:rsidRDefault="005315BB" w:rsidP="005315BB">
      <w:pPr>
        <w:pStyle w:val="BodyText"/>
      </w:pPr>
      <w:r w:rsidRPr="005315BB">
        <w:rPr>
          <w:lang w:val="x-none"/>
        </w:rPr>
        <w:t>If you believe the information provided on your police certificate is incorrect or inaccurate a Disputed Record form (CR 1200) is available from the AFP website. This form should be forwarded to the AFP through the agency or organisation with whom you have lodged your application for a National Police Check. Include any additional information or documents supporting your enquiry to enable the AFP to more accurately assess your application. In some instances the AFP may require comparison fingerprints to resolve some disputes. Applicants will be notified in such instances.</w:t>
      </w:r>
    </w:p>
    <w:p w14:paraId="6CACF92D" w14:textId="77777777" w:rsidR="003E1D96" w:rsidRDefault="003E1D96" w:rsidP="003E1D96">
      <w:pPr>
        <w:pStyle w:val="Heading3"/>
      </w:pPr>
      <w:bookmarkStart w:id="11" w:name="_Toc33700826"/>
      <w:r>
        <w:lastRenderedPageBreak/>
        <w:t>Mitigating factors</w:t>
      </w:r>
      <w:bookmarkEnd w:id="11"/>
    </w:p>
    <w:p w14:paraId="42E02457" w14:textId="77777777" w:rsidR="003E1D96" w:rsidRDefault="003E1D96" w:rsidP="003E1D96">
      <w:pPr>
        <w:pStyle w:val="BodyText"/>
      </w:pPr>
      <w:r>
        <w:t xml:space="preserve">The </w:t>
      </w:r>
      <w:r w:rsidRPr="003002E9">
        <w:rPr>
          <w:i/>
        </w:rPr>
        <w:t>Crimes Act 1914</w:t>
      </w:r>
      <w:r>
        <w:t xml:space="preserve"> protects clearance subjects from having previous minor criminal convictions held against them long after the offence has been dealt with, provided they have not since reoffended.</w:t>
      </w:r>
    </w:p>
    <w:p w14:paraId="2BDEF426" w14:textId="77777777" w:rsidR="003E1D96" w:rsidRDefault="003E1D96" w:rsidP="003E1D96">
      <w:pPr>
        <w:pStyle w:val="BodyText"/>
      </w:pPr>
      <w:r>
        <w:t>These are called spent convictions. A spent conviction is a conviction for an offence that satisfies all of the following conditions:</w:t>
      </w:r>
    </w:p>
    <w:p w14:paraId="234927C7" w14:textId="77777777" w:rsidR="003E1D96" w:rsidRDefault="003E1D96" w:rsidP="003E1D96">
      <w:pPr>
        <w:pStyle w:val="ListBullet"/>
      </w:pPr>
      <w:r>
        <w:t>it is 10 years since the date of the conviction (or five years for child offenders)</w:t>
      </w:r>
    </w:p>
    <w:p w14:paraId="4887CC31" w14:textId="77777777" w:rsidR="003E1D96" w:rsidRDefault="003E1D96" w:rsidP="003E1D96">
      <w:pPr>
        <w:pStyle w:val="ListBullet"/>
      </w:pPr>
      <w:r>
        <w:t>the clearance subject was not sentenced to imprisonment or was not sentenced to imprisonment for more than 30 months</w:t>
      </w:r>
    </w:p>
    <w:p w14:paraId="1CB157E8" w14:textId="77777777" w:rsidR="003E1D96" w:rsidRDefault="003E1D96" w:rsidP="003E1D96">
      <w:pPr>
        <w:pStyle w:val="ListBullet"/>
      </w:pPr>
      <w:r>
        <w:t>the clearance subject has not reoffended during the 10-year waiting period (five years for child offenders)</w:t>
      </w:r>
    </w:p>
    <w:p w14:paraId="5A862C88" w14:textId="77777777" w:rsidR="003E1D96" w:rsidRDefault="003E1D96" w:rsidP="003E1D96">
      <w:pPr>
        <w:pStyle w:val="ListBullet"/>
      </w:pPr>
      <w:r>
        <w:t xml:space="preserve">an exclusion does not apply (a </w:t>
      </w:r>
      <w:hyperlink r:id="rId10" w:history="1">
        <w:r w:rsidRPr="00E5744D">
          <w:rPr>
            <w:rStyle w:val="Hyperlink"/>
          </w:rPr>
          <w:t>full list of exclusions</w:t>
        </w:r>
      </w:hyperlink>
      <w:r>
        <w:t xml:space="preserve"> is available from the </w:t>
      </w:r>
      <w:r w:rsidRPr="00E5744D">
        <w:t>Office of the Australian Information Commissioner</w:t>
      </w:r>
      <w:r>
        <w:t>).</w:t>
      </w:r>
    </w:p>
    <w:p w14:paraId="686741A8" w14:textId="77777777" w:rsidR="003E1D96" w:rsidRDefault="003E1D96" w:rsidP="003E1D96">
      <w:pPr>
        <w:pStyle w:val="Heading3"/>
      </w:pPr>
      <w:bookmarkStart w:id="12" w:name="_Toc33700827"/>
      <w:r>
        <w:t>Health assessment</w:t>
      </w:r>
      <w:bookmarkEnd w:id="12"/>
    </w:p>
    <w:p w14:paraId="5C4ECB95" w14:textId="77777777" w:rsidR="003E1D96" w:rsidRDefault="003E1D96" w:rsidP="003E1D96">
      <w:pPr>
        <w:pStyle w:val="BodyText"/>
      </w:pPr>
      <w:r>
        <w:t xml:space="preserve">New APS employees may be required to undergo a medical examination conducted by the </w:t>
      </w:r>
      <w:r w:rsidR="00397993">
        <w:t>department</w:t>
      </w:r>
      <w:r>
        <w:t xml:space="preserve">’s preferred medical supplier. </w:t>
      </w:r>
    </w:p>
    <w:p w14:paraId="55E4EF24" w14:textId="77777777" w:rsidR="003E1D96" w:rsidRDefault="003E1D96" w:rsidP="003E1D96">
      <w:pPr>
        <w:pStyle w:val="BodyText"/>
      </w:pPr>
      <w:r>
        <w:t>Where, after receiving a report from a Commonwealth medical officer/medical practitioner, the delegate is not satisfied with your standard of health or physical fitness, they may elect not to proceed with offer of employment or terminate your engagement.</w:t>
      </w:r>
    </w:p>
    <w:p w14:paraId="4AB71404" w14:textId="77777777" w:rsidR="003E1D96" w:rsidRDefault="003E1D96" w:rsidP="003E1D96">
      <w:pPr>
        <w:pStyle w:val="BodyText"/>
      </w:pPr>
      <w:r>
        <w:t xml:space="preserve">It is a requirement that all employees who may be required to drive on </w:t>
      </w:r>
      <w:r w:rsidR="00397993">
        <w:t>department</w:t>
      </w:r>
      <w:r>
        <w:t>al business have a current licence for the vehicle they are to operate.</w:t>
      </w:r>
    </w:p>
    <w:p w14:paraId="6C87B26B" w14:textId="77777777" w:rsidR="003E1D96" w:rsidRDefault="003E1D96" w:rsidP="003E1D96">
      <w:pPr>
        <w:pStyle w:val="Heading3"/>
      </w:pPr>
      <w:bookmarkStart w:id="13" w:name="_Toc33700828"/>
      <w:r>
        <w:t>Rotation</w:t>
      </w:r>
      <w:bookmarkEnd w:id="13"/>
    </w:p>
    <w:p w14:paraId="2CD4B253" w14:textId="77777777" w:rsidR="003E1D96" w:rsidRDefault="003E1D96" w:rsidP="00AE3D91">
      <w:pPr>
        <w:pStyle w:val="BodyText"/>
        <w:spacing w:before="120"/>
      </w:pPr>
      <w:r>
        <w:t xml:space="preserve">In order to meet operational requirements and deliver client service, </w:t>
      </w:r>
      <w:r w:rsidR="00397993">
        <w:t>department</w:t>
      </w:r>
      <w:r>
        <w:t>al staff in regional offices may be rotated through various work areas.</w:t>
      </w:r>
    </w:p>
    <w:p w14:paraId="76C9F2F0" w14:textId="77777777" w:rsidR="003E1D96" w:rsidRDefault="003E1D96" w:rsidP="003E1D96">
      <w:pPr>
        <w:pStyle w:val="Heading3"/>
      </w:pPr>
      <w:bookmarkStart w:id="14" w:name="_Toc33700829"/>
      <w:r>
        <w:t>Outside employment</w:t>
      </w:r>
      <w:bookmarkEnd w:id="14"/>
    </w:p>
    <w:p w14:paraId="3C79EAC2" w14:textId="77777777" w:rsidR="003E1D96" w:rsidRDefault="003E1D96" w:rsidP="003E1D96">
      <w:pPr>
        <w:pStyle w:val="BodyText"/>
      </w:pPr>
      <w:r>
        <w:t xml:space="preserve">Employees are required to seek approval to engage in any form of paid employment outside of the </w:t>
      </w:r>
      <w:r w:rsidR="00397993">
        <w:t>department</w:t>
      </w:r>
      <w:r>
        <w:t xml:space="preserve">. </w:t>
      </w:r>
    </w:p>
    <w:p w14:paraId="2C2FDAD6" w14:textId="77777777" w:rsidR="003E1D96" w:rsidRDefault="003E1D96" w:rsidP="003E1D96">
      <w:pPr>
        <w:pStyle w:val="BodyText"/>
      </w:pPr>
      <w:r>
        <w:t>Employees also need to declare and seek approval for any form of unpaid work or voluntary activity which might impact on their ability to perform their duties or might be perceived to involve a conflict of interest.</w:t>
      </w:r>
    </w:p>
    <w:p w14:paraId="42EB0CB9" w14:textId="77777777" w:rsidR="004E244C" w:rsidRDefault="004E244C" w:rsidP="004E244C">
      <w:pPr>
        <w:pStyle w:val="Heading2"/>
      </w:pPr>
      <w:bookmarkStart w:id="15" w:name="_Toc33700830"/>
      <w:r>
        <w:t>RecruitAbility scheme</w:t>
      </w:r>
      <w:bookmarkEnd w:id="15"/>
    </w:p>
    <w:p w14:paraId="4E53EBE6" w14:textId="77777777" w:rsidR="00AE3D91" w:rsidRDefault="004E244C" w:rsidP="00D24C05">
      <w:pPr>
        <w:pStyle w:val="BodyText"/>
        <w:spacing w:before="80"/>
      </w:pPr>
      <w:r>
        <w:t>We are committed to supporting the employment and career development of people with disability.</w:t>
      </w:r>
    </w:p>
    <w:p w14:paraId="048DB678" w14:textId="77777777" w:rsidR="004E244C" w:rsidRDefault="004E244C" w:rsidP="004E244C">
      <w:pPr>
        <w:pStyle w:val="BodyText"/>
      </w:pPr>
      <w:r>
        <w:t>Our participation in APS RecruitAbility means we will progress an applicant with disability to a further stage in the recruitment process, where they opt into RecruitAbility and meet the minimum requirements for the vacancy.</w:t>
      </w:r>
    </w:p>
    <w:p w14:paraId="4B9DB9E3" w14:textId="77777777" w:rsidR="004E244C" w:rsidRDefault="004E244C" w:rsidP="004E244C">
      <w:pPr>
        <w:pStyle w:val="Heading3"/>
      </w:pPr>
      <w:bookmarkStart w:id="16" w:name="_Toc33700831"/>
      <w:r>
        <w:lastRenderedPageBreak/>
        <w:t>How do I opt into RecruitAbility?</w:t>
      </w:r>
      <w:bookmarkEnd w:id="16"/>
    </w:p>
    <w:p w14:paraId="7CF11E51" w14:textId="77777777" w:rsidR="004E244C" w:rsidRDefault="00326427" w:rsidP="004E244C">
      <w:pPr>
        <w:pStyle w:val="BodyText"/>
      </w:pPr>
      <w:r>
        <w:t>If RecruitAbility applies to this advertisement, y</w:t>
      </w:r>
      <w:r w:rsidR="004E244C">
        <w:t>ou will be asked to indicate if you wish to opt into RecruitAbility in the diversity section of the application form.</w:t>
      </w:r>
    </w:p>
    <w:p w14:paraId="4924F5FF" w14:textId="77777777" w:rsidR="004E244C" w:rsidRDefault="004E244C" w:rsidP="004E244C">
      <w:pPr>
        <w:pStyle w:val="BodyText"/>
      </w:pPr>
      <w:r>
        <w:t xml:space="preserve">You must tick the </w:t>
      </w:r>
      <w:r w:rsidR="00326427">
        <w:t>‘</w:t>
      </w:r>
      <w:r>
        <w:t>opt in</w:t>
      </w:r>
      <w:r w:rsidR="00326427">
        <w:t>’</w:t>
      </w:r>
      <w:r>
        <w:t xml:space="preserve"> box to participate in RecruitAbility. Simply declaring that you have a disability will not automatically include you.</w:t>
      </w:r>
    </w:p>
    <w:p w14:paraId="29FE191F" w14:textId="77777777" w:rsidR="007B118C" w:rsidRDefault="007B118C" w:rsidP="004E244C">
      <w:pPr>
        <w:pStyle w:val="BodyText"/>
      </w:pPr>
      <w:r>
        <w:t xml:space="preserve">Please </w:t>
      </w:r>
      <w:r w:rsidR="00F54F7F">
        <w:t xml:space="preserve">see </w:t>
      </w:r>
      <w:hyperlink r:id="rId11" w:history="1">
        <w:r w:rsidRPr="007B118C">
          <w:rPr>
            <w:rStyle w:val="Hyperlink"/>
          </w:rPr>
          <w:t>RecruitAbility: a guide for applicants</w:t>
        </w:r>
      </w:hyperlink>
      <w:r>
        <w:t xml:space="preserve"> on the Australian Public Service Commission website for more details.</w:t>
      </w:r>
    </w:p>
    <w:p w14:paraId="141679CE" w14:textId="77777777" w:rsidR="004E244C" w:rsidRDefault="004E244C" w:rsidP="00D24C05">
      <w:pPr>
        <w:pStyle w:val="Heading2"/>
      </w:pPr>
      <w:bookmarkStart w:id="17" w:name="_Toc33700832"/>
      <w:r>
        <w:t>Reasonable adjustments</w:t>
      </w:r>
      <w:bookmarkEnd w:id="17"/>
    </w:p>
    <w:p w14:paraId="3D4B8883" w14:textId="77777777" w:rsidR="004E244C" w:rsidRDefault="004E244C" w:rsidP="00D24C05">
      <w:pPr>
        <w:pStyle w:val="BodyText"/>
        <w:spacing w:before="80"/>
      </w:pPr>
      <w:r>
        <w:t>We provide reasonable adjustments, such as access, equipment or other practical support at relevant stages of the recruitment process. Please ask us if you need any adjustments made.</w:t>
      </w:r>
    </w:p>
    <w:p w14:paraId="15C0D7AB" w14:textId="77777777" w:rsidR="004E244C" w:rsidRDefault="004E244C" w:rsidP="004E244C">
      <w:pPr>
        <w:pStyle w:val="BodyText"/>
      </w:pPr>
      <w:r>
        <w:t>If you have individual requirements that need to be accommodated to participate in an interview or assessment centre, please inform the contact person listed on the job information.</w:t>
      </w:r>
    </w:p>
    <w:p w14:paraId="221E78F0" w14:textId="77777777" w:rsidR="00685B94" w:rsidRDefault="00685B94" w:rsidP="00685B94">
      <w:pPr>
        <w:pStyle w:val="BodyText"/>
      </w:pPr>
      <w:r>
        <w:t>We will consider all requests for reasonable adjustment for people with disability to assist in the application process and if successful, the inherent requirements of the position.</w:t>
      </w:r>
    </w:p>
    <w:p w14:paraId="06126369" w14:textId="77777777" w:rsidR="009D4CEB" w:rsidRDefault="003B7E59" w:rsidP="003B7E59">
      <w:pPr>
        <w:pStyle w:val="Heading2"/>
      </w:pPr>
      <w:bookmarkStart w:id="18" w:name="_Toc33700833"/>
      <w:r>
        <w:t>Working environment</w:t>
      </w:r>
      <w:bookmarkEnd w:id="18"/>
    </w:p>
    <w:p w14:paraId="0A7C6CEB" w14:textId="77777777" w:rsidR="009D4CEB" w:rsidRDefault="003B7E59" w:rsidP="00177251">
      <w:pPr>
        <w:pStyle w:val="BodyText"/>
      </w:pPr>
      <w:r w:rsidRPr="003B7E59">
        <w:t xml:space="preserve">The </w:t>
      </w:r>
      <w:r w:rsidR="00397993">
        <w:t>department</w:t>
      </w:r>
      <w:r w:rsidRPr="003B7E59">
        <w:t xml:space="preserve"> is committed to creating a fair, accessible and flexible work environment accommodating the individual needs of employees and aligning with organisational goals. These arrangements are available to all employees within the </w:t>
      </w:r>
      <w:r w:rsidR="00397993">
        <w:t>department</w:t>
      </w:r>
      <w:r w:rsidRPr="003B7E59">
        <w:t xml:space="preserve"> where operational requirements permit.</w:t>
      </w:r>
    </w:p>
    <w:p w14:paraId="626B2892" w14:textId="77777777" w:rsidR="009D4CEB" w:rsidRDefault="003B7E59" w:rsidP="003B7E59">
      <w:pPr>
        <w:pStyle w:val="Heading2"/>
      </w:pPr>
      <w:bookmarkStart w:id="19" w:name="_Toc33700834"/>
      <w:r>
        <w:t>B</w:t>
      </w:r>
      <w:r w:rsidRPr="003B7E59">
        <w:t>ehaviour and conduct in the workplace</w:t>
      </w:r>
      <w:bookmarkEnd w:id="19"/>
    </w:p>
    <w:p w14:paraId="44004188" w14:textId="77777777" w:rsidR="003B7E59" w:rsidRDefault="003B7E59" w:rsidP="00177251">
      <w:pPr>
        <w:pStyle w:val="BodyText"/>
      </w:pPr>
      <w:r w:rsidRPr="003B7E59">
        <w:t xml:space="preserve">All Commonwealth employees must comply with the requirements of the </w:t>
      </w:r>
      <w:r w:rsidRPr="003B7E59">
        <w:rPr>
          <w:i/>
        </w:rPr>
        <w:t>Public Service Act 1999</w:t>
      </w:r>
      <w:r w:rsidRPr="003B7E59">
        <w:t xml:space="preserve">, including the </w:t>
      </w:r>
      <w:r w:rsidR="00F05CE6">
        <w:t>Australian Public Service (</w:t>
      </w:r>
      <w:r w:rsidRPr="003B7E59">
        <w:t>APS</w:t>
      </w:r>
      <w:r w:rsidR="00F05CE6">
        <w:t>)</w:t>
      </w:r>
      <w:r w:rsidRPr="003B7E59">
        <w:t xml:space="preserve"> Values, </w:t>
      </w:r>
      <w:r w:rsidR="00E90090">
        <w:t xml:space="preserve">APS </w:t>
      </w:r>
      <w:r w:rsidRPr="003B7E59">
        <w:t xml:space="preserve">Employment Principles and </w:t>
      </w:r>
      <w:r w:rsidR="00E90090">
        <w:t xml:space="preserve">the APS </w:t>
      </w:r>
      <w:r w:rsidRPr="003B7E59">
        <w:t>Code of Conduct.</w:t>
      </w:r>
    </w:p>
    <w:p w14:paraId="58DEC5BD" w14:textId="77777777" w:rsidR="003B7E59" w:rsidRDefault="003B7E59" w:rsidP="00177251">
      <w:pPr>
        <w:pStyle w:val="BodyText"/>
      </w:pPr>
      <w:r w:rsidRPr="003B7E59">
        <w:t xml:space="preserve">The APS Values, </w:t>
      </w:r>
      <w:r w:rsidR="00E90090">
        <w:t xml:space="preserve">APS </w:t>
      </w:r>
      <w:r w:rsidRPr="003B7E59">
        <w:t>Employment Principl</w:t>
      </w:r>
      <w:r w:rsidR="00E90090">
        <w:t>e</w:t>
      </w:r>
      <w:r w:rsidRPr="003B7E59">
        <w:t xml:space="preserve">s and </w:t>
      </w:r>
      <w:r w:rsidR="00E90090">
        <w:t xml:space="preserve">the APS </w:t>
      </w:r>
      <w:r w:rsidRPr="003B7E59">
        <w:t>Code of Conduct specify the type of behaviour and conduct expected</w:t>
      </w:r>
      <w:r w:rsidR="00E5744D">
        <w:t xml:space="preserve"> of employees</w:t>
      </w:r>
      <w:r w:rsidRPr="003B7E59">
        <w:t>.</w:t>
      </w:r>
    </w:p>
    <w:p w14:paraId="7554BA80" w14:textId="77777777" w:rsidR="003B7E59" w:rsidRDefault="003B7E59" w:rsidP="00177251">
      <w:pPr>
        <w:pStyle w:val="BodyText"/>
      </w:pPr>
      <w:r w:rsidRPr="003B7E59">
        <w:t xml:space="preserve">Proven breaches of the </w:t>
      </w:r>
      <w:r>
        <w:t xml:space="preserve">APS </w:t>
      </w:r>
      <w:r w:rsidRPr="003B7E59">
        <w:t xml:space="preserve">Values or </w:t>
      </w:r>
      <w:r w:rsidR="00E90090">
        <w:t xml:space="preserve">the </w:t>
      </w:r>
      <w:r w:rsidRPr="003B7E59">
        <w:t xml:space="preserve">Code of Conduct may result in formal action being taken in accordance with the </w:t>
      </w:r>
      <w:r w:rsidR="00397993">
        <w:t>department</w:t>
      </w:r>
      <w:r w:rsidRPr="003B7E59">
        <w:t>’s procedures.</w:t>
      </w:r>
    </w:p>
    <w:p w14:paraId="4E83AE58" w14:textId="77777777" w:rsidR="003B7E59" w:rsidRDefault="003B7E59" w:rsidP="00177251">
      <w:pPr>
        <w:pStyle w:val="BodyText"/>
      </w:pPr>
      <w:r w:rsidRPr="003B7E59">
        <w:t>Sanctions that may apply for a proven breach of the APS Code of Conduct range from a reprimand through to termination of employment.</w:t>
      </w:r>
    </w:p>
    <w:p w14:paraId="2CC44AE6" w14:textId="77777777" w:rsidR="00E90090" w:rsidRPr="00E90090" w:rsidRDefault="00E90090" w:rsidP="00177251">
      <w:pPr>
        <w:pStyle w:val="BodyText"/>
      </w:pPr>
      <w:r w:rsidRPr="00A8609D">
        <w:rPr>
          <w:b/>
        </w:rPr>
        <w:t>Note:</w:t>
      </w:r>
      <w:r w:rsidRPr="00A8609D">
        <w:t xml:space="preserve"> Refer to </w:t>
      </w:r>
      <w:hyperlink r:id="rId12" w:history="1">
        <w:r w:rsidRPr="00A8609D">
          <w:rPr>
            <w:rStyle w:val="Hyperlink"/>
          </w:rPr>
          <w:t>Integrity in the APS</w:t>
        </w:r>
      </w:hyperlink>
      <w:r w:rsidRPr="00A8609D">
        <w:t xml:space="preserve"> on the Australian Public Service Commission website.</w:t>
      </w:r>
    </w:p>
    <w:p w14:paraId="017A26BC" w14:textId="77777777" w:rsidR="003B7E59" w:rsidRDefault="003B7E59" w:rsidP="003B7E59">
      <w:pPr>
        <w:pStyle w:val="Heading2"/>
      </w:pPr>
      <w:bookmarkStart w:id="20" w:name="_Toc33700835"/>
      <w:r>
        <w:t>Work health and safety</w:t>
      </w:r>
      <w:bookmarkEnd w:id="20"/>
    </w:p>
    <w:p w14:paraId="462CB138" w14:textId="77777777" w:rsidR="003B7E59" w:rsidRDefault="003B7E59" w:rsidP="003B7E59">
      <w:pPr>
        <w:pStyle w:val="BodyText"/>
      </w:pPr>
      <w:r>
        <w:t xml:space="preserve">Under the </w:t>
      </w:r>
      <w:r w:rsidRPr="003B7E59">
        <w:rPr>
          <w:i/>
        </w:rPr>
        <w:t>Work Health and Safety Act 2011</w:t>
      </w:r>
      <w:r>
        <w:t xml:space="preserve">, as a worker you must cooperate with any reasonable instruction, policy or procedures given to you by the </w:t>
      </w:r>
      <w:r w:rsidR="00397993">
        <w:t>department</w:t>
      </w:r>
      <w:r w:rsidR="006460B4">
        <w:t>—p</w:t>
      </w:r>
      <w:r w:rsidR="006460B4" w:rsidRPr="006460B4">
        <w:t>erson conducting a business or undertaking</w:t>
      </w:r>
      <w:r>
        <w:t xml:space="preserve"> (PCBU)</w:t>
      </w:r>
      <w:r w:rsidR="006460B4">
        <w:t>—</w:t>
      </w:r>
      <w:r>
        <w:t>which relates to health and safety in the workplace.</w:t>
      </w:r>
    </w:p>
    <w:p w14:paraId="3B9790A8" w14:textId="77777777" w:rsidR="003B7E59" w:rsidRDefault="003B7E59" w:rsidP="003B7E59">
      <w:pPr>
        <w:pStyle w:val="BodyText"/>
      </w:pPr>
      <w:r>
        <w:lastRenderedPageBreak/>
        <w:t>You must also take reasonable care for your own health and safety while at work, and ensure your acts or omissions do not adversely affect the health and safety of other persons in your workplace.</w:t>
      </w:r>
    </w:p>
    <w:p w14:paraId="40953DC5" w14:textId="77777777" w:rsidR="003B7E59" w:rsidRDefault="003B7E59" w:rsidP="003B7E59">
      <w:pPr>
        <w:pStyle w:val="BodyText"/>
      </w:pPr>
      <w:r w:rsidRPr="003B7E59">
        <w:rPr>
          <w:b/>
        </w:rPr>
        <w:t>Definition:</w:t>
      </w:r>
      <w:r>
        <w:t xml:space="preserve"> A worker includes contractors, sub-contractors, graduates and volunteers working for a Commonwealth or non-Commonwealth licensee business or undertaking.</w:t>
      </w:r>
    </w:p>
    <w:p w14:paraId="386F8602" w14:textId="77777777" w:rsidR="00E5744D" w:rsidRDefault="006B0FA2" w:rsidP="006B0FA2">
      <w:pPr>
        <w:pStyle w:val="Heading2"/>
      </w:pPr>
      <w:bookmarkStart w:id="21" w:name="_Toc33700836"/>
      <w:r w:rsidRPr="006B0FA2">
        <w:t>Review of promotion decisions</w:t>
      </w:r>
      <w:bookmarkEnd w:id="21"/>
    </w:p>
    <w:p w14:paraId="2974D398" w14:textId="77777777" w:rsidR="006B0FA2" w:rsidRDefault="006B0FA2" w:rsidP="004422DE">
      <w:pPr>
        <w:pStyle w:val="BodyText"/>
        <w:spacing w:before="80" w:after="120"/>
      </w:pPr>
      <w:r>
        <w:t>Where the outcome of a recruitment process is a promotion, a person can apply for a review of the decision when the following criteria are met:</w:t>
      </w:r>
    </w:p>
    <w:p w14:paraId="01E63208" w14:textId="77777777" w:rsidR="006B0FA2" w:rsidRDefault="006B0FA2" w:rsidP="006B0FA2">
      <w:pPr>
        <w:pStyle w:val="ListBullet"/>
      </w:pPr>
      <w:r>
        <w:t xml:space="preserve">a promotion decision has been published in the </w:t>
      </w:r>
      <w:hyperlink r:id="rId13" w:history="1">
        <w:r w:rsidR="005C63F2" w:rsidRPr="005C63F2">
          <w:rPr>
            <w:rStyle w:val="Hyperlink"/>
          </w:rPr>
          <w:t xml:space="preserve">Australian Public Service </w:t>
        </w:r>
        <w:r w:rsidRPr="005C63F2">
          <w:rPr>
            <w:rStyle w:val="Hyperlink"/>
          </w:rPr>
          <w:t>Gazette</w:t>
        </w:r>
      </w:hyperlink>
      <w:r>
        <w:t xml:space="preserve"> </w:t>
      </w:r>
      <w:r w:rsidR="005C63F2">
        <w:t xml:space="preserve">on the </w:t>
      </w:r>
      <w:proofErr w:type="spellStart"/>
      <w:r w:rsidR="005C63F2">
        <w:t>APSJobs</w:t>
      </w:r>
      <w:proofErr w:type="spellEnd"/>
      <w:r w:rsidR="005C63F2">
        <w:t xml:space="preserve"> website </w:t>
      </w:r>
      <w:r>
        <w:t>for a job at the APS 1 to 6 classification</w:t>
      </w:r>
    </w:p>
    <w:p w14:paraId="771A1F24" w14:textId="77777777" w:rsidR="006B0FA2" w:rsidRDefault="006B0FA2" w:rsidP="006B0FA2">
      <w:pPr>
        <w:pStyle w:val="ListBullet"/>
      </w:pPr>
      <w:r>
        <w:t>the person is an ongoing APS employee who has applied unsuccessfully for promotion to the job</w:t>
      </w:r>
    </w:p>
    <w:p w14:paraId="402997CD" w14:textId="77777777" w:rsidR="006B0FA2" w:rsidRDefault="006B0FA2" w:rsidP="006B0FA2">
      <w:pPr>
        <w:pStyle w:val="ListBullet"/>
      </w:pPr>
      <w:r>
        <w:t>the successful candidate is an ongoing APS employee who will be promoted to the job.</w:t>
      </w:r>
    </w:p>
    <w:p w14:paraId="16B15749" w14:textId="77777777" w:rsidR="006B0FA2" w:rsidRDefault="006B0FA2" w:rsidP="006B0FA2">
      <w:pPr>
        <w:pStyle w:val="BodyText"/>
      </w:pPr>
      <w:r>
        <w:t xml:space="preserve">A promotion review must be lodged within 14 days of the promotion notification in the </w:t>
      </w:r>
      <w:r w:rsidR="005C63F2">
        <w:t xml:space="preserve">Australian </w:t>
      </w:r>
      <w:r>
        <w:t>Public Service Gazette.</w:t>
      </w:r>
    </w:p>
    <w:p w14:paraId="2C6E4DC2" w14:textId="77777777" w:rsidR="00E5744D" w:rsidRDefault="006B0FA2" w:rsidP="006B0FA2">
      <w:pPr>
        <w:pStyle w:val="BodyText"/>
      </w:pPr>
      <w:r>
        <w:t xml:space="preserve">Please contact the </w:t>
      </w:r>
      <w:hyperlink r:id="rId14" w:history="1">
        <w:r w:rsidRPr="006B0FA2">
          <w:rPr>
            <w:rStyle w:val="Hyperlink"/>
          </w:rPr>
          <w:t>Office of the Merit Protection Commissioner</w:t>
        </w:r>
      </w:hyperlink>
      <w:r>
        <w:t xml:space="preserve"> for further information.</w:t>
      </w:r>
    </w:p>
    <w:p w14:paraId="1EA9D4D5" w14:textId="77777777" w:rsidR="006B0FA2" w:rsidRDefault="006B0FA2" w:rsidP="006B0FA2">
      <w:pPr>
        <w:pStyle w:val="Heading2"/>
      </w:pPr>
      <w:bookmarkStart w:id="22" w:name="_Toc33700837"/>
      <w:r w:rsidRPr="006B0FA2">
        <w:t>Drug and alcohol guidelines</w:t>
      </w:r>
      <w:bookmarkEnd w:id="22"/>
    </w:p>
    <w:p w14:paraId="7456C28C" w14:textId="77777777" w:rsidR="006B0FA2" w:rsidRDefault="006B0FA2" w:rsidP="006B0FA2">
      <w:pPr>
        <w:pStyle w:val="Heading3"/>
      </w:pPr>
      <w:bookmarkStart w:id="23" w:name="_Toc33700838"/>
      <w:r>
        <w:t>Alcohol and other substances</w:t>
      </w:r>
      <w:bookmarkEnd w:id="23"/>
    </w:p>
    <w:p w14:paraId="3F726687" w14:textId="77777777" w:rsidR="006B0FA2" w:rsidRDefault="006B0FA2" w:rsidP="004422DE">
      <w:pPr>
        <w:pStyle w:val="BodyText"/>
        <w:spacing w:before="80"/>
      </w:pPr>
      <w:r>
        <w:t>Improper and/or inappropriate use of alcohol and other substances can cause serious injury to the health of employees, impair the workplace performance and endanger the safety and wellbeing of fellow employees and members of the general public.</w:t>
      </w:r>
    </w:p>
    <w:p w14:paraId="22D411A7" w14:textId="16BED565" w:rsidR="00DA1260" w:rsidRDefault="001F5EFF" w:rsidP="006B0FA2">
      <w:pPr>
        <w:pStyle w:val="BodyText"/>
      </w:pPr>
      <w:r>
        <w:t>D</w:t>
      </w:r>
      <w:r w:rsidR="00397993">
        <w:t>epartment</w:t>
      </w:r>
      <w:r w:rsidR="00DA1260">
        <w:t>al</w:t>
      </w:r>
      <w:r w:rsidR="006B0FA2">
        <w:t xml:space="preserve"> employees and contractors must not, through the consumption of alcohol or other substances (whether legal or illegal)</w:t>
      </w:r>
      <w:r w:rsidR="00DA1260">
        <w:t>,</w:t>
      </w:r>
      <w:r w:rsidR="006B0FA2">
        <w:t xml:space="preserve"> render themselves unfit or incapable of performing their duties.</w:t>
      </w:r>
    </w:p>
    <w:p w14:paraId="3CB5E785" w14:textId="77777777" w:rsidR="00BF1F49" w:rsidRPr="001F5EFF" w:rsidRDefault="006B0FA2" w:rsidP="004422DE">
      <w:pPr>
        <w:pStyle w:val="BodyText"/>
        <w:spacing w:before="80" w:after="120"/>
      </w:pPr>
      <w:r w:rsidRPr="001F5EFF">
        <w:t>Employees whose work performance or conduct is impaired by alcohol or other drugs</w:t>
      </w:r>
      <w:r w:rsidR="00BF1F49" w:rsidRPr="001F5EFF">
        <w:t>:</w:t>
      </w:r>
    </w:p>
    <w:p w14:paraId="297FA778" w14:textId="5E059455" w:rsidR="00BF1F49" w:rsidRPr="001F5EFF" w:rsidRDefault="00BF1F49" w:rsidP="00BF1F49">
      <w:pPr>
        <w:pStyle w:val="ListBullet"/>
      </w:pPr>
      <w:r w:rsidRPr="001F5EFF">
        <w:t>will be directed to cease work immediately</w:t>
      </w:r>
    </w:p>
    <w:p w14:paraId="21486B61" w14:textId="77777777" w:rsidR="006B0FA2" w:rsidRPr="001F5EFF" w:rsidRDefault="00BF1F49" w:rsidP="00BF1F49">
      <w:pPr>
        <w:pStyle w:val="ListBullet"/>
      </w:pPr>
      <w:r w:rsidRPr="001F5EFF">
        <w:t xml:space="preserve">are </w:t>
      </w:r>
      <w:r w:rsidR="006B0FA2" w:rsidRPr="001F5EFF">
        <w:t>expected to make appropriate leave arrangements and not attend work until they are fully effective.</w:t>
      </w:r>
    </w:p>
    <w:p w14:paraId="724C3855" w14:textId="77777777" w:rsidR="006B0FA2" w:rsidRDefault="006B0FA2" w:rsidP="006B0FA2">
      <w:pPr>
        <w:pStyle w:val="BodyText"/>
      </w:pPr>
      <w:r>
        <w:t xml:space="preserve">All </w:t>
      </w:r>
      <w:r w:rsidR="00397993">
        <w:t>department</w:t>
      </w:r>
      <w:r w:rsidR="00DA1260">
        <w:t xml:space="preserve">al </w:t>
      </w:r>
      <w:r>
        <w:t xml:space="preserve">employees working airside are required by law to comply with </w:t>
      </w:r>
      <w:r w:rsidR="00DA1260">
        <w:t xml:space="preserve">the </w:t>
      </w:r>
      <w:hyperlink r:id="rId15" w:history="1">
        <w:r w:rsidRPr="00DA1260">
          <w:rPr>
            <w:rStyle w:val="Hyperlink"/>
          </w:rPr>
          <w:t>Civil</w:t>
        </w:r>
        <w:r w:rsidR="00DA1260" w:rsidRPr="00DA1260">
          <w:rPr>
            <w:rStyle w:val="Hyperlink"/>
          </w:rPr>
          <w:t> </w:t>
        </w:r>
        <w:r w:rsidRPr="00DA1260">
          <w:rPr>
            <w:rStyle w:val="Hyperlink"/>
          </w:rPr>
          <w:t>Aviation Safety Authority Drug and Alcohol Random Testing Program</w:t>
        </w:r>
      </w:hyperlink>
      <w:r>
        <w:t>.</w:t>
      </w:r>
    </w:p>
    <w:p w14:paraId="600C082F" w14:textId="48A2E0EB" w:rsidR="003C49E5" w:rsidRDefault="003C49E5">
      <w:pPr>
        <w:spacing w:before="0" w:after="0"/>
        <w:rPr>
          <w:rFonts w:eastAsia="Times New Roman"/>
          <w:b/>
          <w:bCs/>
          <w:sz w:val="28"/>
        </w:rPr>
      </w:pPr>
      <w:bookmarkStart w:id="24" w:name="_Toc33700839"/>
      <w:r>
        <w:br w:type="page"/>
      </w:r>
    </w:p>
    <w:p w14:paraId="2B9B7C27" w14:textId="77777777" w:rsidR="003C49E5" w:rsidRDefault="003C49E5" w:rsidP="006B0FA2">
      <w:pPr>
        <w:pStyle w:val="Heading3"/>
      </w:pPr>
    </w:p>
    <w:p w14:paraId="711A1BBF" w14:textId="3C2B3138" w:rsidR="006B0FA2" w:rsidRDefault="006B0FA2" w:rsidP="006B0FA2">
      <w:pPr>
        <w:pStyle w:val="Heading3"/>
      </w:pPr>
      <w:r>
        <w:t>Illegal substances</w:t>
      </w:r>
      <w:bookmarkEnd w:id="24"/>
    </w:p>
    <w:p w14:paraId="11A76CCB" w14:textId="77777777" w:rsidR="006B0FA2" w:rsidRDefault="00DA1260" w:rsidP="006B0FA2">
      <w:pPr>
        <w:pStyle w:val="BodyText"/>
      </w:pPr>
      <w:r>
        <w:t xml:space="preserve">The </w:t>
      </w:r>
      <w:r w:rsidR="00397993">
        <w:t>department</w:t>
      </w:r>
      <w:r w:rsidR="006B0FA2">
        <w:t xml:space="preserve"> adopts a zero</w:t>
      </w:r>
      <w:r>
        <w:t>-</w:t>
      </w:r>
      <w:r w:rsidR="006B0FA2">
        <w:t>tolerance policy toward the use of illegal drugs. All employees and contractors must not, at any time, take part in, or knowingly have a continuing association with persons involved in the illegal importation, possession, trafficking, manufacture or use of illicit drugs or other prohibited substances or associated paraphernalia.</w:t>
      </w:r>
    </w:p>
    <w:p w14:paraId="5F056BB4" w14:textId="77777777" w:rsidR="006B0FA2" w:rsidRDefault="006B0FA2" w:rsidP="006B0FA2">
      <w:pPr>
        <w:pStyle w:val="BodyText"/>
      </w:pPr>
      <w:r>
        <w:t>Failure to comply with these requirements may result in the imposition of disciplinary procedures.</w:t>
      </w:r>
    </w:p>
    <w:p w14:paraId="6E01CEED" w14:textId="77777777" w:rsidR="006B0FA2" w:rsidRDefault="006B0FA2" w:rsidP="006B0FA2">
      <w:pPr>
        <w:pStyle w:val="Heading3"/>
      </w:pPr>
      <w:bookmarkStart w:id="25" w:name="_Toc33700840"/>
      <w:r>
        <w:t>Smoking</w:t>
      </w:r>
      <w:bookmarkEnd w:id="25"/>
    </w:p>
    <w:p w14:paraId="566C4193" w14:textId="77777777" w:rsidR="006B0FA2" w:rsidRDefault="006B0FA2" w:rsidP="006B0FA2">
      <w:pPr>
        <w:pStyle w:val="BodyText"/>
      </w:pPr>
      <w:r>
        <w:t xml:space="preserve">The </w:t>
      </w:r>
      <w:r w:rsidR="00397993">
        <w:t>department</w:t>
      </w:r>
      <w:r>
        <w:t xml:space="preserve"> is required by </w:t>
      </w:r>
      <w:r w:rsidR="00DA1260">
        <w:t xml:space="preserve">work health and safety </w:t>
      </w:r>
      <w:r>
        <w:t>legislation to provide employees with a healthy and safe working environment</w:t>
      </w:r>
    </w:p>
    <w:p w14:paraId="121C7866" w14:textId="77777777" w:rsidR="006B0FA2" w:rsidRDefault="006B0FA2" w:rsidP="006B0FA2">
      <w:pPr>
        <w:pStyle w:val="BodyText"/>
      </w:pPr>
      <w:r>
        <w:t>Smoking is banned:</w:t>
      </w:r>
    </w:p>
    <w:p w14:paraId="6943AC48" w14:textId="77777777" w:rsidR="006B0FA2" w:rsidRDefault="006B0FA2" w:rsidP="006B0FA2">
      <w:pPr>
        <w:pStyle w:val="ListBullet"/>
      </w:pPr>
      <w:r>
        <w:t xml:space="preserve">in all areas of buildings or parts of buildings occupied by the </w:t>
      </w:r>
      <w:r w:rsidR="00397993">
        <w:t>department</w:t>
      </w:r>
      <w:r w:rsidR="00DA1260">
        <w:t>,</w:t>
      </w:r>
      <w:r>
        <w:t xml:space="preserve"> including offices, basements, stairwells, toilets and balconies</w:t>
      </w:r>
    </w:p>
    <w:p w14:paraId="64352E14" w14:textId="77777777" w:rsidR="006B0FA2" w:rsidRDefault="006B0FA2" w:rsidP="006B0FA2">
      <w:pPr>
        <w:pStyle w:val="ListBullet"/>
      </w:pPr>
      <w:r>
        <w:t xml:space="preserve">in vehicles, vessels or aircraft under the control or hired by the </w:t>
      </w:r>
      <w:r w:rsidR="00397993">
        <w:t>department</w:t>
      </w:r>
    </w:p>
    <w:p w14:paraId="6735B2FE" w14:textId="77777777" w:rsidR="006B0FA2" w:rsidRDefault="006B0FA2" w:rsidP="006B0FA2">
      <w:pPr>
        <w:pStyle w:val="ListBullet"/>
      </w:pPr>
      <w:r>
        <w:t xml:space="preserve">at all social functions held on </w:t>
      </w:r>
      <w:r w:rsidR="00397993">
        <w:t>department</w:t>
      </w:r>
      <w:r w:rsidR="00DA1260">
        <w:t>al</w:t>
      </w:r>
      <w:r>
        <w:t xml:space="preserve"> premises.</w:t>
      </w:r>
    </w:p>
    <w:p w14:paraId="1220B289" w14:textId="77777777" w:rsidR="006B0FA2" w:rsidRDefault="006B0FA2" w:rsidP="006B0FA2">
      <w:pPr>
        <w:pStyle w:val="BodyText"/>
      </w:pPr>
      <w:r>
        <w:t xml:space="preserve">This ban applies at all times, not just </w:t>
      </w:r>
      <w:r w:rsidR="005C63F2">
        <w:t>dur</w:t>
      </w:r>
      <w:r>
        <w:t>in</w:t>
      </w:r>
      <w:r w:rsidR="005C63F2">
        <w:t>g</w:t>
      </w:r>
      <w:r>
        <w:t xml:space="preserve"> working hours and covers all workplaces in central office, the regions and overseas.</w:t>
      </w:r>
    </w:p>
    <w:p w14:paraId="0B6DF9B4" w14:textId="77777777" w:rsidR="006B0FA2" w:rsidRDefault="00E54F94" w:rsidP="00E54F94">
      <w:pPr>
        <w:pStyle w:val="Heading2"/>
      </w:pPr>
      <w:bookmarkStart w:id="26" w:name="_Toc33700841"/>
      <w:r>
        <w:t>Further information</w:t>
      </w:r>
      <w:bookmarkEnd w:id="26"/>
    </w:p>
    <w:p w14:paraId="15113041" w14:textId="6C09B979" w:rsidR="00E54F94" w:rsidRDefault="00E54F94" w:rsidP="00E54F94">
      <w:pPr>
        <w:pStyle w:val="BodyText"/>
      </w:pPr>
      <w:r>
        <w:t xml:space="preserve">Further information on </w:t>
      </w:r>
      <w:r w:rsidR="00397993" w:rsidRPr="003C49E5">
        <w:t>Department</w:t>
      </w:r>
      <w:r w:rsidR="00F312CB" w:rsidRPr="003C49E5">
        <w:t xml:space="preserve">al </w:t>
      </w:r>
      <w:r w:rsidRPr="003C49E5">
        <w:t>roles and responsibilities</w:t>
      </w:r>
      <w:r>
        <w:t xml:space="preserve"> is </w:t>
      </w:r>
      <w:r w:rsidR="00F312CB">
        <w:t xml:space="preserve">available on our </w:t>
      </w:r>
      <w:r>
        <w:t>website</w:t>
      </w:r>
      <w:r w:rsidR="00F312CB">
        <w:t>.</w:t>
      </w:r>
    </w:p>
    <w:p w14:paraId="4F74FA7D" w14:textId="43637D14" w:rsidR="00C426B5" w:rsidRPr="004422DE" w:rsidRDefault="00E54F94" w:rsidP="004422DE">
      <w:pPr>
        <w:pStyle w:val="BodyText"/>
        <w:rPr>
          <w:b/>
        </w:rPr>
      </w:pPr>
      <w:r w:rsidRPr="004422DE">
        <w:rPr>
          <w:b/>
        </w:rPr>
        <w:t xml:space="preserve">Thank you for your interest with the </w:t>
      </w:r>
      <w:r w:rsidR="00397993">
        <w:rPr>
          <w:b/>
        </w:rPr>
        <w:t>Department</w:t>
      </w:r>
      <w:r w:rsidR="00B91C9B">
        <w:rPr>
          <w:b/>
        </w:rPr>
        <w:t xml:space="preserve"> of </w:t>
      </w:r>
      <w:r w:rsidR="003C49E5">
        <w:rPr>
          <w:b/>
        </w:rPr>
        <w:t>Climate Change, Energy,</w:t>
      </w:r>
      <w:r w:rsidR="00B91C9B">
        <w:rPr>
          <w:b/>
        </w:rPr>
        <w:t xml:space="preserve"> the Environment</w:t>
      </w:r>
      <w:r w:rsidR="003C49E5">
        <w:rPr>
          <w:b/>
        </w:rPr>
        <w:t xml:space="preserve"> and Water</w:t>
      </w:r>
      <w:r w:rsidR="00B91C9B">
        <w:rPr>
          <w:b/>
        </w:rPr>
        <w:t>.</w:t>
      </w:r>
    </w:p>
    <w:sectPr w:rsidR="00C426B5" w:rsidRPr="004422DE" w:rsidSect="005E6556">
      <w:headerReference w:type="default" r:id="rId16"/>
      <w:footerReference w:type="default" r:id="rId17"/>
      <w:pgSz w:w="11906" w:h="16838" w:code="9"/>
      <w:pgMar w:top="924" w:right="1361" w:bottom="964" w:left="1440" w:header="425" w:footer="1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C097" w14:textId="77777777" w:rsidR="009426FC" w:rsidRDefault="009426FC">
      <w:pPr>
        <w:spacing w:after="0"/>
      </w:pPr>
      <w:r>
        <w:separator/>
      </w:r>
    </w:p>
  </w:endnote>
  <w:endnote w:type="continuationSeparator" w:id="0">
    <w:p w14:paraId="63445FB5" w14:textId="77777777" w:rsidR="009426FC" w:rsidRDefault="009426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489D" w14:textId="77777777" w:rsidR="007273C2" w:rsidRDefault="007273C2" w:rsidP="00517077">
    <w:pPr>
      <w:pStyle w:val="Footer"/>
      <w:tabs>
        <w:tab w:val="clear" w:pos="9026"/>
        <w:tab w:val="right" w:pos="9356"/>
      </w:tabs>
      <w:spacing w:before="0"/>
      <w:ind w:left="-567"/>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D85A4" w14:textId="77777777" w:rsidR="009426FC" w:rsidRDefault="009426FC">
      <w:pPr>
        <w:spacing w:after="0"/>
      </w:pPr>
      <w:r>
        <w:separator/>
      </w:r>
    </w:p>
  </w:footnote>
  <w:footnote w:type="continuationSeparator" w:id="0">
    <w:p w14:paraId="14D391BF" w14:textId="77777777" w:rsidR="009426FC" w:rsidRDefault="009426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3D51" w14:textId="710D7AD0" w:rsidR="007273C2" w:rsidRPr="00517077" w:rsidRDefault="003C49E5" w:rsidP="003C49E5">
    <w:pPr>
      <w:pStyle w:val="Header"/>
      <w:spacing w:before="0"/>
      <w:jc w:val="center"/>
      <w:rPr>
        <w:sz w:val="16"/>
        <w:szCs w:val="16"/>
        <w:lang w:val="en-US" w:eastAsia="zh-TW"/>
      </w:rPr>
    </w:pPr>
    <w:r>
      <w:rPr>
        <w:noProof/>
      </w:rPr>
      <w:drawing>
        <wp:inline distT="0" distB="0" distL="0" distR="0" wp14:anchorId="2D2D7E37" wp14:editId="19DF7F13">
          <wp:extent cx="3441600" cy="828000"/>
          <wp:effectExtent l="0" t="0" r="6985"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1600" cy="82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492C9B68"/>
    <w:lvl w:ilvl="0">
      <w:start w:val="1"/>
      <w:numFmt w:val="decimal"/>
      <w:pStyle w:val="ListNumber3"/>
      <w:lvlText w:val="%1."/>
      <w:lvlJc w:val="left"/>
      <w:pPr>
        <w:tabs>
          <w:tab w:val="num" w:pos="926"/>
        </w:tabs>
        <w:ind w:left="926" w:hanging="360"/>
      </w:pPr>
    </w:lvl>
  </w:abstractNum>
  <w:abstractNum w:abstractNumId="1" w15:restartNumberingAfterBreak="0">
    <w:nsid w:val="FFFFFF89"/>
    <w:multiLevelType w:val="singleLevel"/>
    <w:tmpl w:val="C6DA1914"/>
    <w:lvl w:ilvl="0">
      <w:start w:val="1"/>
      <w:numFmt w:val="bullet"/>
      <w:pStyle w:val="ListBullet"/>
      <w:lvlText w:val=""/>
      <w:lvlJc w:val="left"/>
      <w:pPr>
        <w:ind w:left="360" w:hanging="360"/>
      </w:pPr>
      <w:rPr>
        <w:rFonts w:ascii="Symbol" w:hAnsi="Symbol" w:hint="default"/>
      </w:rPr>
    </w:lvl>
  </w:abstractNum>
  <w:abstractNum w:abstractNumId="2" w15:restartNumberingAfterBreak="0">
    <w:nsid w:val="07DA671F"/>
    <w:multiLevelType w:val="hybridMultilevel"/>
    <w:tmpl w:val="E47E4A34"/>
    <w:lvl w:ilvl="0" w:tplc="7D0E12C4">
      <w:start w:val="1"/>
      <w:numFmt w:val="decimal"/>
      <w:pStyle w:val="Sectionheading1"/>
      <w:lvlText w:val="%1."/>
      <w:lvlJc w:val="left"/>
      <w:pPr>
        <w:ind w:left="720" w:hanging="360"/>
      </w:pPr>
      <w:rPr>
        <w:rFonts w:hint="default"/>
      </w:rPr>
    </w:lvl>
    <w:lvl w:ilvl="1" w:tplc="195C32A2">
      <w:start w:val="1"/>
      <w:numFmt w:val="lowerLetter"/>
      <w:lvlText w:val="%2."/>
      <w:lvlJc w:val="left"/>
      <w:pPr>
        <w:ind w:left="1440" w:hanging="360"/>
      </w:pPr>
      <w:rPr>
        <w:b/>
        <w:sz w:val="22"/>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65603C"/>
    <w:multiLevelType w:val="hybridMultilevel"/>
    <w:tmpl w:val="7E8AD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07123D"/>
    <w:multiLevelType w:val="multilevel"/>
    <w:tmpl w:val="4FE44D64"/>
    <w:lvl w:ilvl="0">
      <w:start w:val="1"/>
      <w:numFmt w:val="decimal"/>
      <w:lvlText w:val="%1"/>
      <w:lvlJc w:val="left"/>
      <w:pPr>
        <w:ind w:left="390" w:hanging="390"/>
      </w:pPr>
      <w:rPr>
        <w:rFonts w:hint="default"/>
      </w:rPr>
    </w:lvl>
    <w:lvl w:ilvl="1">
      <w:start w:val="1"/>
      <w:numFmt w:val="decimal"/>
      <w:pStyle w:val="Heading2-Bulletlist"/>
      <w:lvlText w:val="%1.%2"/>
      <w:lvlJc w:val="left"/>
      <w:pPr>
        <w:ind w:left="1800" w:hanging="720"/>
      </w:pPr>
      <w:rPr>
        <w:rFonts w:hint="default"/>
      </w:rPr>
    </w:lvl>
    <w:lvl w:ilvl="2">
      <w:start w:val="1"/>
      <w:numFmt w:val="decimal"/>
      <w:pStyle w:val="Bulletlist-Indented"/>
      <w:lvlText w:val="%1.%2.%3"/>
      <w:lvlJc w:val="left"/>
      <w:pPr>
        <w:ind w:left="2880" w:hanging="720"/>
      </w:pPr>
      <w:rPr>
        <w:rFonts w:hint="default"/>
        <w:b w:val="0"/>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63C0AC2"/>
    <w:multiLevelType w:val="hybridMultilevel"/>
    <w:tmpl w:val="D4C66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30174B"/>
    <w:multiLevelType w:val="hybridMultilevel"/>
    <w:tmpl w:val="F8FC78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41550F"/>
    <w:multiLevelType w:val="hybridMultilevel"/>
    <w:tmpl w:val="CD666C32"/>
    <w:lvl w:ilvl="0" w:tplc="45F8C5B0">
      <w:start w:val="1"/>
      <w:numFmt w:val="decimal"/>
      <w:pStyle w:val="Numberedlis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14613E6"/>
    <w:multiLevelType w:val="hybridMultilevel"/>
    <w:tmpl w:val="3F6212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3FC0EF3"/>
    <w:multiLevelType w:val="hybridMultilevel"/>
    <w:tmpl w:val="5128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F25D2"/>
    <w:multiLevelType w:val="multilevel"/>
    <w:tmpl w:val="7D4C683C"/>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b/>
        <w:sz w:val="2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488675BB"/>
    <w:multiLevelType w:val="hybridMultilevel"/>
    <w:tmpl w:val="BDB8EA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8AF3293"/>
    <w:multiLevelType w:val="hybridMultilevel"/>
    <w:tmpl w:val="E23470BA"/>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C426E5E"/>
    <w:multiLevelType w:val="hybridMultilevel"/>
    <w:tmpl w:val="D108A458"/>
    <w:lvl w:ilvl="0" w:tplc="77B6EF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F132E4"/>
    <w:multiLevelType w:val="multilevel"/>
    <w:tmpl w:val="18F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A2A4A"/>
    <w:multiLevelType w:val="hybridMultilevel"/>
    <w:tmpl w:val="45821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A166CA"/>
    <w:multiLevelType w:val="hybridMultilevel"/>
    <w:tmpl w:val="EFDC6CD4"/>
    <w:lvl w:ilvl="0" w:tplc="824C3298">
      <w:start w:val="6"/>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3909919">
    <w:abstractNumId w:val="2"/>
  </w:num>
  <w:num w:numId="2" w16cid:durableId="950894204">
    <w:abstractNumId w:val="10"/>
  </w:num>
  <w:num w:numId="3" w16cid:durableId="1986157121">
    <w:abstractNumId w:val="4"/>
  </w:num>
  <w:num w:numId="4" w16cid:durableId="1897814362">
    <w:abstractNumId w:val="13"/>
  </w:num>
  <w:num w:numId="5" w16cid:durableId="338123913">
    <w:abstractNumId w:val="1"/>
  </w:num>
  <w:num w:numId="6" w16cid:durableId="1723628180">
    <w:abstractNumId w:val="13"/>
  </w:num>
  <w:num w:numId="7" w16cid:durableId="1170218177">
    <w:abstractNumId w:val="16"/>
  </w:num>
  <w:num w:numId="8" w16cid:durableId="266474201">
    <w:abstractNumId w:val="6"/>
  </w:num>
  <w:num w:numId="9" w16cid:durableId="1756055479">
    <w:abstractNumId w:val="3"/>
  </w:num>
  <w:num w:numId="10" w16cid:durableId="378172104">
    <w:abstractNumId w:val="9"/>
  </w:num>
  <w:num w:numId="11" w16cid:durableId="171338985">
    <w:abstractNumId w:val="14"/>
  </w:num>
  <w:num w:numId="12" w16cid:durableId="927737952">
    <w:abstractNumId w:val="5"/>
  </w:num>
  <w:num w:numId="13" w16cid:durableId="1875384947">
    <w:abstractNumId w:val="7"/>
  </w:num>
  <w:num w:numId="14" w16cid:durableId="1770546372">
    <w:abstractNumId w:val="12"/>
  </w:num>
  <w:num w:numId="15" w16cid:durableId="701174476">
    <w:abstractNumId w:val="11"/>
  </w:num>
  <w:num w:numId="16" w16cid:durableId="452334990">
    <w:abstractNumId w:val="8"/>
  </w:num>
  <w:num w:numId="17" w16cid:durableId="2136168682">
    <w:abstractNumId w:val="15"/>
  </w:num>
  <w:num w:numId="18" w16cid:durableId="1957443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6B5"/>
    <w:rsid w:val="00011A22"/>
    <w:rsid w:val="000200A0"/>
    <w:rsid w:val="00033FDD"/>
    <w:rsid w:val="00035A53"/>
    <w:rsid w:val="00056C91"/>
    <w:rsid w:val="00084E07"/>
    <w:rsid w:val="0009112F"/>
    <w:rsid w:val="000D13CC"/>
    <w:rsid w:val="000D4657"/>
    <w:rsid w:val="000E637B"/>
    <w:rsid w:val="0014009C"/>
    <w:rsid w:val="00153695"/>
    <w:rsid w:val="00163ECE"/>
    <w:rsid w:val="00166D1F"/>
    <w:rsid w:val="00177251"/>
    <w:rsid w:val="001D0898"/>
    <w:rsid w:val="001D4D55"/>
    <w:rsid w:val="001E62E3"/>
    <w:rsid w:val="001F5EFF"/>
    <w:rsid w:val="0020149C"/>
    <w:rsid w:val="002308C7"/>
    <w:rsid w:val="00232714"/>
    <w:rsid w:val="00280B6C"/>
    <w:rsid w:val="00281921"/>
    <w:rsid w:val="0029397E"/>
    <w:rsid w:val="00296227"/>
    <w:rsid w:val="00296800"/>
    <w:rsid w:val="002D2D1D"/>
    <w:rsid w:val="002D6D99"/>
    <w:rsid w:val="002E31E2"/>
    <w:rsid w:val="003002E9"/>
    <w:rsid w:val="00312897"/>
    <w:rsid w:val="003179BA"/>
    <w:rsid w:val="00326427"/>
    <w:rsid w:val="00336A90"/>
    <w:rsid w:val="00343943"/>
    <w:rsid w:val="003451C3"/>
    <w:rsid w:val="003464F5"/>
    <w:rsid w:val="00346F80"/>
    <w:rsid w:val="003710A3"/>
    <w:rsid w:val="00385CCF"/>
    <w:rsid w:val="00397993"/>
    <w:rsid w:val="003B7E59"/>
    <w:rsid w:val="003C49E5"/>
    <w:rsid w:val="003E1D96"/>
    <w:rsid w:val="004010B9"/>
    <w:rsid w:val="00403AD6"/>
    <w:rsid w:val="00417F0C"/>
    <w:rsid w:val="00430AEE"/>
    <w:rsid w:val="004422DE"/>
    <w:rsid w:val="00454914"/>
    <w:rsid w:val="00491DEE"/>
    <w:rsid w:val="0049502B"/>
    <w:rsid w:val="004A15D8"/>
    <w:rsid w:val="004D2AEC"/>
    <w:rsid w:val="004D6D37"/>
    <w:rsid w:val="004E244C"/>
    <w:rsid w:val="00517077"/>
    <w:rsid w:val="0052689B"/>
    <w:rsid w:val="005315BB"/>
    <w:rsid w:val="00545F95"/>
    <w:rsid w:val="00553678"/>
    <w:rsid w:val="00553737"/>
    <w:rsid w:val="00573BEF"/>
    <w:rsid w:val="00590B39"/>
    <w:rsid w:val="005C63F2"/>
    <w:rsid w:val="005C6E66"/>
    <w:rsid w:val="005E6556"/>
    <w:rsid w:val="006152AB"/>
    <w:rsid w:val="00643351"/>
    <w:rsid w:val="00644E34"/>
    <w:rsid w:val="006460B4"/>
    <w:rsid w:val="0065155D"/>
    <w:rsid w:val="00685B94"/>
    <w:rsid w:val="0069607E"/>
    <w:rsid w:val="006B0C24"/>
    <w:rsid w:val="006B0FA2"/>
    <w:rsid w:val="006E4ACF"/>
    <w:rsid w:val="00700088"/>
    <w:rsid w:val="007273C2"/>
    <w:rsid w:val="007644A1"/>
    <w:rsid w:val="0076735D"/>
    <w:rsid w:val="00784327"/>
    <w:rsid w:val="007852A1"/>
    <w:rsid w:val="007B03B9"/>
    <w:rsid w:val="007B118C"/>
    <w:rsid w:val="007D2F74"/>
    <w:rsid w:val="007E213F"/>
    <w:rsid w:val="007E261E"/>
    <w:rsid w:val="007E581C"/>
    <w:rsid w:val="00800482"/>
    <w:rsid w:val="008105A5"/>
    <w:rsid w:val="00811C16"/>
    <w:rsid w:val="008128A4"/>
    <w:rsid w:val="008465E8"/>
    <w:rsid w:val="008606F1"/>
    <w:rsid w:val="008619DB"/>
    <w:rsid w:val="008745A3"/>
    <w:rsid w:val="00880098"/>
    <w:rsid w:val="0089252B"/>
    <w:rsid w:val="009426FC"/>
    <w:rsid w:val="00965AC6"/>
    <w:rsid w:val="009838EF"/>
    <w:rsid w:val="009B48F8"/>
    <w:rsid w:val="009C5AE7"/>
    <w:rsid w:val="009D4CEB"/>
    <w:rsid w:val="009E3941"/>
    <w:rsid w:val="009F4138"/>
    <w:rsid w:val="00A12C49"/>
    <w:rsid w:val="00A31428"/>
    <w:rsid w:val="00A752AD"/>
    <w:rsid w:val="00A8609D"/>
    <w:rsid w:val="00AA100D"/>
    <w:rsid w:val="00AB1E57"/>
    <w:rsid w:val="00AD7FA1"/>
    <w:rsid w:val="00AE3D91"/>
    <w:rsid w:val="00B024E5"/>
    <w:rsid w:val="00B30914"/>
    <w:rsid w:val="00B36600"/>
    <w:rsid w:val="00B570B2"/>
    <w:rsid w:val="00B83D09"/>
    <w:rsid w:val="00B85317"/>
    <w:rsid w:val="00B91C9B"/>
    <w:rsid w:val="00BB115B"/>
    <w:rsid w:val="00BC031D"/>
    <w:rsid w:val="00BF1F49"/>
    <w:rsid w:val="00C1577C"/>
    <w:rsid w:val="00C20194"/>
    <w:rsid w:val="00C3739C"/>
    <w:rsid w:val="00C426B5"/>
    <w:rsid w:val="00C55A27"/>
    <w:rsid w:val="00C7107B"/>
    <w:rsid w:val="00C757C0"/>
    <w:rsid w:val="00C97379"/>
    <w:rsid w:val="00CC43BC"/>
    <w:rsid w:val="00CD46FE"/>
    <w:rsid w:val="00D146A7"/>
    <w:rsid w:val="00D2372D"/>
    <w:rsid w:val="00D24C05"/>
    <w:rsid w:val="00D42536"/>
    <w:rsid w:val="00D43EF8"/>
    <w:rsid w:val="00D45BE0"/>
    <w:rsid w:val="00D74CCB"/>
    <w:rsid w:val="00D767CF"/>
    <w:rsid w:val="00D81AE6"/>
    <w:rsid w:val="00D9150E"/>
    <w:rsid w:val="00D96E97"/>
    <w:rsid w:val="00DA1260"/>
    <w:rsid w:val="00DC54E3"/>
    <w:rsid w:val="00DC7734"/>
    <w:rsid w:val="00DE7CF4"/>
    <w:rsid w:val="00DF5FBE"/>
    <w:rsid w:val="00E54F94"/>
    <w:rsid w:val="00E55791"/>
    <w:rsid w:val="00E5744D"/>
    <w:rsid w:val="00E61F5D"/>
    <w:rsid w:val="00E73745"/>
    <w:rsid w:val="00E90090"/>
    <w:rsid w:val="00E924CC"/>
    <w:rsid w:val="00EC151A"/>
    <w:rsid w:val="00F05CE6"/>
    <w:rsid w:val="00F17193"/>
    <w:rsid w:val="00F312CB"/>
    <w:rsid w:val="00F54F7F"/>
    <w:rsid w:val="00F62DBA"/>
    <w:rsid w:val="00F807D6"/>
    <w:rsid w:val="00F85AEC"/>
    <w:rsid w:val="00F941C8"/>
    <w:rsid w:val="00FB1E63"/>
    <w:rsid w:val="00FB5C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2559430"/>
  <w15:chartTrackingRefBased/>
  <w15:docId w15:val="{9615E7C3-9065-4FE1-8343-DD9E33C6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able body"/>
    <w:qFormat/>
    <w:rsid w:val="00B570B2"/>
    <w:pPr>
      <w:spacing w:before="60" w:after="120"/>
    </w:pPr>
    <w:rPr>
      <w:sz w:val="22"/>
      <w:szCs w:val="22"/>
      <w:lang w:eastAsia="en-US"/>
    </w:rPr>
  </w:style>
  <w:style w:type="paragraph" w:styleId="Heading1">
    <w:name w:val="heading 1"/>
    <w:basedOn w:val="Normal"/>
    <w:next w:val="Normal"/>
    <w:link w:val="Heading1Char"/>
    <w:uiPriority w:val="9"/>
    <w:qFormat/>
    <w:rsid w:val="00FB5C11"/>
    <w:pPr>
      <w:keepNext/>
      <w:keepLines/>
      <w:spacing w:before="280"/>
      <w:jc w:val="center"/>
      <w:outlineLvl w:val="0"/>
    </w:pPr>
    <w:rPr>
      <w:rFonts w:eastAsia="Times New Roman"/>
      <w:b/>
      <w:bCs/>
      <w:color w:val="000000"/>
      <w:sz w:val="144"/>
      <w:szCs w:val="28"/>
    </w:rPr>
  </w:style>
  <w:style w:type="paragraph" w:styleId="Heading2">
    <w:name w:val="heading 2"/>
    <w:basedOn w:val="Normal"/>
    <w:next w:val="Normal"/>
    <w:link w:val="Heading2Char"/>
    <w:uiPriority w:val="9"/>
    <w:unhideWhenUsed/>
    <w:qFormat/>
    <w:rsid w:val="00397993"/>
    <w:pPr>
      <w:keepNext/>
      <w:keepLines/>
      <w:spacing w:before="200"/>
      <w:outlineLvl w:val="1"/>
    </w:pPr>
    <w:rPr>
      <w:rFonts w:eastAsia="Times New Roman"/>
      <w:b/>
      <w:bCs/>
      <w:sz w:val="36"/>
      <w:szCs w:val="26"/>
      <w:u w:val="single"/>
    </w:rPr>
  </w:style>
  <w:style w:type="paragraph" w:styleId="Heading3">
    <w:name w:val="heading 3"/>
    <w:basedOn w:val="Normal"/>
    <w:next w:val="Normal"/>
    <w:link w:val="Heading3Char"/>
    <w:uiPriority w:val="9"/>
    <w:unhideWhenUsed/>
    <w:qFormat/>
    <w:rsid w:val="00397993"/>
    <w:pPr>
      <w:keepNext/>
      <w:keepLines/>
      <w:spacing w:before="160"/>
      <w:outlineLvl w:val="2"/>
    </w:pPr>
    <w:rPr>
      <w:rFonts w:eastAsia="Times New Roman"/>
      <w:b/>
      <w:bCs/>
      <w:sz w:val="28"/>
    </w:rPr>
  </w:style>
  <w:style w:type="paragraph" w:styleId="Heading4">
    <w:name w:val="heading 4"/>
    <w:basedOn w:val="Normal"/>
    <w:next w:val="Normal"/>
    <w:link w:val="Heading4Char"/>
    <w:uiPriority w:val="9"/>
    <w:unhideWhenUsed/>
    <w:pPr>
      <w:keepNext/>
      <w:keepLines/>
      <w:spacing w:before="120"/>
      <w:outlineLvl w:val="3"/>
    </w:pPr>
    <w:rPr>
      <w:rFonts w:eastAsia="Times New Roman"/>
      <w:b/>
      <w:bCs/>
      <w:iCs/>
      <w:color w:val="000000"/>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B5C11"/>
    <w:rPr>
      <w:rFonts w:eastAsia="Times New Roman"/>
      <w:b/>
      <w:bCs/>
      <w:color w:val="000000"/>
      <w:sz w:val="144"/>
      <w:szCs w:val="28"/>
      <w:lang w:eastAsia="en-US"/>
    </w:rPr>
  </w:style>
  <w:style w:type="character" w:customStyle="1" w:styleId="Heading2Char">
    <w:name w:val="Heading 2 Char"/>
    <w:link w:val="Heading2"/>
    <w:uiPriority w:val="9"/>
    <w:rsid w:val="00397993"/>
    <w:rPr>
      <w:rFonts w:eastAsia="Times New Roman"/>
      <w:b/>
      <w:bCs/>
      <w:sz w:val="36"/>
      <w:szCs w:val="26"/>
      <w:u w:val="single"/>
      <w:lang w:eastAsia="en-US"/>
    </w:rPr>
  </w:style>
  <w:style w:type="character" w:customStyle="1" w:styleId="Heading3Char">
    <w:name w:val="Heading 3 Char"/>
    <w:link w:val="Heading3"/>
    <w:uiPriority w:val="9"/>
    <w:rsid w:val="00397993"/>
    <w:rPr>
      <w:rFonts w:eastAsia="Times New Roman"/>
      <w:b/>
      <w:bCs/>
      <w:sz w:val="28"/>
      <w:szCs w:val="22"/>
      <w:lang w:eastAsia="en-US"/>
    </w:rPr>
  </w:style>
  <w:style w:type="character" w:customStyle="1" w:styleId="Heading4Char">
    <w:name w:val="Heading 4 Char"/>
    <w:link w:val="Heading4"/>
    <w:uiPriority w:val="9"/>
    <w:rPr>
      <w:rFonts w:eastAsia="Times New Roman"/>
      <w:b/>
      <w:bCs/>
      <w:iCs/>
      <w:color w:val="000000"/>
      <w:sz w:val="22"/>
      <w:szCs w:val="22"/>
      <w:lang w:eastAsia="en-US"/>
    </w:rPr>
  </w:style>
  <w:style w:type="character" w:customStyle="1" w:styleId="Heading5Char">
    <w:name w:val="Heading 5 Char"/>
    <w:link w:val="Heading5"/>
    <w:uiPriority w:val="9"/>
    <w:semiHidden/>
    <w:rPr>
      <w:rFonts w:ascii="Cambria" w:eastAsia="Times New Roman" w:hAnsi="Cambria" w:cs="Times New Roman"/>
      <w:color w:val="243F6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BSGTitle">
    <w:name w:val="BSG Title"/>
    <w:basedOn w:val="Normal"/>
    <w:link w:val="BSGTitleChar"/>
    <w:pPr>
      <w:widowControl w:val="0"/>
      <w:shd w:val="clear" w:color="auto" w:fill="206C49"/>
      <w:tabs>
        <w:tab w:val="center" w:pos="4465"/>
      </w:tabs>
      <w:spacing w:before="240" w:after="60"/>
      <w:jc w:val="center"/>
    </w:pPr>
    <w:rPr>
      <w:rFonts w:ascii="Cambria" w:eastAsia="Times New Roman" w:hAnsi="Cambria"/>
      <w:b/>
      <w:color w:val="FFFFFF"/>
      <w:sz w:val="48"/>
      <w:szCs w:val="20"/>
    </w:rPr>
  </w:style>
  <w:style w:type="character" w:customStyle="1" w:styleId="BSGTitleChar">
    <w:name w:val="BSG Title Char"/>
    <w:link w:val="BSGTitle"/>
    <w:rPr>
      <w:rFonts w:ascii="Cambria" w:eastAsia="Times New Roman" w:hAnsi="Cambria" w:cs="Times New Roman"/>
      <w:b/>
      <w:color w:val="FFFFFF"/>
      <w:sz w:val="48"/>
      <w:szCs w:val="20"/>
      <w:shd w:val="clear" w:color="auto" w:fill="206C49"/>
    </w:rPr>
  </w:style>
  <w:style w:type="paragraph" w:customStyle="1" w:styleId="Documenttype">
    <w:name w:val="Document type"/>
    <w:basedOn w:val="BSGTitle"/>
    <w:link w:val="DocumenttypeChar"/>
    <w:pPr>
      <w:shd w:val="clear" w:color="auto" w:fill="404A29"/>
    </w:pPr>
  </w:style>
  <w:style w:type="character" w:customStyle="1" w:styleId="DocumenttypeChar">
    <w:name w:val="Document type Char"/>
    <w:link w:val="Documenttype"/>
    <w:rPr>
      <w:rFonts w:ascii="Cambria" w:eastAsia="Times New Roman" w:hAnsi="Cambria" w:cs="Times New Roman"/>
      <w:b/>
      <w:color w:val="FFFFFF"/>
      <w:sz w:val="48"/>
      <w:szCs w:val="20"/>
      <w:shd w:val="clear" w:color="auto" w:fill="404A29"/>
    </w:rPr>
  </w:style>
  <w:style w:type="paragraph" w:customStyle="1" w:styleId="Documenttitle">
    <w:name w:val="Document title"/>
    <w:basedOn w:val="Heading1"/>
    <w:link w:val="DocumenttitleChar"/>
    <w:qFormat/>
    <w:pPr>
      <w:spacing w:after="0"/>
    </w:pPr>
    <w:rPr>
      <w:color w:val="auto"/>
      <w:sz w:val="40"/>
    </w:rPr>
  </w:style>
  <w:style w:type="character" w:customStyle="1" w:styleId="DocumenttitleChar">
    <w:name w:val="Document title Char"/>
    <w:link w:val="Documenttitle"/>
    <w:rPr>
      <w:rFonts w:eastAsia="Times New Roman"/>
      <w:b w:val="0"/>
      <w:bCs w:val="0"/>
      <w:color w:val="000000"/>
      <w:sz w:val="40"/>
      <w:szCs w:val="28"/>
      <w:lang w:eastAsia="en-US"/>
    </w:rPr>
  </w:style>
  <w:style w:type="paragraph" w:styleId="TOCHeading">
    <w:name w:val="TOC Heading"/>
    <w:basedOn w:val="Heading1"/>
    <w:next w:val="Normal"/>
    <w:link w:val="TOCHeadingChar"/>
    <w:uiPriority w:val="39"/>
    <w:unhideWhenUsed/>
    <w:pPr>
      <w:outlineLvl w:val="9"/>
    </w:pPr>
    <w:rPr>
      <w:lang w:val="en-US"/>
    </w:rPr>
  </w:style>
  <w:style w:type="character" w:customStyle="1" w:styleId="TOCHeadingChar">
    <w:name w:val="TOC Heading Char"/>
    <w:link w:val="TOCHeading"/>
    <w:uiPriority w:val="39"/>
    <w:rPr>
      <w:rFonts w:eastAsia="Times New Roman"/>
      <w:b/>
      <w:bCs/>
      <w:color w:val="000000"/>
      <w:sz w:val="40"/>
      <w:szCs w:val="28"/>
      <w:lang w:val="en-US" w:eastAsia="en-US"/>
    </w:rPr>
  </w:style>
  <w:style w:type="paragraph" w:styleId="TOC2">
    <w:name w:val="toc 2"/>
    <w:basedOn w:val="Normal"/>
    <w:next w:val="Normal"/>
    <w:autoRedefine/>
    <w:uiPriority w:val="39"/>
    <w:unhideWhenUsed/>
    <w:pPr>
      <w:tabs>
        <w:tab w:val="right" w:leader="dot" w:pos="8397"/>
      </w:tabs>
      <w:spacing w:after="100"/>
      <w:ind w:left="220"/>
    </w:pPr>
    <w:rPr>
      <w:rFonts w:eastAsia="Times New Roman"/>
      <w:lang w:val="en-US"/>
    </w:rPr>
  </w:style>
  <w:style w:type="paragraph" w:styleId="TOC1">
    <w:name w:val="toc 1"/>
    <w:basedOn w:val="Normal"/>
    <w:next w:val="Normal"/>
    <w:autoRedefine/>
    <w:uiPriority w:val="39"/>
    <w:unhideWhenUsed/>
    <w:rsid w:val="00517077"/>
    <w:pPr>
      <w:tabs>
        <w:tab w:val="left" w:pos="426"/>
        <w:tab w:val="right" w:leader="dot" w:pos="8397"/>
      </w:tabs>
      <w:spacing w:after="0"/>
    </w:pPr>
    <w:rPr>
      <w:rFonts w:eastAsia="Times New Roman"/>
      <w:lang w:val="en-US"/>
    </w:rPr>
  </w:style>
  <w:style w:type="paragraph" w:styleId="TOC3">
    <w:name w:val="toc 3"/>
    <w:basedOn w:val="Normal"/>
    <w:next w:val="Normal"/>
    <w:autoRedefine/>
    <w:uiPriority w:val="39"/>
    <w:unhideWhenUsed/>
    <w:pPr>
      <w:tabs>
        <w:tab w:val="right" w:leader="dot" w:pos="8397"/>
        <w:tab w:val="right" w:leader="dot" w:pos="8505"/>
      </w:tabs>
      <w:spacing w:after="100"/>
      <w:ind w:left="440"/>
    </w:pPr>
    <w:rPr>
      <w:rFonts w:eastAsia="Times New Roman"/>
      <w:lang w:val="en-U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pPr>
      <w:ind w:left="720"/>
      <w:contextualSpacing/>
    </w:pPr>
  </w:style>
  <w:style w:type="character" w:customStyle="1" w:styleId="ListParagraphChar">
    <w:name w:val="List Paragraph Char"/>
    <w:basedOn w:val="DefaultParagraphFont"/>
    <w:link w:val="ListParagraph"/>
    <w:uiPriority w:val="34"/>
  </w:style>
  <w:style w:type="paragraph" w:customStyle="1" w:styleId="Sectionheading1">
    <w:name w:val="Section heading 1"/>
    <w:basedOn w:val="ListParagraph"/>
    <w:link w:val="Sectionheading1Char"/>
    <w:pPr>
      <w:numPr>
        <w:numId w:val="1"/>
      </w:numPr>
      <w:ind w:left="426" w:hanging="426"/>
    </w:pPr>
    <w:rPr>
      <w:rFonts w:ascii="Cambria" w:hAnsi="Cambria"/>
      <w:color w:val="404A29"/>
      <w:sz w:val="28"/>
    </w:rPr>
  </w:style>
  <w:style w:type="character" w:customStyle="1" w:styleId="Sectionheading1Char">
    <w:name w:val="Section heading 1 Char"/>
    <w:link w:val="Sectionheading1"/>
    <w:rPr>
      <w:rFonts w:ascii="Cambria" w:hAnsi="Cambria"/>
      <w:color w:val="404A29"/>
      <w:sz w:val="28"/>
    </w:rPr>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pPr>
  </w:style>
  <w:style w:type="character" w:customStyle="1" w:styleId="FooterChar">
    <w:name w:val="Footer Char"/>
    <w:basedOn w:val="DefaultParagraphFont"/>
    <w:link w:val="Footer"/>
    <w:uiPriority w:val="99"/>
  </w:style>
  <w:style w:type="paragraph" w:customStyle="1" w:styleId="Heading2-Bulletlist">
    <w:name w:val="Heading 2 - Bullet list"/>
    <w:basedOn w:val="Sectionheading1"/>
    <w:link w:val="Heading2-BulletlistChar"/>
    <w:pPr>
      <w:numPr>
        <w:ilvl w:val="1"/>
        <w:numId w:val="3"/>
      </w:numPr>
      <w:ind w:left="426" w:hanging="426"/>
    </w:pPr>
    <w:rPr>
      <w:b/>
      <w:color w:val="auto"/>
      <w:sz w:val="22"/>
    </w:rPr>
  </w:style>
  <w:style w:type="character" w:customStyle="1" w:styleId="Heading2-BulletlistChar">
    <w:name w:val="Heading 2 - Bullet list Char"/>
    <w:link w:val="Heading2-Bulletlist"/>
    <w:rPr>
      <w:rFonts w:ascii="Cambria" w:hAnsi="Cambria"/>
      <w:b/>
      <w:color w:val="404A29"/>
      <w:sz w:val="28"/>
    </w:rPr>
  </w:style>
  <w:style w:type="paragraph" w:customStyle="1" w:styleId="Bulletlist-Indented">
    <w:name w:val="Bullet list - Indented"/>
    <w:basedOn w:val="Heading2-Bulletlist"/>
    <w:link w:val="Bulletlist-IndentedChar"/>
    <w:pPr>
      <w:numPr>
        <w:ilvl w:val="2"/>
      </w:numPr>
      <w:ind w:left="1701" w:hanging="708"/>
    </w:pPr>
  </w:style>
  <w:style w:type="character" w:customStyle="1" w:styleId="Bulletlist-IndentedChar">
    <w:name w:val="Bullet list - Indented Char"/>
    <w:basedOn w:val="Heading2-BulletlistChar"/>
    <w:link w:val="Bulletlist-Indented"/>
    <w:rPr>
      <w:rFonts w:ascii="Cambria" w:hAnsi="Cambria"/>
      <w:b/>
      <w:color w:val="404A29"/>
      <w:sz w:val="28"/>
    </w:rPr>
  </w:style>
  <w:style w:type="paragraph" w:customStyle="1" w:styleId="Heading2-Instruction">
    <w:name w:val="Heading 2 - Instruction"/>
    <w:basedOn w:val="Heading2-Bulletlist"/>
    <w:link w:val="Heading2-InstructionChar"/>
    <w:pPr>
      <w:numPr>
        <w:ilvl w:val="0"/>
        <w:numId w:val="0"/>
      </w:numPr>
      <w:spacing w:before="120"/>
      <w:ind w:left="425" w:hanging="425"/>
    </w:pPr>
    <w:rPr>
      <w:rFonts w:ascii="Calibri" w:hAnsi="Calibri"/>
      <w:color w:val="776F65"/>
      <w:sz w:val="24"/>
      <w:szCs w:val="24"/>
    </w:rPr>
  </w:style>
  <w:style w:type="character" w:customStyle="1" w:styleId="Heading2-InstructionChar">
    <w:name w:val="Heading 2 - Instruction Char"/>
    <w:link w:val="Heading2-Instruction"/>
    <w:rPr>
      <w:rFonts w:ascii="Calibri" w:hAnsi="Calibri"/>
      <w:b w:val="0"/>
      <w:color w:val="776F65"/>
      <w:sz w:val="24"/>
      <w:szCs w:val="24"/>
    </w:rPr>
  </w:style>
  <w:style w:type="character" w:styleId="Hyperlink">
    <w:name w:val="Hyperlink"/>
    <w:uiPriority w:val="99"/>
    <w:unhideWhenUsed/>
    <w:rPr>
      <w:color w:val="0000FF"/>
      <w:u w:val="single"/>
    </w:rPr>
  </w:style>
  <w:style w:type="paragraph" w:styleId="TOC6">
    <w:name w:val="toc 6"/>
    <w:basedOn w:val="Normal"/>
    <w:next w:val="Normal"/>
    <w:autoRedefine/>
    <w:uiPriority w:val="39"/>
    <w:semiHidden/>
    <w:unhideWhenUsed/>
    <w:pPr>
      <w:spacing w:after="100"/>
      <w:ind w:left="1100"/>
    </w:pPr>
  </w:style>
  <w:style w:type="paragraph" w:styleId="BodyText">
    <w:name w:val="Body Text"/>
    <w:link w:val="BodyTextChar"/>
    <w:qFormat/>
    <w:rsid w:val="009D4CEB"/>
    <w:pPr>
      <w:spacing w:before="160" w:after="160"/>
    </w:pPr>
    <w:rPr>
      <w:rFonts w:eastAsia="Times New Roman"/>
      <w:sz w:val="24"/>
      <w:szCs w:val="24"/>
      <w:lang w:eastAsia="en-US"/>
    </w:rPr>
  </w:style>
  <w:style w:type="character" w:customStyle="1" w:styleId="BodyTextChar">
    <w:name w:val="Body Text Char"/>
    <w:link w:val="BodyText"/>
    <w:rsid w:val="009D4CEB"/>
    <w:rPr>
      <w:rFonts w:eastAsia="Times New Roman"/>
      <w:sz w:val="24"/>
      <w:szCs w:val="24"/>
      <w:lang w:eastAsia="en-US"/>
    </w:rPr>
  </w:style>
  <w:style w:type="paragraph" w:styleId="ListBullet">
    <w:name w:val="List Bullet"/>
    <w:basedOn w:val="BodyText"/>
    <w:link w:val="ListBulletChar"/>
    <w:qFormat/>
    <w:rsid w:val="00DC54E3"/>
    <w:pPr>
      <w:numPr>
        <w:numId w:val="5"/>
      </w:numPr>
      <w:spacing w:before="60" w:after="60"/>
      <w:ind w:left="357" w:hanging="357"/>
    </w:pPr>
  </w:style>
  <w:style w:type="paragraph" w:customStyle="1" w:styleId="Summaryheading">
    <w:name w:val="Summary heading"/>
    <w:basedOn w:val="BodyText"/>
    <w:link w:val="SummaryheadingChar"/>
    <w:pPr>
      <w:pBdr>
        <w:top w:val="single" w:sz="4" w:space="1" w:color="auto"/>
        <w:left w:val="single" w:sz="4" w:space="1" w:color="auto"/>
        <w:bottom w:val="single" w:sz="4" w:space="1" w:color="auto"/>
        <w:right w:val="single" w:sz="4" w:space="1" w:color="auto"/>
      </w:pBdr>
      <w:shd w:val="clear" w:color="auto" w:fill="EAF1DD"/>
      <w:spacing w:before="480"/>
    </w:pPr>
    <w:rPr>
      <w:b/>
    </w:rPr>
  </w:style>
  <w:style w:type="character" w:customStyle="1" w:styleId="SummaryheadingChar">
    <w:name w:val="Summary heading Char"/>
    <w:link w:val="Summaryheading"/>
    <w:rPr>
      <w:rFonts w:eastAsia="Times New Roman"/>
      <w:b/>
      <w:sz w:val="22"/>
      <w:szCs w:val="24"/>
      <w:shd w:val="clear" w:color="auto" w:fill="EAF1DD"/>
      <w:lang w:val="en-AU" w:eastAsia="en-US" w:bidi="ar-SA"/>
    </w:rPr>
  </w:style>
  <w:style w:type="paragraph" w:customStyle="1" w:styleId="DocumentType-Guideline">
    <w:name w:val="Document Type - Guideline"/>
    <w:basedOn w:val="Documenttype"/>
    <w:link w:val="DocumentType-GuidelineChar"/>
    <w:pPr>
      <w:shd w:val="clear" w:color="auto" w:fill="6A7F10"/>
    </w:pPr>
    <w:rPr>
      <w:shd w:val="clear" w:color="auto" w:fill="6A7F10"/>
    </w:rPr>
  </w:style>
  <w:style w:type="character" w:customStyle="1" w:styleId="DocumentType-GuidelineChar">
    <w:name w:val="Document Type - Guideline Char"/>
    <w:link w:val="DocumentType-Guideline"/>
    <w:rPr>
      <w:rFonts w:ascii="Cambria" w:eastAsia="Times New Roman" w:hAnsi="Cambria" w:cs="Times New Roman"/>
      <w:b w:val="0"/>
      <w:color w:val="FFFFFF"/>
      <w:sz w:val="48"/>
      <w:szCs w:val="20"/>
      <w:shd w:val="clear" w:color="auto" w:fill="6A7F10"/>
    </w:rPr>
  </w:style>
  <w:style w:type="paragraph" w:customStyle="1" w:styleId="Documenttype-PracticeStatement">
    <w:name w:val="Document type - Practice Statement"/>
    <w:basedOn w:val="Documenttype"/>
    <w:link w:val="Documenttype-PracticeStatementChar"/>
    <w:pPr>
      <w:shd w:val="clear" w:color="auto" w:fill="4A3242"/>
    </w:pPr>
  </w:style>
  <w:style w:type="character" w:customStyle="1" w:styleId="Documenttype-PracticeStatementChar">
    <w:name w:val="Document type - Practice Statement Char"/>
    <w:link w:val="Documenttype-PracticeStatement"/>
    <w:rPr>
      <w:rFonts w:ascii="Cambria" w:eastAsia="Times New Roman" w:hAnsi="Cambria" w:cs="Times New Roman"/>
      <w:b w:val="0"/>
      <w:color w:val="FFFFFF"/>
      <w:sz w:val="48"/>
      <w:szCs w:val="20"/>
      <w:shd w:val="clear" w:color="auto" w:fill="4A3242"/>
    </w:rPr>
  </w:style>
  <w:style w:type="paragraph" w:customStyle="1" w:styleId="Tableheadings">
    <w:name w:val="Table headings"/>
    <w:basedOn w:val="Normal"/>
    <w:qFormat/>
    <w:rPr>
      <w:b/>
      <w:color w:val="FFFFFF"/>
    </w:rPr>
  </w:style>
  <w:style w:type="paragraph" w:customStyle="1" w:styleId="Titleofdocument">
    <w:name w:val="Title of document"/>
    <w:basedOn w:val="Heading1"/>
    <w:link w:val="TitleofdocumentChar"/>
    <w:qFormat/>
    <w:pPr>
      <w:spacing w:line="276" w:lineRule="auto"/>
    </w:pPr>
    <w:rPr>
      <w:sz w:val="40"/>
    </w:rPr>
  </w:style>
  <w:style w:type="character" w:customStyle="1" w:styleId="TitleofdocumentChar">
    <w:name w:val="Title of document Char"/>
    <w:link w:val="Titleofdocument"/>
    <w:rPr>
      <w:rFonts w:eastAsia="Times New Roman"/>
      <w:b w:val="0"/>
      <w:bCs w:val="0"/>
      <w:color w:val="404A29"/>
      <w:sz w:val="40"/>
      <w:szCs w:val="28"/>
      <w:lang w:eastAsia="en-US"/>
    </w:rPr>
  </w:style>
  <w:style w:type="paragraph" w:customStyle="1" w:styleId="Heading3-Instruction">
    <w:name w:val="Heading 3 - Instruction"/>
    <w:basedOn w:val="Normal"/>
    <w:pPr>
      <w:spacing w:before="120"/>
      <w:ind w:left="425" w:hanging="425"/>
      <w:contextualSpacing/>
    </w:pPr>
    <w:rPr>
      <w:u w:val="single"/>
    </w:rPr>
  </w:style>
  <w:style w:type="paragraph" w:customStyle="1" w:styleId="Numberedlist">
    <w:name w:val="Numbered list"/>
    <w:basedOn w:val="ListBullet"/>
    <w:link w:val="NumberedlistChar"/>
    <w:qFormat/>
    <w:pPr>
      <w:numPr>
        <w:numId w:val="13"/>
      </w:numPr>
      <w:tabs>
        <w:tab w:val="left" w:pos="0"/>
      </w:tabs>
      <w:ind w:left="426" w:hanging="426"/>
    </w:pPr>
  </w:style>
  <w:style w:type="character" w:customStyle="1" w:styleId="ListBulletChar">
    <w:name w:val="List Bullet Char"/>
    <w:basedOn w:val="BodyTextChar"/>
    <w:link w:val="ListBullet"/>
    <w:rsid w:val="00DC54E3"/>
    <w:rPr>
      <w:rFonts w:eastAsia="Times New Roman"/>
      <w:sz w:val="24"/>
      <w:szCs w:val="24"/>
      <w:lang w:eastAsia="en-US"/>
    </w:rPr>
  </w:style>
  <w:style w:type="character" w:customStyle="1" w:styleId="NumberedlistChar">
    <w:name w:val="Numbered list Char"/>
    <w:basedOn w:val="ListBulletChar"/>
    <w:link w:val="Numberedlist"/>
    <w:rPr>
      <w:rFonts w:eastAsia="Times New Roman"/>
      <w:sz w:val="24"/>
      <w:szCs w:val="24"/>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character" w:styleId="FollowedHyperlink">
    <w:name w:val="FollowedHyperlink"/>
    <w:uiPriority w:val="99"/>
    <w:semiHidden/>
    <w:unhideWhenUsed/>
    <w:rsid w:val="00BB115B"/>
    <w:rPr>
      <w:color w:val="954F72"/>
      <w:u w:val="single"/>
    </w:rPr>
  </w:style>
  <w:style w:type="paragraph" w:styleId="ListNumber3">
    <w:name w:val="List Number 3"/>
    <w:basedOn w:val="Normal"/>
    <w:uiPriority w:val="99"/>
    <w:semiHidden/>
    <w:unhideWhenUsed/>
    <w:rsid w:val="005315BB"/>
    <w:pPr>
      <w:numPr>
        <w:numId w:val="18"/>
      </w:numPr>
      <w:contextualSpacing/>
    </w:pPr>
  </w:style>
  <w:style w:type="character" w:styleId="Strong">
    <w:name w:val="Strong"/>
    <w:basedOn w:val="DefaultParagraphFont"/>
    <w:uiPriority w:val="22"/>
    <w:qFormat/>
    <w:rsid w:val="00F17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89508">
      <w:bodyDiv w:val="1"/>
      <w:marLeft w:val="0"/>
      <w:marRight w:val="0"/>
      <w:marTop w:val="0"/>
      <w:marBottom w:val="0"/>
      <w:divBdr>
        <w:top w:val="none" w:sz="0" w:space="0" w:color="auto"/>
        <w:left w:val="none" w:sz="0" w:space="0" w:color="auto"/>
        <w:bottom w:val="none" w:sz="0" w:space="0" w:color="auto"/>
        <w:right w:val="none" w:sz="0" w:space="0" w:color="auto"/>
      </w:divBdr>
    </w:div>
    <w:div w:id="1255625229">
      <w:bodyDiv w:val="1"/>
      <w:marLeft w:val="0"/>
      <w:marRight w:val="0"/>
      <w:marTop w:val="0"/>
      <w:marBottom w:val="0"/>
      <w:divBdr>
        <w:top w:val="none" w:sz="0" w:space="0" w:color="auto"/>
        <w:left w:val="none" w:sz="0" w:space="0" w:color="auto"/>
        <w:bottom w:val="none" w:sz="0" w:space="0" w:color="auto"/>
        <w:right w:val="none" w:sz="0" w:space="0" w:color="auto"/>
      </w:divBdr>
    </w:div>
    <w:div w:id="1366130514">
      <w:bodyDiv w:val="1"/>
      <w:marLeft w:val="0"/>
      <w:marRight w:val="0"/>
      <w:marTop w:val="0"/>
      <w:marBottom w:val="0"/>
      <w:divBdr>
        <w:top w:val="none" w:sz="0" w:space="0" w:color="auto"/>
        <w:left w:val="none" w:sz="0" w:space="0" w:color="auto"/>
        <w:bottom w:val="none" w:sz="0" w:space="0" w:color="auto"/>
        <w:right w:val="none" w:sz="0" w:space="0" w:color="auto"/>
      </w:divBdr>
    </w:div>
    <w:div w:id="1743796052">
      <w:bodyDiv w:val="1"/>
      <w:marLeft w:val="0"/>
      <w:marRight w:val="0"/>
      <w:marTop w:val="0"/>
      <w:marBottom w:val="0"/>
      <w:divBdr>
        <w:top w:val="none" w:sz="0" w:space="0" w:color="auto"/>
        <w:left w:val="none" w:sz="0" w:space="0" w:color="auto"/>
        <w:bottom w:val="none" w:sz="0" w:space="0" w:color="auto"/>
        <w:right w:val="none" w:sz="0" w:space="0" w:color="auto"/>
      </w:divBdr>
      <w:divsChild>
        <w:div w:id="737477501">
          <w:marLeft w:val="0"/>
          <w:marRight w:val="0"/>
          <w:marTop w:val="0"/>
          <w:marBottom w:val="0"/>
          <w:divBdr>
            <w:top w:val="none" w:sz="0" w:space="0" w:color="auto"/>
            <w:left w:val="none" w:sz="0" w:space="0" w:color="auto"/>
            <w:bottom w:val="none" w:sz="0" w:space="0" w:color="auto"/>
            <w:right w:val="none" w:sz="0" w:space="0" w:color="auto"/>
          </w:divBdr>
          <w:divsChild>
            <w:div w:id="1959944116">
              <w:marLeft w:val="2"/>
              <w:marRight w:val="0"/>
              <w:marTop w:val="0"/>
              <w:marBottom w:val="0"/>
              <w:divBdr>
                <w:top w:val="none" w:sz="0" w:space="0" w:color="auto"/>
                <w:left w:val="single" w:sz="4" w:space="0" w:color="CCCCCC"/>
                <w:bottom w:val="none" w:sz="0" w:space="0" w:color="auto"/>
                <w:right w:val="single" w:sz="4" w:space="0" w:color="CCCCCC"/>
              </w:divBdr>
              <w:divsChild>
                <w:div w:id="1096827535">
                  <w:marLeft w:val="0"/>
                  <w:marRight w:val="0"/>
                  <w:marTop w:val="0"/>
                  <w:marBottom w:val="0"/>
                  <w:divBdr>
                    <w:top w:val="none" w:sz="0" w:space="0" w:color="auto"/>
                    <w:left w:val="none" w:sz="0" w:space="0" w:color="auto"/>
                    <w:bottom w:val="none" w:sz="0" w:space="0" w:color="auto"/>
                    <w:right w:val="none" w:sz="0" w:space="0" w:color="auto"/>
                  </w:divBdr>
                  <w:divsChild>
                    <w:div w:id="389578686">
                      <w:marLeft w:val="0"/>
                      <w:marRight w:val="0"/>
                      <w:marTop w:val="0"/>
                      <w:marBottom w:val="0"/>
                      <w:divBdr>
                        <w:top w:val="none" w:sz="0" w:space="0" w:color="auto"/>
                        <w:left w:val="none" w:sz="0" w:space="0" w:color="auto"/>
                        <w:bottom w:val="none" w:sz="0" w:space="0" w:color="auto"/>
                        <w:right w:val="none" w:sz="0" w:space="0" w:color="auto"/>
                      </w:divBdr>
                      <w:divsChild>
                        <w:div w:id="11600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psjobs.gov.a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psc.gov.au/integrity-ap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sc.gov.au/recruitability-scheme-guide-applicants" TargetMode="External"/><Relationship Id="rId5" Type="http://schemas.openxmlformats.org/officeDocument/2006/relationships/webSettings" Target="webSettings.xml"/><Relationship Id="rId15" Type="http://schemas.openxmlformats.org/officeDocument/2006/relationships/hyperlink" Target="file:///\\act001cl04fs07\hrdata$\National%20Recruitment%20and%20Business%20Operations\Recruitment\RecruitAbility\Candidate%20info%20package\Civil%20Aviation%20Safety%20Authority%20Drug%20and%20Alcohol%20Random%20Testing%20Program" TargetMode="External"/><Relationship Id="rId10" Type="http://schemas.openxmlformats.org/officeDocument/2006/relationships/hyperlink" Target="https://www.oaic.gov.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psc.gov.au/cracking-code" TargetMode="External"/><Relationship Id="rId14" Type="http://schemas.openxmlformats.org/officeDocument/2006/relationships/hyperlink" Target="https://www.meritprotectioncommission.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807277"/>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98F874-A0BF-4DDF-BF9F-3B0102BF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Candidate information package</vt:lpstr>
    </vt:vector>
  </TitlesOfParts>
  <Company/>
  <LinksUpToDate>false</LinksUpToDate>
  <CharactersWithSpaces>20787</CharactersWithSpaces>
  <SharedDoc>false</SharedDoc>
  <HLinks>
    <vt:vector size="102" baseType="variant">
      <vt:variant>
        <vt:i4>65624</vt:i4>
      </vt:variant>
      <vt:variant>
        <vt:i4>102</vt:i4>
      </vt:variant>
      <vt:variant>
        <vt:i4>0</vt:i4>
      </vt:variant>
      <vt:variant>
        <vt:i4>5</vt:i4>
      </vt:variant>
      <vt:variant>
        <vt:lpwstr>http://mylink.agdaff.gov.au/team/IML/IML/Practice Statement Framework style guide.pdf</vt:lpwstr>
      </vt:variant>
      <vt:variant>
        <vt:lpwstr/>
      </vt:variant>
      <vt:variant>
        <vt:i4>65624</vt:i4>
      </vt:variant>
      <vt:variant>
        <vt:i4>96</vt:i4>
      </vt:variant>
      <vt:variant>
        <vt:i4>0</vt:i4>
      </vt:variant>
      <vt:variant>
        <vt:i4>5</vt:i4>
      </vt:variant>
      <vt:variant>
        <vt:lpwstr>http://mylink.agdaff.gov.au/team/IML/IML/Practice Statement Framework style guide.pdf</vt:lpwstr>
      </vt:variant>
      <vt:variant>
        <vt:lpwstr/>
      </vt:variant>
      <vt:variant>
        <vt:i4>1638454</vt:i4>
      </vt:variant>
      <vt:variant>
        <vt:i4>89</vt:i4>
      </vt:variant>
      <vt:variant>
        <vt:i4>0</vt:i4>
      </vt:variant>
      <vt:variant>
        <vt:i4>5</vt:i4>
      </vt:variant>
      <vt:variant>
        <vt:lpwstr/>
      </vt:variant>
      <vt:variant>
        <vt:lpwstr>_Toc407107581</vt:lpwstr>
      </vt:variant>
      <vt:variant>
        <vt:i4>1638454</vt:i4>
      </vt:variant>
      <vt:variant>
        <vt:i4>83</vt:i4>
      </vt:variant>
      <vt:variant>
        <vt:i4>0</vt:i4>
      </vt:variant>
      <vt:variant>
        <vt:i4>5</vt:i4>
      </vt:variant>
      <vt:variant>
        <vt:lpwstr/>
      </vt:variant>
      <vt:variant>
        <vt:lpwstr>_Toc407107580</vt:lpwstr>
      </vt:variant>
      <vt:variant>
        <vt:i4>1441846</vt:i4>
      </vt:variant>
      <vt:variant>
        <vt:i4>77</vt:i4>
      </vt:variant>
      <vt:variant>
        <vt:i4>0</vt:i4>
      </vt:variant>
      <vt:variant>
        <vt:i4>5</vt:i4>
      </vt:variant>
      <vt:variant>
        <vt:lpwstr/>
      </vt:variant>
      <vt:variant>
        <vt:lpwstr>_Toc407107579</vt:lpwstr>
      </vt:variant>
      <vt:variant>
        <vt:i4>1441846</vt:i4>
      </vt:variant>
      <vt:variant>
        <vt:i4>71</vt:i4>
      </vt:variant>
      <vt:variant>
        <vt:i4>0</vt:i4>
      </vt:variant>
      <vt:variant>
        <vt:i4>5</vt:i4>
      </vt:variant>
      <vt:variant>
        <vt:lpwstr/>
      </vt:variant>
      <vt:variant>
        <vt:lpwstr>_Toc407107578</vt:lpwstr>
      </vt:variant>
      <vt:variant>
        <vt:i4>1441846</vt:i4>
      </vt:variant>
      <vt:variant>
        <vt:i4>65</vt:i4>
      </vt:variant>
      <vt:variant>
        <vt:i4>0</vt:i4>
      </vt:variant>
      <vt:variant>
        <vt:i4>5</vt:i4>
      </vt:variant>
      <vt:variant>
        <vt:lpwstr/>
      </vt:variant>
      <vt:variant>
        <vt:lpwstr>_Toc407107577</vt:lpwstr>
      </vt:variant>
      <vt:variant>
        <vt:i4>1441846</vt:i4>
      </vt:variant>
      <vt:variant>
        <vt:i4>59</vt:i4>
      </vt:variant>
      <vt:variant>
        <vt:i4>0</vt:i4>
      </vt:variant>
      <vt:variant>
        <vt:i4>5</vt:i4>
      </vt:variant>
      <vt:variant>
        <vt:lpwstr/>
      </vt:variant>
      <vt:variant>
        <vt:lpwstr>_Toc407107576</vt:lpwstr>
      </vt:variant>
      <vt:variant>
        <vt:i4>1441846</vt:i4>
      </vt:variant>
      <vt:variant>
        <vt:i4>53</vt:i4>
      </vt:variant>
      <vt:variant>
        <vt:i4>0</vt:i4>
      </vt:variant>
      <vt:variant>
        <vt:i4>5</vt:i4>
      </vt:variant>
      <vt:variant>
        <vt:lpwstr/>
      </vt:variant>
      <vt:variant>
        <vt:lpwstr>_Toc407107575</vt:lpwstr>
      </vt:variant>
      <vt:variant>
        <vt:i4>1441846</vt:i4>
      </vt:variant>
      <vt:variant>
        <vt:i4>47</vt:i4>
      </vt:variant>
      <vt:variant>
        <vt:i4>0</vt:i4>
      </vt:variant>
      <vt:variant>
        <vt:i4>5</vt:i4>
      </vt:variant>
      <vt:variant>
        <vt:lpwstr/>
      </vt:variant>
      <vt:variant>
        <vt:lpwstr>_Toc407107574</vt:lpwstr>
      </vt:variant>
      <vt:variant>
        <vt:i4>1441846</vt:i4>
      </vt:variant>
      <vt:variant>
        <vt:i4>41</vt:i4>
      </vt:variant>
      <vt:variant>
        <vt:i4>0</vt:i4>
      </vt:variant>
      <vt:variant>
        <vt:i4>5</vt:i4>
      </vt:variant>
      <vt:variant>
        <vt:lpwstr/>
      </vt:variant>
      <vt:variant>
        <vt:lpwstr>_Toc407107573</vt:lpwstr>
      </vt:variant>
      <vt:variant>
        <vt:i4>1441846</vt:i4>
      </vt:variant>
      <vt:variant>
        <vt:i4>35</vt:i4>
      </vt:variant>
      <vt:variant>
        <vt:i4>0</vt:i4>
      </vt:variant>
      <vt:variant>
        <vt:i4>5</vt:i4>
      </vt:variant>
      <vt:variant>
        <vt:lpwstr/>
      </vt:variant>
      <vt:variant>
        <vt:lpwstr>_Toc407107572</vt:lpwstr>
      </vt:variant>
      <vt:variant>
        <vt:i4>1441846</vt:i4>
      </vt:variant>
      <vt:variant>
        <vt:i4>29</vt:i4>
      </vt:variant>
      <vt:variant>
        <vt:i4>0</vt:i4>
      </vt:variant>
      <vt:variant>
        <vt:i4>5</vt:i4>
      </vt:variant>
      <vt:variant>
        <vt:lpwstr/>
      </vt:variant>
      <vt:variant>
        <vt:lpwstr>_Toc407107571</vt:lpwstr>
      </vt:variant>
      <vt:variant>
        <vt:i4>1441846</vt:i4>
      </vt:variant>
      <vt:variant>
        <vt:i4>23</vt:i4>
      </vt:variant>
      <vt:variant>
        <vt:i4>0</vt:i4>
      </vt:variant>
      <vt:variant>
        <vt:i4>5</vt:i4>
      </vt:variant>
      <vt:variant>
        <vt:lpwstr/>
      </vt:variant>
      <vt:variant>
        <vt:lpwstr>_Toc407107570</vt:lpwstr>
      </vt:variant>
      <vt:variant>
        <vt:i4>1507382</vt:i4>
      </vt:variant>
      <vt:variant>
        <vt:i4>17</vt:i4>
      </vt:variant>
      <vt:variant>
        <vt:i4>0</vt:i4>
      </vt:variant>
      <vt:variant>
        <vt:i4>5</vt:i4>
      </vt:variant>
      <vt:variant>
        <vt:lpwstr/>
      </vt:variant>
      <vt:variant>
        <vt:lpwstr>_Toc407107569</vt:lpwstr>
      </vt:variant>
      <vt:variant>
        <vt:i4>1507382</vt:i4>
      </vt:variant>
      <vt:variant>
        <vt:i4>11</vt:i4>
      </vt:variant>
      <vt:variant>
        <vt:i4>0</vt:i4>
      </vt:variant>
      <vt:variant>
        <vt:i4>5</vt:i4>
      </vt:variant>
      <vt:variant>
        <vt:lpwstr/>
      </vt:variant>
      <vt:variant>
        <vt:lpwstr>_Toc407107568</vt:lpwstr>
      </vt:variant>
      <vt:variant>
        <vt:i4>5439568</vt:i4>
      </vt:variant>
      <vt:variant>
        <vt:i4>2585</vt:i4>
      </vt:variant>
      <vt:variant>
        <vt:i4>1026</vt:i4>
      </vt:variant>
      <vt:variant>
        <vt:i4>4</vt:i4>
      </vt:variant>
      <vt:variant>
        <vt:lpwstr>http://mylink.agdaff.gov.au/Comms/PrintPub/Logos/Departmental Logos/Department of Agriculture/Left Aligned/Master Inline-TIF.tif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package</dc:title>
  <dc:subject/>
  <dc:creator>Department of Agriculture</dc:creator>
  <cp:keywords/>
  <cp:lastModifiedBy>Belcher, Tony</cp:lastModifiedBy>
  <cp:revision>4</cp:revision>
  <cp:lastPrinted>2020-07-02T23:22:00Z</cp:lastPrinted>
  <dcterms:created xsi:type="dcterms:W3CDTF">2022-08-03T06:40:00Z</dcterms:created>
  <dcterms:modified xsi:type="dcterms:W3CDTF">2022-08-05T02:03:00Z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No">
    <vt:lpwstr>4.00000000000000</vt:lpwstr>
  </property>
  <property fmtid="{D5CDD505-2E9C-101B-9397-08002B2CF9AE}" pid="3" name="ContentType">
    <vt:lpwstr>Document</vt:lpwstr>
  </property>
</Properties>
</file>