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Did Russia's Invasion of Ukraine in February 2022 Create a Structural or Cyclical Shift in European Defence Companies?</w:t>
      </w:r>
    </w:p>
    <w:p>
      <w:pPr>
        <w:pStyle w:val="FirstParagraph"/>
      </w:pPr>
      <w:r>
        <w:t xml:space="preserve">Did Russia’s Invasion of Ukraine in February 2022 Create A Structural Or Cyclical Shift in European Defence Companies?</w:t>
      </w:r>
    </w:p>
    <w:p>
      <w:pPr>
        <w:pStyle w:val="BodyText"/>
      </w:pPr>
      <w:r>
        <w:t xml:space="preserve">Ines Rienzo</w:t>
      </w:r>
    </w:p>
    <w:p>
      <w:pPr>
        <w:pStyle w:val="BodyText"/>
      </w:pPr>
      <w:r>
        <w:t xml:space="preserve">Bachelor in Economics</w:t>
      </w:r>
    </w:p>
    <w:p>
      <w:pPr>
        <w:pStyle w:val="BodyText"/>
      </w:pPr>
      <w:r>
        <w:t xml:space="preserve">IE University</w:t>
      </w:r>
    </w:p>
    <w:p>
      <w:pPr>
        <w:pStyle w:val="BodyText"/>
      </w:pPr>
      <w:r>
        <w:t xml:space="preserve">Professor Patricia Gabaldon Quinoñes</w:t>
      </w:r>
    </w:p>
    <w:p>
      <w:pPr>
        <w:pStyle w:val="BodyText"/>
      </w:pPr>
      <w:r>
        <w:t xml:space="preserve">May, 2026</w:t>
      </w:r>
    </w:p>
    <w:p>
      <w:pPr>
        <w:pStyle w:val="BodyText"/>
      </w:pPr>
      <w:r>
        <w:rPr>
          <w:bCs/>
          <w:b/>
        </w:rPr>
        <w:t xml:space="preserve">Declaration</w:t>
      </w:r>
    </w:p>
    <w:p>
      <w:pPr>
        <w:pStyle w:val="BodyText"/>
      </w:pPr>
      <w:r>
        <w:t xml:space="preserve">I hereby declare that I understand and abide by IE University’s policy concerning plagiarism; and that this thesis contains no material previously published, or written by another person or AI software, except where properly cited.</w:t>
      </w:r>
    </w:p>
    <w:p>
      <w:pPr>
        <w:pStyle w:val="BodyText"/>
      </w:pPr>
      <w:r>
        <w:rPr>
          <w:bCs/>
          <w:b/>
        </w:rPr>
        <w:t xml:space="preserve">Acknowledgement of AI Use</w:t>
      </w:r>
    </w:p>
    <w:p>
      <w:pPr>
        <w:pStyle w:val="BodyText"/>
      </w:pPr>
      <w:r>
        <w:t xml:space="preserve">I acknowledge the use of Claude Anthropic to help me build the code for the semantic and quantitative analysis in Google Collab. I explained to Claude step by step what the code was supposed to do, and Claude provided me with a draft of it. The code required manual changes to work and be performant.</w:t>
      </w:r>
    </w:p>
    <w:p>
      <w:pPr>
        <w:pStyle w:val="BodyText"/>
      </w:pPr>
      <w:r>
        <w:t xml:space="preserve">On another note, AI is a key part of my semantic analysis, in which I asked both Claude and Gemini 2.5 specific prompts for them to analyse my dataset through the code.</w:t>
      </w:r>
    </w:p>
    <w:p>
      <w:pPr>
        <w:pStyle w:val="BodyText"/>
      </w:pPr>
      <w:r>
        <w:rPr>
          <w:bCs/>
          <w:b/>
        </w:rPr>
        <w:t xml:space="preserve">Table of Contents</w:t>
      </w:r>
    </w:p>
    <w:p>
      <w:pPr>
        <w:pStyle w:val="BodyText"/>
      </w:pPr>
      <w:r>
        <w:rPr>
          <w:bCs/>
          <w:b/>
        </w:rPr>
        <w:t xml:space="preserve">1. Executive Summary</w:t>
      </w:r>
    </w:p>
    <w:p>
      <w:pPr>
        <w:pStyle w:val="BodyText"/>
      </w:pPr>
      <w:r>
        <w:rPr>
          <w:bCs/>
          <w:b/>
        </w:rPr>
        <w:t xml:space="preserve">2. Introduction</w:t>
      </w:r>
    </w:p>
    <w:p>
      <w:pPr>
        <w:pStyle w:val="BodyText"/>
      </w:pPr>
      <w:r>
        <w:rPr>
          <w:bCs/>
          <w:b/>
        </w:rPr>
        <w:t xml:space="preserve">3. Background</w:t>
      </w:r>
    </w:p>
    <w:p>
      <w:pPr>
        <w:pStyle w:val="BodyText"/>
      </w:pPr>
      <w:r>
        <w:t xml:space="preserve">    3.1 History of European Defence Spending</w:t>
      </w:r>
    </w:p>
    <w:p>
      <w:pPr>
        <w:pStyle w:val="BodyText"/>
      </w:pPr>
      <w:r>
        <w:t xml:space="preserve">    3.2 Russia’s Invasion of Ukraine</w:t>
      </w:r>
    </w:p>
    <w:p>
      <w:pPr>
        <w:pStyle w:val="BodyText"/>
      </w:pPr>
      <w:r>
        <w:rPr>
          <w:bCs/>
          <w:b/>
        </w:rPr>
        <w:t xml:space="preserve">4. Literature Review</w:t>
      </w:r>
    </w:p>
    <w:p>
      <w:pPr>
        <w:pStyle w:val="BodyText"/>
      </w:pPr>
      <w:r>
        <w:t xml:space="preserve">    4.1 Textual Analysis of Corporate Disclosures</w:t>
      </w:r>
    </w:p>
    <w:p>
      <w:pPr>
        <w:pStyle w:val="BodyText"/>
      </w:pPr>
      <w:r>
        <w:t xml:space="preserve">    4.2 Literature Contradictions</w:t>
      </w:r>
    </w:p>
    <w:p>
      <w:pPr>
        <w:pStyle w:val="BodyText"/>
      </w:pPr>
      <w:r>
        <w:t xml:space="preserve">    4.3 Current Literature Gaps and Our Contributions</w:t>
      </w:r>
    </w:p>
    <w:p>
      <w:pPr>
        <w:pStyle w:val="BodyText"/>
      </w:pPr>
      <w:r>
        <w:rPr>
          <w:bCs/>
          <w:b/>
        </w:rPr>
        <w:t xml:space="preserve">5. Theoretical Framework</w:t>
      </w:r>
    </w:p>
    <w:p>
      <w:pPr>
        <w:pStyle w:val="BodyText"/>
      </w:pPr>
      <w:r>
        <w:t xml:space="preserve">    5.1 Structural Break Analysis</w:t>
      </w:r>
    </w:p>
    <w:p>
      <w:pPr>
        <w:pStyle w:val="BodyText"/>
      </w:pPr>
      <w:r>
        <w:t xml:space="preserve">    5.2 Signalling Theory</w:t>
      </w:r>
    </w:p>
    <w:p>
      <w:pPr>
        <w:pStyle w:val="BodyText"/>
      </w:pPr>
      <w:r>
        <w:t xml:space="preserve">    5.3 Framing Theory</w:t>
      </w:r>
    </w:p>
    <w:p>
      <w:pPr>
        <w:pStyle w:val="BodyText"/>
      </w:pPr>
      <w:r>
        <w:rPr>
          <w:bCs/>
          <w:b/>
        </w:rPr>
        <w:t xml:space="preserve">6. Data</w:t>
      </w:r>
    </w:p>
    <w:p>
      <w:pPr>
        <w:pStyle w:val="BodyText"/>
      </w:pPr>
      <w:r>
        <w:rPr>
          <w:bCs/>
          <w:b/>
        </w:rPr>
        <w:t xml:space="preserve">7. Mixed Methods</w:t>
      </w:r>
    </w:p>
    <w:p>
      <w:pPr>
        <w:pStyle w:val="BodyText"/>
      </w:pPr>
      <w:r>
        <w:t xml:space="preserve">    7.1 Semantic Analysis</w:t>
      </w:r>
    </w:p>
    <w:p>
      <w:pPr>
        <w:pStyle w:val="BodyText"/>
      </w:pPr>
      <w:r>
        <w:t xml:space="preserve">        7.1.1 Methodology</w:t>
      </w:r>
    </w:p>
    <w:p>
      <w:pPr>
        <w:pStyle w:val="BodyText"/>
      </w:pPr>
      <w:r>
        <w:t xml:space="preserve">        7.1.2 Large Language Model Framework</w:t>
      </w:r>
    </w:p>
    <w:p>
      <w:pPr>
        <w:pStyle w:val="BodyText"/>
      </w:pPr>
      <w:r>
        <w:t xml:space="preserve">        7.1.3 Results</w:t>
      </w:r>
    </w:p>
    <w:p>
      <w:pPr>
        <w:pStyle w:val="BodyText"/>
      </w:pPr>
      <w:r>
        <w:t xml:space="preserve">        7.1.4 Inter-Rater Reliability Using a Second AI Model</w:t>
      </w:r>
    </w:p>
    <w:p>
      <w:pPr>
        <w:pStyle w:val="BodyText"/>
      </w:pPr>
      <w:r>
        <w:t xml:space="preserve">        7.1.5 Difference-in-Difference (DiD) Analysis</w:t>
      </w:r>
    </w:p>
    <w:p>
      <w:pPr>
        <w:pStyle w:val="BodyText"/>
      </w:pPr>
      <w:r>
        <w:t xml:space="preserve">    7.2 Financial Analysis</w:t>
      </w:r>
    </w:p>
    <w:p>
      <w:pPr>
        <w:pStyle w:val="BodyText"/>
      </w:pPr>
      <w:r>
        <w:t xml:space="preserve">        7.2.1 Methodology</w:t>
      </w:r>
    </w:p>
    <w:p>
      <w:pPr>
        <w:pStyle w:val="BodyText"/>
      </w:pPr>
      <w:r>
        <w:t xml:space="preserve">        7.2.2 Tests</w:t>
      </w:r>
    </w:p>
    <w:p>
      <w:pPr>
        <w:pStyle w:val="BodyText"/>
      </w:pPr>
      <w:r>
        <w:rPr>
          <w:bCs/>
          <w:b/>
        </w:rPr>
        <w:t xml:space="preserve">8. Contextualisation of Mixed Methods vis-à-vis the Theoretical Framework and Results</w:t>
      </w:r>
    </w:p>
    <w:p>
      <w:pPr>
        <w:pStyle w:val="BodyText"/>
      </w:pPr>
      <w:r>
        <w:t xml:space="preserve">    8.1 Key Signalling Links Between Analyses</w:t>
      </w:r>
    </w:p>
    <w:p>
      <w:pPr>
        <w:pStyle w:val="BodyText"/>
      </w:pPr>
      <w:r>
        <w:t xml:space="preserve">    8.2 Pre- and Post-Invasion Framing</w:t>
      </w:r>
    </w:p>
    <w:p>
      <w:pPr>
        <w:pStyle w:val="BodyText"/>
      </w:pPr>
      <w:r>
        <w:t xml:space="preserve">    8.3 Theoretical Support through Company Heterogeneity</w:t>
      </w:r>
    </w:p>
    <w:p>
      <w:pPr>
        <w:pStyle w:val="BodyText"/>
      </w:pPr>
      <w:r>
        <w:t xml:space="preserve">    8.4 Summary of Key Limitations and Potential Avenues for Future Study</w:t>
      </w:r>
    </w:p>
    <w:p>
      <w:pPr>
        <w:pStyle w:val="BodyText"/>
      </w:pPr>
      <w:r>
        <w:rPr>
          <w:bCs/>
          <w:b/>
        </w:rPr>
        <w:t xml:space="preserve">9. Conclusion</w:t>
      </w:r>
    </w:p>
    <w:p>
      <w:pPr>
        <w:pStyle w:val="BodyText"/>
      </w:pPr>
      <w:r>
        <w:rPr>
          <w:bCs/>
          <w:b/>
        </w:rPr>
        <w:t xml:space="preserve">References</w:t>
      </w:r>
    </w:p>
    <w:p>
      <w:pPr>
        <w:pStyle w:val="BodyText"/>
      </w:pPr>
      <w:r>
        <w:rPr>
          <w:bCs/>
          <w:b/>
        </w:rPr>
        <w:t xml:space="preserve">Appendix</w:t>
      </w:r>
    </w:p>
    <w:bookmarkStart w:id="20" w:name="executive-summary"/>
    <w:p>
      <w:pPr>
        <w:pStyle w:val="Heading1"/>
      </w:pPr>
      <w:r>
        <w:rPr>
          <w:bCs/>
          <w:b/>
        </w:rPr>
        <w:t xml:space="preserve">1. Executive Summary</w:t>
      </w:r>
    </w:p>
    <w:p>
      <w:pPr>
        <w:pStyle w:val="FirstParagraph"/>
      </w:pPr>
      <w:r>
        <w:t xml:space="preserve">February of 2022 saw Russia’s full-scale invasion of Ukraine, a major escalation of the war Russia had launched in 2014 with the seizure of Crimea and the incursion into the Donbas. The 2022 invasion was the first large-scale interstate conventional war in Europe in decades. The continent suddenly awoke to a seismic shift from the status quo. Not only did European countries not expect such aggression, they also realised that the US was no longer a reliable resource in mediating European conflicts. In response to these factors, the European Union (EU) immediately increased defence spending, which defence companies responded to by increasing their own capital expenditure and research and development (R&amp;D). There was also a shift toward creating capacity for a new self-reliance in defence by EU members. The reasons for the surge in defence spending are clear, but a question arises. Does the upswing in response to the 2022 invasion indicate a</w:t>
      </w:r>
      <w:r>
        <w:t xml:space="preserve"> </w:t>
      </w:r>
      <w:r>
        <w:rPr>
          <w:iCs/>
          <w:i/>
        </w:rPr>
        <w:t xml:space="preserve">cyclical</w:t>
      </w:r>
      <w:r>
        <w:t xml:space="preserve"> </w:t>
      </w:r>
      <w:r>
        <w:t xml:space="preserve">shift or a</w:t>
      </w:r>
      <w:r>
        <w:t xml:space="preserve"> </w:t>
      </w:r>
      <w:r>
        <w:rPr>
          <w:iCs/>
          <w:i/>
        </w:rPr>
        <w:t xml:space="preserve">structural</w:t>
      </w:r>
      <w:r>
        <w:t xml:space="preserve"> </w:t>
      </w:r>
      <w:r>
        <w:t xml:space="preserve">one?</w:t>
      </w:r>
    </w:p>
    <w:p>
      <w:pPr>
        <w:pStyle w:val="BodyText"/>
      </w:pPr>
      <w:r>
        <w:t xml:space="preserve">The research for this paper employs econometric (structural break theory) and theoretical frameworks (signalling and framing theories). It involves both semantic and quantitative approaches and uses eight years of annual reports (2018-2025) of the same ten companies (Airbus, BAE Systems, Dassault Aviation, Indra, Leonardo, Rheinmetall, Rolls-Royce Holdings, Saab, Safran, and Thales). Annual reports serve well to generate analyses for this study, since these documents reflect the financial and cultural positions of firms.</w:t>
      </w:r>
    </w:p>
    <w:p>
      <w:pPr>
        <w:pStyle w:val="BodyText"/>
      </w:pPr>
      <w:r>
        <w:t xml:space="preserve">The semantic analysis of the annual reports goes beyond mere word-counting (address frequency) and uses a code that includes a Claude API key (Anthropic, claude-opus-4-5-model) that allows artificial intelligence (AI) to scan 79 reports (Indra’s 2025 was too short) and read them holistically, as a financial analyst might. Each report receives a rating on a scale of 1-10 in identifying language that marks either cyclical or structural language in the reports (1 represents purely cyclical and 10 represents purely structural). Additionally, the prompt assesses and categorises the tone and language indicators of long-term financial commitment in each report.</w:t>
      </w:r>
    </w:p>
    <w:p>
      <w:pPr>
        <w:pStyle w:val="BodyText"/>
      </w:pPr>
      <w:r>
        <w:t xml:space="preserve">Three statistical analyses comprise the financial analysis portion of the study. The Welch test compares t-test means in the pre- and post-invasion periods, the Chow analysis reveals structural breaks, and the Panel fixed-effects regression recognises and controls for firm-specific distinctions and pre-existing trends. All of the tests are performed on six metrics (defence revenue growth, defence order intake growth, defence revenue share, group EBIT margin, defence EBIT margin, and the book-to-bill ratio).</w:t>
      </w:r>
    </w:p>
    <w:p>
      <w:pPr>
        <w:pStyle w:val="BodyText"/>
      </w:pPr>
      <w:r>
        <w:t xml:space="preserve">Four caveats must be acknowledged. First, the sample involves only ten companies that are publicly listed, and it excludes private contractors and defence companies of smaller scale whose trajectories, if included, might skew the study’s results. Secondly, the post-invasion period is still relatively short, which limits the statistical power of some of the panel tests; a longer post-event window would strengthen the inference. Third, annual reports, which portray a company from a management perspective, necessarily reflect some intentional optimism for investors and imply other company dynamics, though the financial reports in this study go hand in hand with the semantic analysis. Lastly, by its very nature, a structural shift is forward-looking, but in the context of a military sequence of events, 100% confirmation is elusive.</w:t>
      </w:r>
    </w:p>
    <w:p>
      <w:pPr>
        <w:pStyle w:val="BodyText"/>
      </w:pPr>
      <w:r>
        <w:t xml:space="preserve">Based on both the semantic and financial analyses, a structural shift has occurred, and the evidence corresponds to the most intense moments in the timeline. As industries prioritise long-term strategic planning, the financial indicators (order backlogs and profitability) demonstrate that the language is supported by credible commitments of capital expenditure, R&amp;D, and order backlog. The semantic analysis corroborates the results, showing that the mean structural score increased from 4.7 (pre-invasion) to 7.1 (post-invasion), reaching 8.1 by 2025. This corresponds to the shift in narrative tone, which moved from business-as-usual to one decidedly transformational. One may note that the semantic results were strengthened by a Cohen’s Kappa assessment and a difference-in-difference analysis. These semantic results are further reinforced by the financial analysis outcomes. Indeed, two metrics emerged as decidedly important: (a) book-to-bill, with an average increase from 1.20 pre- 2022 to 1.75 afterward; and (b) EBIT margin, which increased from 7.8 to 10.5% in the panel regression. It is also noteworthy that the firms most directly exposed to European defence demand show the strongest responses, but the heterogeneity of the companies actually reinforces the study. It is not surprising that companies whose orientation is more dedicated to commercial aerospace, such as Airbus, respond more modestly. This rules out a macroeconomic effect that is generic.</w:t>
      </w:r>
    </w:p>
    <w:bookmarkEnd w:id="20"/>
    <w:bookmarkStart w:id="21" w:name="introduction"/>
    <w:p>
      <w:pPr>
        <w:pStyle w:val="Heading1"/>
      </w:pPr>
      <w:r>
        <w:rPr>
          <w:bCs/>
          <w:b/>
        </w:rPr>
        <w:t xml:space="preserve">2. Introduction</w:t>
      </w:r>
    </w:p>
    <w:p>
      <w:pPr>
        <w:pStyle w:val="FirstParagraph"/>
      </w:pPr>
      <w:r>
        <w:t xml:space="preserve">Russia’s full-scale invasion of Ukraine in 2022 broke a period of relative social and economic calm in Europe that its earlier 2014 invasion had not. The 2014 invasion seized Crimea and opened the Donbas conflict, which simmered as an active conflict zone for the next eight years. The 2022 escalation alarmed people, as it was the largest conventional war on European soil since World War II, and shook the complacent belief that peace in the post-Cold War era would be sustainable indefinitely. The NATO alliance faced upheavals and questions regarding the resolute support of the US, and in contrast to 2014, Ukraine would now need to enlist support and devote resources to maintain its sovereignty. This quickly affected the European economy, but nowhere more prominently than in the defence sector. For the EU and its member countries, the conflict caused an immediate reevaluation of security policies and readiness of their defence industries (Genini, 2025). Almost overnight, European defence companies experienced a massive influx of capital, including a spike in orders to refill national military stockpiles (IvančíkRadoslav, 20254). Consequently, European nations and defence companies have committed to securing an upgraded level of security, and, moreover, one that can be sustained regardless of the whims of any external force.</w:t>
      </w:r>
    </w:p>
    <w:p>
      <w:pPr>
        <w:pStyle w:val="BodyText"/>
      </w:pPr>
      <w:r>
        <w:t xml:space="preserve">The question that emerges from this new, sustained conflict is: did Russia’s invasion of Ukraine in February 2022 create a structural or cyclical shift in European defence companies? The sequence of events since 2022 has created sustained demand for products from the defence sector. Whether the economic shifts in this sector are cyclical or structural becomes a more heated debate in a volatile geopolitical landscape that includes other global conflicts. Europe has increasingly sought strategic autonomy and independence from external policy caprices. Europe’s response to the Ukraine invasion reveals a clear need for greater defence autonomy: starting from the year 2005 to the year 2023, approximately 37% of EU defence equipment was imported from outside the bloc. Further, 80% of EU financial support for Ukraine was spent on non-EU military products (Genini, 2025). Without questionObviously, any major upheaval, such as COVID-19 or natural disasters, can shift a short-term allocation toward one sector or another, but the threat of an elongated conflict and the desire for autonomy are likely to drive a shift toward greater strategic independence.</w:t>
      </w:r>
    </w:p>
    <w:p>
      <w:pPr>
        <w:pStyle w:val="BodyText"/>
      </w:pPr>
      <w:r>
        <w:t xml:space="preserve">Academic research suggests that the early reaction to the invasion was cyclical, implying that governments predictably articulated temporary funding methods to purchase readily available stockpiles in an effort to respond to a crisis situation (Cepparulo &amp; Pasimeni, 2024). As the conflict and its accompanying geopolitical dynamics evolved, however, it became clear that a structural transformation appears to be underway (Ivančík, 2025). This research paper reviews the evidence for both temporary and permanent shifts. As governmental and industrial strategies are still developing, the longitudinal evidence is in many ways yet to be understood. However, the measurable evidence, thus far, is striking and clearly indicates a trend that seems to lean toward an ongoing structural shift.</w:t>
      </w:r>
    </w:p>
    <w:bookmarkEnd w:id="21"/>
    <w:bookmarkStart w:id="24" w:name="background"/>
    <w:p>
      <w:pPr>
        <w:pStyle w:val="Heading1"/>
      </w:pPr>
      <w:r>
        <w:rPr>
          <w:bCs/>
          <w:b/>
        </w:rPr>
        <w:t xml:space="preserve">3. Background</w:t>
      </w:r>
    </w:p>
    <w:bookmarkStart w:id="22" w:name="history-of-european-defence-spending"/>
    <w:p>
      <w:pPr>
        <w:pStyle w:val="Heading2"/>
      </w:pPr>
      <w:r>
        <w:rPr>
          <w:bCs/>
          <w:b/>
        </w:rPr>
        <w:t xml:space="preserve">3.1 History of European Defence Spending</w:t>
      </w:r>
    </w:p>
    <w:p>
      <w:pPr>
        <w:pStyle w:val="FirstParagraph"/>
      </w:pPr>
      <w:r>
        <w:rPr>
          <w:iCs/>
          <w:i/>
        </w:rPr>
        <w:t xml:space="preserve">Defence Companies as</w:t>
      </w:r>
      <w:r>
        <w:rPr>
          <w:iCs/>
          <w:i/>
        </w:rPr>
        <w:t xml:space="preserve"> </w:t>
      </w:r>
      <w:r>
        <w:rPr>
          <w:iCs/>
          <w:i/>
        </w:rPr>
        <w:t xml:space="preserve">“</w:t>
      </w:r>
      <w:r>
        <w:rPr>
          <w:iCs/>
          <w:i/>
        </w:rPr>
        <w:t xml:space="preserve">Sin Stocks</w:t>
      </w:r>
      <w:r>
        <w:rPr>
          <w:iCs/>
          <w:i/>
        </w:rPr>
        <w:t xml:space="preserve">”</w:t>
      </w:r>
    </w:p>
    <w:p>
      <w:pPr>
        <w:pStyle w:val="BodyText"/>
      </w:pPr>
      <w:r>
        <w:t xml:space="preserve">The term</w:t>
      </w:r>
      <w:r>
        <w:t xml:space="preserve"> </w:t>
      </w:r>
      <w:r>
        <w:t xml:space="preserve">“</w:t>
      </w:r>
      <w:r>
        <w:t xml:space="preserve">defence company</w:t>
      </w:r>
      <w:r>
        <w:t xml:space="preserve">”</w:t>
      </w:r>
      <w:r>
        <w:t xml:space="preserve"> </w:t>
      </w:r>
      <w:r>
        <w:t xml:space="preserve">is actually a softened term for industries that manufacture and sustain the instruments of war. Thus, many people have come to place defence companies in a collection of industries that are perceived harmful or attached to morally questionable behaviours. Companies operating within these types of industries were deemed</w:t>
      </w:r>
      <w:r>
        <w:t xml:space="preserve"> </w:t>
      </w:r>
      <w:r>
        <w:t xml:space="preserve">“</w:t>
      </w:r>
      <w:r>
        <w:t xml:space="preserve">Sin Stocks</w:t>
      </w:r>
      <w:r>
        <w:t xml:space="preserve">”</w:t>
      </w:r>
      <w:r>
        <w:t xml:space="preserve"> </w:t>
      </w:r>
      <w:r>
        <w:t xml:space="preserve">(Hong and Kacperczyk, 2009), considered bedfellows of gambling, alcohol, and tobacco. In short, individual investors are prone to avoid profitable endeavours whose products clearly threaten or damage the quality of human life. It is not surprising, therefore, that data suggests that public companies traded at a valuation discount to the market because institutional investors were hesitant to invest due to associated ethical stigmas. Still, in the case of defence companies, this moral objection can shift due to the exigence of the situation and the stakes of alternative investment and political courses of action. These historical investing dynamics created a cyclical dependency within the sector (Derwall et al., 2011). Firms could not rely on consistent, structural support from private capital markets that were almost entirely dependent on government procurement cycles.</w:t>
      </w:r>
    </w:p>
    <w:p>
      <w:pPr>
        <w:pStyle w:val="BodyText"/>
      </w:pPr>
      <w:r>
        <w:rPr>
          <w:iCs/>
          <w:i/>
        </w:rPr>
        <w:t xml:space="preserve">Peace Dividend</w:t>
      </w:r>
    </w:p>
    <w:p>
      <w:pPr>
        <w:pStyle w:val="BodyText"/>
      </w:pPr>
      <w:r>
        <w:t xml:space="preserve">During the long period of relative calm following the collapse of the Soviet Union, Europe entered a new era, dubbed the</w:t>
      </w:r>
      <w:r>
        <w:t xml:space="preserve"> </w:t>
      </w:r>
      <w:r>
        <w:t xml:space="preserve">“</w:t>
      </w:r>
      <w:r>
        <w:t xml:space="preserve">Peace Dividend</w:t>
      </w:r>
      <w:r>
        <w:t xml:space="preserve">”</w:t>
      </w:r>
      <w:r>
        <w:t xml:space="preserve"> </w:t>
      </w:r>
      <w:r>
        <w:t xml:space="preserve">era. This period was characterised by a dominant economic view that defence spending was relatively inefficient, perhaps modestly unnecessary, and did not result in the maximum welfare for the state. Sandler and Hartley (1995) promoted the view that high defence spending</w:t>
      </w:r>
      <w:r>
        <w:t xml:space="preserve"> </w:t>
      </w:r>
      <w:r>
        <w:t xml:space="preserve">“</w:t>
      </w:r>
      <w:r>
        <w:t xml:space="preserve">crowds-out</w:t>
      </w:r>
      <w:r>
        <w:t xml:space="preserve">”</w:t>
      </w:r>
      <w:r>
        <w:t xml:space="preserve"> </w:t>
      </w:r>
      <w:r>
        <w:t xml:space="preserve">private investment and civilian research and development. This view provided the intellectual justification for deep cuts during the 1990’s and 2000’s. In analyses by the Stockholm International Peace Research Institute, a research body that provides data and reports on armed conflicts, European governments viewed disarmament , not only as a security calculation, but as an economic necessity to finance the welfare of the country as a whole (Tian et al., 2024).</w:t>
      </w:r>
    </w:p>
    <w:p>
      <w:pPr>
        <w:pStyle w:val="BodyText"/>
      </w:pPr>
      <w:r>
        <w:rPr>
          <w:iCs/>
          <w:i/>
        </w:rPr>
        <w:t xml:space="preserve">Temporary Spike</w:t>
      </w:r>
    </w:p>
    <w:p>
      <w:pPr>
        <w:pStyle w:val="BodyText"/>
      </w:pPr>
      <w:r>
        <w:t xml:space="preserve">Certain research points to the idea that Europe’s reaction to the Ukrainian conflict appears to be a temporary spike in activity and not a permanent change in defence production. Most European nations are members of the Permanent Structured Cooperation (PESCO), which serves as a unifying defence alliance similar to NATO but with a specific focus on the European Union. In 2017, under PESCO, most European nations had agreed to increase their defence budgets consistently as part of their shared commitments. However, only half of the nations fulfilled this commitment (Cepparulo &amp; Pasimeni, 2024). Figure 1The graph below illustrates the annual yearly percentage change in European Union defence spending from 2000 to 2022.</w:t>
      </w:r>
    </w:p>
    <w:p>
      <w:pPr>
        <w:pStyle w:val="SourceCode"/>
      </w:pPr>
      <w:r>
        <w:rPr>
          <w:rStyle w:val="VerbatimChar"/>
        </w:rPr>
        <w:t xml:space="preserve"> **Figure 1: EU Defence Spending Growth 2000-2022 (Annual % Change)**</w:t>
      </w:r>
      <w:r>
        <w:br/>
      </w:r>
      <w:r>
        <w:br/>
      </w:r>
      <w:r>
        <w:rPr>
          <w:rStyle w:val="VerbatimChar"/>
        </w:rPr>
        <w:t xml:space="preserve">          *Source: Cepparulo &amp; Pasimeni, 2024*</w:t>
      </w:r>
    </w:p>
    <w:p>
      <w:pPr>
        <w:pStyle w:val="FirstParagraph"/>
      </w:pPr>
      <w:r>
        <w:t xml:space="preserve">One inference is that if defence spending growth stagnated and returned to trend (mean-reversion) even after Russia’s 2014 invasion of Ukraine, which seized Crimea and opened a sustained war in the Donbas, then a similar reversion may follow the 2022 escalation.</w:t>
      </w:r>
    </w:p>
    <w:p>
      <w:pPr>
        <w:pStyle w:val="BodyText"/>
      </w:pPr>
      <w:r>
        <w:t xml:space="preserve">Prior to 2022, European defence companies had no reason to anticipate a dramatic surge in demand, and the incentive to invest large amounts of capital did not exist. The invasion dramatically changed this. Still, as governments anticipated longer-term defence needs, it was necessary for them to send consistent –and costly–signals to defence companies to make credible that they were intent upon developing and expanding their militaries (Ribera Payá &amp; Barredo González, 2025).</w:t>
      </w:r>
    </w:p>
    <w:p>
      <w:pPr>
        <w:pStyle w:val="BodyText"/>
      </w:pPr>
      <w:r>
        <w:t xml:space="preserve">For many years after the Cold War, the European defence industry was framed predominantly through a lens of ethical liability and restraint. The key political narrative placed emphasis on the previously -noted peace dividends and demilitarisation. The defence sector was often framed as an unfortunate, heavily regulated necessity rather than a public good. In financial markets, this framing resulted in the exclusion of most defence companies from many Environmental, Social, and Governance ESG (ESGEnvironmental, Social, and Governance) portfolios, creating the moral opinion that weapons manufacturing was inherently risky or anti-sustainable (Drempetic et al., 2020).</w:t>
      </w:r>
    </w:p>
    <w:bookmarkEnd w:id="22"/>
    <w:bookmarkStart w:id="23" w:name="russias-invasion-of-ukraine"/>
    <w:p>
      <w:pPr>
        <w:pStyle w:val="Heading2"/>
      </w:pPr>
      <w:r>
        <w:rPr>
          <w:bCs/>
          <w:b/>
        </w:rPr>
        <w:t xml:space="preserve">3.2 Russia’s Invasion of Ukraine</w:t>
      </w:r>
    </w:p>
    <w:p>
      <w:pPr>
        <w:pStyle w:val="FirstParagraph"/>
      </w:pPr>
      <w:r>
        <w:t xml:space="preserve">Given its nature and organisation, the EU had no choice but to devise a limited short-term response to the invasion of Ukraine, but as it became clear that this conflict would not be resolved quickly, a more developed long-term response took shape. Government policies, economic forecasts, and the way companies saw their role in adapting to this new level of Russian aggression all influenced a stimulation of the European defence market. Companies could now foresee a necessary expansion and adapt to a far broader scale of operation and production.</w:t>
      </w:r>
    </w:p>
    <w:p>
      <w:pPr>
        <w:pStyle w:val="BodyText"/>
      </w:pPr>
      <w:r>
        <w:rPr>
          <w:iCs/>
          <w:i/>
        </w:rPr>
        <w:t xml:space="preserve">An Improvised Solution</w:t>
      </w:r>
    </w:p>
    <w:p>
      <w:pPr>
        <w:pStyle w:val="BodyText"/>
      </w:pPr>
      <w:r>
        <w:t xml:space="preserve">The uncertainty and volatility in countries providing defence aid to Ukraine are obviously driven by simultaneous, parallel political and economic developments. For example, when the U.S. commitment to Ukraine became uncertainlear in early 2025., As a result, European countries and the EU were compelled to fill the gap. – Tthe conflict, after all, was in Europe’s backyard, and Russian aggression loomed as a clear possibility to Europe’s eastern areas. Even though Europe gave a record €26.9 billion to Ukraine in the first part of 2025, analysts warned this spike was temporary, uneven, and relied on one-time funding tricks, such as using the interest from frozen Russian assets (Mellace et al., 2025). Even when these short-term efforts to fill a funding void were instituted, the policymakers who crafted them were driven to create short-term measures, and the limited durability of these arrangements implied that a more sustainable, coherent continental level of defence security needed to be developed.</w:t>
      </w:r>
    </w:p>
    <w:p>
      <w:pPr>
        <w:pStyle w:val="BodyText"/>
      </w:pPr>
      <w:r>
        <w:rPr>
          <w:iCs/>
          <w:i/>
        </w:rPr>
        <w:t xml:space="preserve">Underlying Political Change</w:t>
      </w:r>
    </w:p>
    <w:p>
      <w:pPr>
        <w:pStyle w:val="BodyText"/>
      </w:pPr>
      <w:r>
        <w:t xml:space="preserve">The EU, somewhat remarkably given its prior reluctance to find consensus on defence matters, now grouped together to address a clear European demand for defence, a demand that necessitated a scaling up of production, investment, and long-term policies. The EU created new policies like the Act in Support of Ammunition Production (ASAP) and the European Defence Industry Reinforcement through Common Procurement Act (EDIRPA) to clear supply bottlenecks and encourage countries to buy supplies together (Lane, 2024).</w:t>
      </w:r>
    </w:p>
    <w:p>
      <w:pPr>
        <w:pStyle w:val="BodyText"/>
      </w:pPr>
      <w:r>
        <w:t xml:space="preserve">More recently, the European Defence Industrial Strategy, also known as (EDIS), showed a deeply committed stance toward a truly united market which aims to fundamentally reverse the trend of relying on non-EU suppliers and instead permanently boosts the entire bloc’s industrial readiness. The innovative use of joint funds like the European Peace Facility highly suggests that the EU is moving from a purely economic project to a genuine security provider that can deliver the needed funds for weapons at scale and even be used to train soldiers like the 75,000 Ukrainian troops that were trained by early 2025 (Andersson &amp; Britz, 2025).</w:t>
      </w:r>
    </w:p>
    <w:p>
      <w:pPr>
        <w:pStyle w:val="BodyText"/>
      </w:pPr>
      <w:r>
        <w:rPr>
          <w:iCs/>
          <w:i/>
        </w:rPr>
        <w:t xml:space="preserve">Economic Legitimacy</w:t>
      </w:r>
    </w:p>
    <w:p>
      <w:pPr>
        <w:pStyle w:val="BodyText"/>
      </w:pPr>
      <w:r>
        <w:t xml:space="preserve">Recent macroeconomic analyses reflect that the transition to a</w:t>
      </w:r>
      <w:r>
        <w:t xml:space="preserve"> </w:t>
      </w:r>
      <w:r>
        <w:t xml:space="preserve">“</w:t>
      </w:r>
      <w:r>
        <w:t xml:space="preserve">war economy</w:t>
      </w:r>
      <w:r>
        <w:t xml:space="preserve">”</w:t>
      </w:r>
      <w:r>
        <w:t xml:space="preserve"> </w:t>
      </w:r>
      <w:r>
        <w:t xml:space="preserve">in response to the Ukraine conflict show that investment in the defence sector might well benefit the wider economy (stimulating trade, employment, and profits, for example). National defence spending often stimulates short term economic activity and creates similar results for neighbouring countries on the continent. Investments in defence R&amp;D were shown to have an even larger share of a nation’s total general productivity (Furceri et al., 2026).</w:t>
      </w:r>
    </w:p>
    <w:bookmarkEnd w:id="23"/>
    <w:bookmarkEnd w:id="24"/>
    <w:bookmarkStart w:id="30" w:name="literature-review"/>
    <w:p>
      <w:pPr>
        <w:pStyle w:val="Heading1"/>
      </w:pPr>
      <w:r>
        <w:rPr>
          <w:bCs/>
          <w:b/>
        </w:rPr>
        <w:t xml:space="preserve">4. Literature Review</w:t>
      </w:r>
    </w:p>
    <w:p>
      <w:pPr>
        <w:pStyle w:val="FirstParagraph"/>
      </w:pPr>
      <w:r>
        <w:rPr>
          <w:iCs/>
          <w:i/>
        </w:rPr>
        <w:t xml:space="preserve">Microeconomic Transition</w:t>
      </w:r>
    </w:p>
    <w:p>
      <w:pPr>
        <w:pStyle w:val="BodyText"/>
      </w:pPr>
      <w:r>
        <w:t xml:space="preserve">This conflict has resulted in a new transition in which the top defence contractors are reinvigorated, quickly growing their presence and signaling that demand for their land warfare materials will be maintained for the next decade to come, which will require more capacity increases (Freedman, 2023).</w:t>
      </w:r>
    </w:p>
    <w:p>
      <w:pPr>
        <w:pStyle w:val="BodyText"/>
      </w:pPr>
      <w:r>
        <w:t xml:space="preserve">Another subset of contractors, such as Rheinmetall and Saab, are reverting to a different strategy. Previous conflicts resulted in cyclical anomalies akin to temporary</w:t>
      </w:r>
      <w:r>
        <w:t xml:space="preserve"> </w:t>
      </w:r>
      <w:r>
        <w:t xml:space="preserve">“</w:t>
      </w:r>
      <w:r>
        <w:t xml:space="preserve">government handouts.</w:t>
      </w:r>
      <w:r>
        <w:t xml:space="preserve">”</w:t>
      </w:r>
      <w:r>
        <w:t xml:space="preserve"> </w:t>
      </w:r>
      <w:r>
        <w:t xml:space="preserve">Under the new paradigm, these and other companies are changing their core operations to focus on</w:t>
      </w:r>
      <w:r>
        <w:t xml:space="preserve"> </w:t>
      </w:r>
      <w:r>
        <w:t xml:space="preserve">“</w:t>
      </w:r>
      <w:r>
        <w:t xml:space="preserve">dual-use</w:t>
      </w:r>
      <w:r>
        <w:t xml:space="preserve">”</w:t>
      </w:r>
      <w:r>
        <w:t xml:space="preserve"> </w:t>
      </w:r>
      <w:r>
        <w:t xml:space="preserve">technologies to fulfill long-term demand (EhrnborgBörjeson Kennedy et al., 2025). In Ukraine, the battlefield brought about new truths regarding the kind of fighting technologies that are most critical. For example, drones and cyber warfare have influenced contractors to place heavy, permanent investments into new jamming technology (Osimen et al., 2025).</w:t>
      </w:r>
    </w:p>
    <w:bookmarkStart w:id="25" w:name="X87736ac2d849193e26c4dcaf73df16fefa861b2"/>
    <w:p>
      <w:pPr>
        <w:pStyle w:val="Heading2"/>
      </w:pPr>
      <w:r>
        <w:rPr>
          <w:bCs/>
          <w:b/>
        </w:rPr>
        <w:t xml:space="preserve">4.1 Textual Analysis of Corporate Disclosures</w:t>
      </w:r>
    </w:p>
    <w:p>
      <w:pPr>
        <w:pStyle w:val="FirstParagraph"/>
      </w:pPr>
      <w:r>
        <w:t xml:space="preserve">In past research, the texts of corporate reports and disclosures have been traditionally analysed, and finance-specific word lists were applied in this dictionary-based method. Loughran and McDonald (2011) crafted these word inventories (2011) and showed that when applied to financial language, domain-adapted lexicons outperform general sentiment dictionaries. For example, the word</w:t>
      </w:r>
      <w:r>
        <w:t xml:space="preserve"> </w:t>
      </w:r>
      <w:r>
        <w:t xml:space="preserve">“</w:t>
      </w:r>
      <w:r>
        <w:t xml:space="preserve">investment</w:t>
      </w:r>
      <w:r>
        <w:t xml:space="preserve">”</w:t>
      </w:r>
      <w:r>
        <w:t xml:space="preserve"> </w:t>
      </w:r>
      <w:r>
        <w:t xml:space="preserve">may signal either a generational capital commitment or cautious discipline toward costs, but because dictionary methods measure word frequency and cannot capture intent or context, their value owes more to transparency than to precision in capturing a text’s overall message or intent. Nevertheless, the dictionary method is still widely used. More recently, large language models (LLMs) have been applied, as these provide for a more holistic framing while still creating structured outputs compatible with statistical analysis. LLM-based methods have met with concerns regarding replicability and inter-rater reliability, but these are typically addressed by using cross-model validation and agreement statistics such as Cohen’s Kappa (Landis &amp; Koch, 1977). An LLM-based approach, therefore, suits this thesis, as the research question centeres on narrative intent rather than word frequency, and the LLM scoring is validated by independent replication via two models, Claude API key (Anthropic, claude-opus-4-5-model) and Gemini 2.5 API key.</w:t>
      </w:r>
    </w:p>
    <w:bookmarkEnd w:id="25"/>
    <w:bookmarkStart w:id="28" w:name="literature-contradictions"/>
    <w:p>
      <w:pPr>
        <w:pStyle w:val="Heading2"/>
      </w:pPr>
      <w:r>
        <w:rPr>
          <w:bCs/>
          <w:b/>
        </w:rPr>
        <w:t xml:space="preserve">4.2 Literature Contradictions</w:t>
      </w:r>
    </w:p>
    <w:p>
      <w:pPr>
        <w:pStyle w:val="FirstParagraph"/>
      </w:pPr>
      <w:r>
        <w:t xml:space="preserve">While many researchers point to a permanent shift in the defence sector, there are still certain caveats accompanyingoverhanging the conclusions. First, researchers point out a major contradiction which is that the EU wants to be independent;, however, it is still heavily reliant on the United States from a military defence perspective. As European forces hurried to provide critical support to Ukraine, they purchased the vast majority of their new equipment from US companies (Howorth, 2025). If European countries keep shifting funds away from their own defence production, they risk becoming more dependent on the US, which creates a structural barrier to true EU defence integration.</w:t>
      </w:r>
    </w:p>
    <w:p>
      <w:pPr>
        <w:pStyle w:val="BodyText"/>
      </w:pPr>
      <w:r>
        <w:t xml:space="preserve">Second, there is the ongoing worry about war fatigue. Convincing the public of the necessity of utilising more funds on war efforts increases in difficulty as the conflict carries on without a clear end in sight (</w:t>
      </w:r>
      <w:hyperlink r:id="rId26">
        <w:r>
          <w:rPr>
            <w:rStyle w:val="Hyperlink"/>
          </w:rPr>
          <w:t xml:space="preserve">Holesch</w:t>
        </w:r>
      </w:hyperlink>
      <w:r>
        <w:t xml:space="preserve"> </w:t>
      </w:r>
      <w:r>
        <w:t xml:space="preserve">&amp;</w:t>
      </w:r>
      <w:r>
        <w:t xml:space="preserve"> </w:t>
      </w:r>
      <w:hyperlink r:id="rId27">
        <w:r>
          <w:rPr>
            <w:rStyle w:val="Hyperlink"/>
          </w:rPr>
          <w:t xml:space="preserve">Martill</w:t>
        </w:r>
      </w:hyperlink>
      <w:r>
        <w:t xml:space="preserve">, 2026). A very common debate regarding this issue is often called</w:t>
      </w:r>
      <w:r>
        <w:t xml:space="preserve"> </w:t>
      </w:r>
      <w:r>
        <w:t xml:space="preserve">“</w:t>
      </w:r>
      <w:r>
        <w:t xml:space="preserve">guns versus butter</w:t>
      </w:r>
      <w:r>
        <w:t xml:space="preserve">”</w:t>
      </w:r>
      <w:r>
        <w:t xml:space="preserve">: the idea that money spent on military capacity is money not available for civilian welfare (Sacchi et al., 2026). If a nation’s policy makers return to favouring social utility programs, then the defence industry’s new funding could quickly evaporate (Sacchi et al., 2026).</w:t>
      </w:r>
    </w:p>
    <w:p>
      <w:pPr>
        <w:pStyle w:val="BodyText"/>
      </w:pPr>
      <w:r>
        <w:t xml:space="preserve">At the onset of the conflict, the response was definitely accelerated, as European governments scrambled to purchase whatever was readily available and rapidly emptied their existing warehouses. However, this crisis exposed the fatal flaws of a disconnected industrial base. According to the</w:t>
      </w:r>
      <w:r>
        <w:t xml:space="preserve"> </w:t>
      </w:r>
      <w:r>
        <w:t xml:space="preserve">“</w:t>
      </w:r>
      <w:r>
        <w:t xml:space="preserve">failing forward</w:t>
      </w:r>
      <w:r>
        <w:t xml:space="preserve">”</w:t>
      </w:r>
      <w:r>
        <w:t xml:space="preserve"> </w:t>
      </w:r>
      <w:r>
        <w:t xml:space="preserve">theory of European integration, this exact type of crisis is what forces EU leaders to create strong, permanent rules and programs to unify defence efforts (Lane, 2024).</w:t>
      </w:r>
    </w:p>
    <w:p>
      <w:pPr>
        <w:pStyle w:val="BodyText"/>
      </w:pPr>
      <w:r>
        <w:t xml:space="preserve">At the same time, the business side of defence has entirelycompletely changed. As the old perceptions regarding spending on weaponry begin to shift, we start to see a large influx of capital into the industry, admitting in the process its crucial nature from a socioeconomic lens (Shevchuk &amp; Luchka, 2024). The excessive reliance on US technology and the risk that the public will refuse to sacrifice their social services to pay for rearmament remain as key challenges. Nonetheless, the research overwhelmingly agrees that the European defence industry has crossed a point of no return. It has moved from a quiet, scattered peacetime operation to a well-funded, united force ready for long-term global security (Genini, 2025; Howorth, 2025; Ivančík, 2025).</w:t>
      </w:r>
    </w:p>
    <w:bookmarkEnd w:id="28"/>
    <w:bookmarkStart w:id="29" w:name="X52e30d9e1fb247ed070fc9f98f5e230a35278f1"/>
    <w:p>
      <w:pPr>
        <w:pStyle w:val="Heading2"/>
      </w:pPr>
      <w:r>
        <w:rPr>
          <w:bCs/>
          <w:b/>
        </w:rPr>
        <w:t xml:space="preserve">4.3 Current Literature Gaps and Our Contributions</w:t>
      </w:r>
    </w:p>
    <w:p>
      <w:pPr>
        <w:pStyle w:val="FirstParagraph"/>
      </w:pPr>
      <w:r>
        <w:t xml:space="preserve">An abundance of literature exists about the conflict’s effects on European nations and the reactionary strategies that followed, but as yet no comprehensive analysis jointly examines the communications and financial data of the defence contractors themselves. This thesis scrutinises management teams’ semantic narratives in conjunction along with their companies’ key financial metrics in order to broaden understanding of shifts in European industry goals.</w:t>
      </w:r>
    </w:p>
    <w:bookmarkEnd w:id="29"/>
    <w:bookmarkEnd w:id="30"/>
    <w:bookmarkStart w:id="34" w:name="theoretical-framework"/>
    <w:p>
      <w:pPr>
        <w:pStyle w:val="Heading1"/>
      </w:pPr>
      <w:r>
        <w:rPr>
          <w:bCs/>
          <w:b/>
        </w:rPr>
        <w:t xml:space="preserve">5. Theoretical Framework</w:t>
      </w:r>
    </w:p>
    <w:p>
      <w:pPr>
        <w:pStyle w:val="FirstParagraph"/>
      </w:pPr>
      <w:r>
        <w:t xml:space="preserve">In order to determine whether Russia’s invasion of Ukraine did indeed force a structural shift or a cyclical one, a strong theoretical model must be applied. From 2018-2025, the dynamics in Europe and among defence companies changed. Now, a complex environment of ethical questions, changing budgets, and shifting global political priorities has emerged. To analyse this evolution, the thesis applies three key theoretical frameworks: structural break theory, signalling theory, and framing theory.</w:t>
      </w:r>
    </w:p>
    <w:p>
      <w:pPr>
        <w:pStyle w:val="BodyText"/>
      </w:pPr>
      <w:r>
        <w:t xml:space="preserve">As applied to the original research question, structural break theory (Chow, 1960) distinguishes the difference between a short-term bump and a permanent shift in the defence sector. Signalling theory reflects how the defence contractors articulate long-term plans through their communications and earnings during volatile economic conditions. Finally, framing theory breaks down the companies’ changing public narrative to anticipate or promote long-term economic changes. This can be accomplished via an analysis of word-choice and tone in the annual reports. Together, these three theories merge to give a clear understanding of how the European defence industry has evolved in the EU era, and more to the point, in the years leading up to and then after 2022.</w:t>
      </w:r>
    </w:p>
    <w:bookmarkStart w:id="31" w:name="structural-break-analysis"/>
    <w:p>
      <w:pPr>
        <w:pStyle w:val="Heading2"/>
      </w:pPr>
      <w:r>
        <w:rPr>
          <w:bCs/>
          <w:b/>
        </w:rPr>
        <w:t xml:space="preserve">5.1 Structural Break Analysis</w:t>
      </w:r>
    </w:p>
    <w:p>
      <w:pPr>
        <w:pStyle w:val="FirstParagraph"/>
      </w:pPr>
      <w:r>
        <w:t xml:space="preserve">In determining whether the current state of the defence sector in Europe resulted from a cyclical shift or a structural break, one must elaborate on each. Cyclical shifts occur fairly often in many sectors as they are a responsed to unexpected but clearly temporary influences–labor strikes, earthquakes, floods, etc. These are unavoidable shocks such as, for example, labour strikes, earthquakes, or floods, that and nations cannot immediately prevent or preemptively mitigatenegotiate or write policy to avert them. The return to normalcy is implied, even though a decisive response to the crisis may create significant economic shifts. A structural break, by contrast, indicates that the basic rules and long-term trends have permanently changed (Wongsosaputro et al., 2011). No anticipation of a return to the</w:t>
      </w:r>
      <w:r>
        <w:t xml:space="preserve"> </w:t>
      </w:r>
      <w:r>
        <w:rPr>
          <w:iCs/>
          <w:i/>
        </w:rPr>
        <w:t xml:space="preserve">status quo</w:t>
      </w:r>
      <w:r>
        <w:t xml:space="preserve"> </w:t>
      </w:r>
      <w:r>
        <w:t xml:space="preserve">is implied by a structural break, and a</w:t>
      </w:r>
      <w:r>
        <w:t xml:space="preserve"> </w:t>
      </w:r>
      <w:r>
        <w:t xml:space="preserve">“</w:t>
      </w:r>
      <w:r>
        <w:t xml:space="preserve">new normal</w:t>
      </w:r>
      <w:r>
        <w:t xml:space="preserve">”</w:t>
      </w:r>
      <w:r>
        <w:t xml:space="preserve"> </w:t>
      </w:r>
      <w:r>
        <w:t xml:space="preserve">emerges as a result of the break.</w:t>
      </w:r>
    </w:p>
    <w:p>
      <w:pPr>
        <w:pStyle w:val="BodyText"/>
      </w:pPr>
      <w:r>
        <w:t xml:space="preserve">The Chow test, originally designed by Gregory Chow in 1960, allowed economists to test these breaks by seeing if future outcomes are predictable when measured in time frames before and after a specific date, and thus can be applied in this thesis. In a slightly larger context, European defence spending since the 1970s has tended to drop or stay flat (the aforementioned</w:t>
      </w:r>
      <w:r>
        <w:t xml:space="preserve"> </w:t>
      </w:r>
      <w:r>
        <w:t xml:space="preserve">“</w:t>
      </w:r>
      <w:r>
        <w:t xml:space="preserve">peace dividend</w:t>
      </w:r>
      <w:r>
        <w:t xml:space="preserve">”</w:t>
      </w:r>
      <w:r>
        <w:t xml:space="preserve">), but as defence spending ramps up now, we can measure pre- and post-invasion trends using the Chow test. Measuring the earnings and other metrics of the largest European defence companies over the eight-year period 2018-2025 should provide clear evidence of a structural break.</w:t>
      </w:r>
    </w:p>
    <w:p>
      <w:pPr>
        <w:pStyle w:val="BodyText"/>
      </w:pPr>
      <w:r>
        <w:t xml:space="preserve">Distinguishing temporary shocks from permanent regime changes is, of course, necessary here, and the econometric literature concerning structural break theory was developed by Chow (1960). This tests the significance of relative regression parameters that occur beforeprior to and after a specific transition point, but this test’s primary drawback comes from limited sample size. Work aiming to identify breaks typically addresses the complement of per-unit tests with pooled specifications, panel-fixed effects models that absorb time-invariant heterogeneity, and heteroskedasticity-robust standard errors. The difference-in-differences estimation, applied only to narrative text in this thesis, complements this and identifies causal effects of shocks that impact both treated and control groups. The methods noted above address distinct questions, and current applied work usually combines them to triangulate findings. These traditions are combined across both halves of the analysis in this thesis: financial metrics are evaluated via Welch comparisons, pooled and per-company Chow tests, and panel-fixed regressions. The evaluation of the LLM-generated narrative scores is, however, carried out by using a difference-in-differences template; in this case, commercial aerospace firms serve as a control group in the larger realm of defence-primary firms. Evidence that converges between methods is applied to both narrative and financial outcomes, and this should compensate for any single text’s specific limitations.</w:t>
      </w:r>
    </w:p>
    <w:bookmarkEnd w:id="31"/>
    <w:bookmarkStart w:id="32" w:name="signalling-theory"/>
    <w:p>
      <w:pPr>
        <w:pStyle w:val="Heading2"/>
      </w:pPr>
      <w:r>
        <w:rPr>
          <w:bCs/>
          <w:b/>
        </w:rPr>
        <w:t xml:space="preserve">5.2 Signalling Theory</w:t>
      </w:r>
    </w:p>
    <w:p>
      <w:pPr>
        <w:pStyle w:val="FirstParagraph"/>
      </w:pPr>
      <w:r>
        <w:t xml:space="preserve">Michael Spence (1973) articulated the principles of signalling theory in 1973, which is based on understanding that people will discreetly share information that is hidden or that cannot be publicly disclosed. Politicians and business leaders are privy to such information, which might involve commitments to long-term plans or a large shift in investment or policy priorities, but because these visions or plans cannot be fully disclosed or articulated, the leaders must send</w:t>
      </w:r>
      <w:r>
        <w:t xml:space="preserve"> </w:t>
      </w:r>
      <w:r>
        <w:t xml:space="preserve">“</w:t>
      </w:r>
      <w:r>
        <w:t xml:space="preserve">signals</w:t>
      </w:r>
      <w:r>
        <w:t xml:space="preserve">”</w:t>
      </w:r>
      <w:r>
        <w:t xml:space="preserve"> </w:t>
      </w:r>
      <w:r>
        <w:t xml:space="preserve">to establish credibility and prove their</w:t>
      </w:r>
      <w:r>
        <w:t xml:space="preserve"> </w:t>
      </w:r>
      <w:r>
        <w:t xml:space="preserve">“</w:t>
      </w:r>
      <w:r>
        <w:t xml:space="preserve">seriousness</w:t>
      </w:r>
      <w:r>
        <w:t xml:space="preserve">”</w:t>
      </w:r>
      <w:r>
        <w:t xml:space="preserve"> </w:t>
      </w:r>
      <w:r>
        <w:t xml:space="preserve">to the market (BliegeBird et al., 2005). A key rule here is that a signal must be</w:t>
      </w:r>
      <w:r>
        <w:t xml:space="preserve"> </w:t>
      </w:r>
      <w:r>
        <w:t xml:space="preserve">“</w:t>
      </w:r>
      <w:r>
        <w:t xml:space="preserve">costly</w:t>
      </w:r>
      <w:r>
        <w:t xml:space="preserve">”</w:t>
      </w:r>
      <w:r>
        <w:t xml:space="preserve"> </w:t>
      </w:r>
      <w:r>
        <w:t xml:space="preserve">to be believable. If a promise is cheap or easy to make, anyone can do it, so no one will trust it. Economists often look at what a group gives up (opportunity costs) to test that their signal of integrity or trustworthiness is received (Hover et al., 2025). For example, the book-to-bill ratio shows how many new orders companies are receiving relative to revenue recognised in the same period. This is a clear signal of a real shift in demand, not only political but, perhaps more importantly, monetary. If the ratio is greater than 1, this indicates that the corporation is growing, and if less than 1, then it is shrinking.</w:t>
      </w:r>
    </w:p>
    <w:p>
      <w:pPr>
        <w:pStyle w:val="BodyText"/>
      </w:pPr>
      <w:r>
        <w:t xml:space="preserve">Germany’s</w:t>
      </w:r>
      <w:r>
        <w:t xml:space="preserve"> </w:t>
      </w:r>
      <w:r>
        <w:rPr>
          <w:iCs/>
          <w:i/>
        </w:rPr>
        <w:t xml:space="preserve">Zeitenwende</w:t>
      </w:r>
      <w:r>
        <w:t xml:space="preserve"> </w:t>
      </w:r>
      <w:r>
        <w:t xml:space="preserve">(</w:t>
      </w:r>
      <w:r>
        <w:t xml:space="preserve">“</w:t>
      </w:r>
      <w:r>
        <w:t xml:space="preserve">watershed moment</w:t>
      </w:r>
      <w:r>
        <w:t xml:space="preserve">”</w:t>
      </w:r>
      <w:r>
        <w:t xml:space="preserve">) was established in February of 2022 and earmarked 100 billion euros to be disbursed in binding, long-term contracts just for its military.</w:t>
      </w:r>
      <w:r>
        <w:t xml:space="preserve"> </w:t>
      </w:r>
      <w:r>
        <w:rPr>
          <w:iCs/>
          <w:i/>
        </w:rPr>
        <w:t xml:space="preserve">Zeitenwende 2.0</w:t>
      </w:r>
      <w:r>
        <w:t xml:space="preserve"> </w:t>
      </w:r>
      <w:r>
        <w:t xml:space="preserve">(500 billion euros over the next 12 years) extends this commitment further (KRPATA, 2025). Defence contractors read these commitments as a credible signal, and the German push for a more robust defence stimulated a considerable increase in corporate spending on new facilities, factories, and production lines (Zandee et al., 2024). This illustration of signalling theory then piggybacks into other spheres as well. Defence companies send their own signals to financial markets, which can then plan for expansion in banking, loans, and broader financial activity.</w:t>
      </w:r>
    </w:p>
    <w:bookmarkEnd w:id="32"/>
    <w:bookmarkStart w:id="33" w:name="framing-theory"/>
    <w:p>
      <w:pPr>
        <w:pStyle w:val="Heading2"/>
      </w:pPr>
      <w:r>
        <w:rPr>
          <w:bCs/>
          <w:b/>
        </w:rPr>
        <w:t xml:space="preserve">5.3 Framing Theory</w:t>
      </w:r>
    </w:p>
    <w:p>
      <w:pPr>
        <w:pStyle w:val="FirstParagraph"/>
      </w:pPr>
      <w:r>
        <w:t xml:space="preserve">Framing theory is a sociological practice that examines how the presentation of information (sometimes called messaging) influences public perception and drives ensuing opinions and behaviours (Entman, 1993). Framing does not fabricate facts but rather emphasises unique aspects of a complex scenario in order to elicit reactions from people, institutions, and even investors. An example of this might be when a doctor, articulating the risk of surgery, says the procedure has an 85% success rate. This frame is clearly more attractive and likely to motivate patients toward surgery than saying that the procedure has a 15% mortality rate. The facts are the same, but the frame is quite different. When we apply this similar logic to the European defence industry, framing theory provides a clear explanation of how the sector’s public and financial position has changed.</w:t>
      </w:r>
    </w:p>
    <w:p>
      <w:pPr>
        <w:pStyle w:val="BodyText"/>
      </w:pPr>
      <w:r>
        <w:t xml:space="preserve">The abrupt and emphatic change in popular, governmental, and financial worlds forced a rapid reevaluation of existential security and economic stability. The EU and national governments were now compelled to reframe their worlds and words in terms of survival and resilience, moving from budgetary stewardship to intentional efforts to repel or at least deter existential threats and an overt assault on democratic values (Fiott, 2018). The time to squabble about, for instance, how the Greeks handle debt is gone because reality has spawned an understanding that the defence sector is actually a pillar of long-term social and economic stability.</w:t>
      </w:r>
    </w:p>
    <w:bookmarkEnd w:id="33"/>
    <w:bookmarkEnd w:id="34"/>
    <w:bookmarkStart w:id="35" w:name="data"/>
    <w:p>
      <w:pPr>
        <w:pStyle w:val="Heading1"/>
      </w:pPr>
      <w:r>
        <w:rPr>
          <w:bCs/>
          <w:b/>
        </w:rPr>
        <w:t xml:space="preserve">6. Data</w:t>
      </w:r>
    </w:p>
    <w:p>
      <w:pPr>
        <w:pStyle w:val="FirstParagraph"/>
      </w:pPr>
      <w:r>
        <w:t xml:space="preserve">The primary data source consists of annual reports and earnings presentation materials published by ten European defence companies over the period 2018–2025. These are Airbus, Thales, Leonardo, Dassault Aviation, Indra, Rolls-Royce Holdings, BAE Systems, Rheinmetall, Safran, and Saab. For each company, eight reports were collected, four from the pre-invasion period (2018, 2019, 2020, and 2021) and four from the post-invasion period (2022, 2023, 2024, and either 2025 full-year results or the most recent available report). In total, 79 reports were included in the semantic analysis, as Indra’s 2025 report was too short to be meaningfully incorporated. However, this report was retained and used in the financial analysis. Rheinmetall had only published results for the first three quarters of 2025 at the time of writing. To avoid mixing partial-year data with full-year figures from other companies, Rheinmetall’s 2025 data was excluded. All other companies have complete data for every year from 2018 to 2025.</w:t>
      </w:r>
    </w:p>
    <w:p>
      <w:pPr>
        <w:pStyle w:val="BodyText"/>
      </w:pPr>
      <w:r>
        <w:t xml:space="preserve">The reports from which the analyses were derived were published on the companies’ own websites, and while the reports differed in length, they essentially contain similar information. Some were fully narrative, and others provided graphic support. The code constructed for this study instructed the AI to focus on the first and final parts as well as sections in which management most clearly articulates its intent, including CEO letters, strategic overviews, outlook statements, and summaries of financial discussions. The same reports were used to drive the quantitative analysis, and a corpus was made using the relevant metrics for each company.</w:t>
      </w:r>
    </w:p>
    <w:bookmarkEnd w:id="35"/>
    <w:bookmarkStart w:id="45" w:name="mixed-methods"/>
    <w:p>
      <w:pPr>
        <w:pStyle w:val="Heading1"/>
      </w:pPr>
      <w:r>
        <w:rPr>
          <w:bCs/>
          <w:b/>
        </w:rPr>
        <w:t xml:space="preserve">7. Mixed Methods</w:t>
      </w:r>
    </w:p>
    <w:bookmarkStart w:id="41" w:name="semantic-analysis"/>
    <w:p>
      <w:pPr>
        <w:pStyle w:val="Heading2"/>
      </w:pPr>
      <w:r>
        <w:rPr>
          <w:bCs/>
          <w:b/>
        </w:rPr>
        <w:t xml:space="preserve">7.1 Semantic Analysis</w:t>
      </w:r>
    </w:p>
    <w:bookmarkStart w:id="36" w:name="methodology"/>
    <w:p>
      <w:pPr>
        <w:pStyle w:val="Heading3"/>
      </w:pPr>
      <w:r>
        <w:rPr>
          <w:iCs/>
          <w:i/>
          <w:bCs/>
          <w:b/>
        </w:rPr>
        <w:t xml:space="preserve">7.1.1 Methodology</w:t>
      </w:r>
    </w:p>
    <w:p>
      <w:pPr>
        <w:pStyle w:val="FirstParagraph"/>
      </w:pPr>
      <w:r>
        <w:t xml:space="preserve">Semantic analysis should aim to identify</w:t>
      </w:r>
      <w:r>
        <w:t xml:space="preserve"> </w:t>
      </w:r>
      <w:r>
        <w:rPr>
          <w:iCs/>
          <w:i/>
        </w:rPr>
        <w:t xml:space="preserve">meaning</w:t>
      </w:r>
      <w:r>
        <w:t xml:space="preserve"> </w:t>
      </w:r>
      <w:r>
        <w:t xml:space="preserve">rather than count words. AI tools can readily measure word frequency, but in this study the prompts ask the model to read each report as a financial analyst would, applying the vocabulary and reporting conventions specific to the defence sector. The prompts then ask the model to score tone, framing, and commitment levels as expressed through word choice and the language of strategic stance.</w:t>
      </w:r>
    </w:p>
    <w:p>
      <w:pPr>
        <w:pStyle w:val="BodyText"/>
      </w:pPr>
      <w:r>
        <w:t xml:space="preserve">A qualitative-quantitative hybrid emerged from this method to produce structured assessments. The goal was to tailor statistical comparisons that are derived from textual comprehension of management language to offer a more complete understanding than a basic quantification of word frequency.</w:t>
      </w:r>
    </w:p>
    <w:bookmarkEnd w:id="36"/>
    <w:bookmarkStart w:id="37" w:name="large-language-model-framework"/>
    <w:p>
      <w:pPr>
        <w:pStyle w:val="Heading3"/>
      </w:pPr>
      <w:r>
        <w:rPr>
          <w:iCs/>
          <w:i/>
          <w:bCs/>
          <w:b/>
        </w:rPr>
        <w:t xml:space="preserve">7.1.2 Large Language Model Framework</w:t>
      </w:r>
    </w:p>
    <w:p>
      <w:pPr>
        <w:pStyle w:val="FirstParagraph"/>
      </w:pPr>
      <w:r>
        <w:t xml:space="preserve">The report excerpts were extracted via a code programme using a Claude key (Anthropic, claude-opus-4-5-model) that used a prompt carefully designed to frame the central research question and to assess the reports’ narratives across multiple dimensions. It was given clear examples and definitions of what constitutes structural language in contrast to cyclical language. The full prompts are included in Appendix C.</w:t>
      </w:r>
    </w:p>
    <w:p>
      <w:pPr>
        <w:pStyle w:val="BodyText"/>
      </w:pPr>
      <w:r>
        <w:t xml:space="preserve">For each report within the analysis, the AI model provided a structured assessment, including the following fields:</w:t>
      </w:r>
    </w:p>
    <w:p>
      <w:pPr>
        <w:numPr>
          <w:ilvl w:val="0"/>
          <w:numId w:val="1001"/>
        </w:numPr>
        <w:pStyle w:val="Compact"/>
      </w:pPr>
      <w:r>
        <w:t xml:space="preserve">Structural vs Cyclical Score (1–10): A numerical score, where 1 represents purely cyclical language, such as temporary responses to an external event with a future expectation of normalisation.; A score ofand 10, which represents purely structural language, such as permanent strategic repositioning, multi-year demand assumptions, and fundamental changes to capital allocation.</w:t>
      </w:r>
    </w:p>
    <w:p>
      <w:pPr>
        <w:numPr>
          <w:ilvl w:val="0"/>
          <w:numId w:val="1001"/>
        </w:numPr>
        <w:pStyle w:val="Compact"/>
      </w:pPr>
      <w:r>
        <w:t xml:space="preserve">Structural / Cyclical / Mixed Label: based on the overall analysis of the narrative.</w:t>
      </w:r>
    </w:p>
    <w:p>
      <w:pPr>
        <w:numPr>
          <w:ilvl w:val="0"/>
          <w:numId w:val="1001"/>
        </w:numPr>
        <w:pStyle w:val="Compact"/>
      </w:pPr>
      <w:r>
        <w:t xml:space="preserve">Narrative Tone: one of five categories: Business-As-Usual, Cautious, Optimistic, Urgent, or Transformational.</w:t>
      </w:r>
    </w:p>
    <w:p>
      <w:pPr>
        <w:numPr>
          <w:ilvl w:val="0"/>
          <w:numId w:val="1001"/>
        </w:numPr>
        <w:pStyle w:val="Compact"/>
      </w:pPr>
      <w:r>
        <w:t xml:space="preserve">Investment Commitment: a four-level assessment of how the report discusses capital spending, numbered 1-4 from Low to Very High.</w:t>
      </w:r>
    </w:p>
    <w:p>
      <w:pPr>
        <w:numPr>
          <w:ilvl w:val="0"/>
          <w:numId w:val="1001"/>
        </w:numPr>
        <w:pStyle w:val="Compact"/>
      </w:pPr>
      <w:r>
        <w:t xml:space="preserve">Key Structural Quote: A statement within the report that most clearly commits to long-term structural change, if applicable.</w:t>
      </w:r>
    </w:p>
    <w:p>
      <w:pPr>
        <w:numPr>
          <w:ilvl w:val="0"/>
          <w:numId w:val="1001"/>
        </w:numPr>
        <w:pStyle w:val="Compact"/>
      </w:pPr>
      <w:r>
        <w:t xml:space="preserve">Key Cyclical Quote: A statement within the report that most clearly frames the situation as temporary or hedged, if applicable.</w:t>
      </w:r>
    </w:p>
    <w:p>
      <w:pPr>
        <w:numPr>
          <w:ilvl w:val="0"/>
          <w:numId w:val="1001"/>
        </w:numPr>
        <w:pStyle w:val="Compact"/>
      </w:pPr>
      <w:r>
        <w:t xml:space="preserve">Narrative Summary: A three-sentence assessment of the overall management</w:t>
      </w:r>
      <w:r>
        <w:t xml:space="preserve"> </w:t>
      </w:r>
      <w:r>
        <w:t xml:space="preserve">“</w:t>
      </w:r>
      <w:r>
        <w:t xml:space="preserve">story.</w:t>
      </w:r>
      <w:r>
        <w:t xml:space="preserve">”</w:t>
      </w:r>
    </w:p>
    <w:p>
      <w:pPr>
        <w:numPr>
          <w:ilvl w:val="0"/>
          <w:numId w:val="1001"/>
        </w:numPr>
        <w:pStyle w:val="Compact"/>
      </w:pPr>
      <w:r>
        <w:t xml:space="preserve">Russia/Ukraine Framing: A one-sentence description of how, if at all, this geopolitical situation is being framed to justify strategic decisions.</w:t>
      </w:r>
    </w:p>
    <w:p>
      <w:pPr>
        <w:pStyle w:val="FirstParagraph"/>
      </w:pPr>
      <w:r>
        <w:t xml:space="preserve">The LLM framework was applied across all 79 reports uniformly, and all models were cached locally to allow the analysis to resume in the event of interruption. In cases where the model initially failed, up to three retry attempts took place to optimise the results.</w:t>
      </w:r>
    </w:p>
    <w:bookmarkEnd w:id="37"/>
    <w:bookmarkStart w:id="38" w:name="results"/>
    <w:p>
      <w:pPr>
        <w:pStyle w:val="Heading3"/>
      </w:pPr>
      <w:r>
        <w:rPr>
          <w:iCs/>
          <w:i/>
          <w:bCs/>
          <w:b/>
        </w:rPr>
        <w:t xml:space="preserve">7.1.3 Results</w:t>
      </w:r>
    </w:p>
    <w:p>
      <w:pPr>
        <w:pStyle w:val="FirstParagraph"/>
      </w:pPr>
      <w:r>
        <w:t xml:space="preserve">The consistency and degree of management language shifts from the pre-invasion through the post-invasion periods were evident in the findings of the analysis. Across 10 companies and 79 reports, the structural score mean rose from 4.7 to 7.1 on a scale of 10, an increase of 2.4 points or approximately 51 percent.</w:t>
      </w:r>
    </w:p>
    <w:p>
      <w:pPr>
        <w:pStyle w:val="BodyText"/>
      </w:pPr>
      <w:r>
        <w:t xml:space="preserve">In the larger context of the analysis, a score of 4.7 stands just below a neutral midpoint of 5, which suggests that the pre-invasion language was generally more consistent with a cyclical, business-as-usual orientation than with a structural transformation. The 7.1 post-invasion mark, however, lies well above the midpoint and fits firmly in structural shift territory. This signals a fundamental change in the tone and tenor of management communication.</w:t>
      </w:r>
    </w:p>
    <w:p>
      <w:pPr>
        <w:pStyle w:val="BodyText"/>
      </w:pPr>
      <w:r>
        <w:rPr>
          <w:bCs/>
          <w:b/>
        </w:rPr>
        <w:t xml:space="preserve">Evolution of Structural Language Score Across All Companies (2018-2025) Based on narrative analysis of each earnings report</w:t>
      </w:r>
    </w:p>
    <w:p>
      <w:pPr>
        <w:pStyle w:val="BodyText"/>
      </w:pPr>
      <w:r>
        <w:rPr>
          <w:iCs/>
          <w:i/>
        </w:rPr>
        <w:t xml:space="preserve">Evolution of mean structural language score across all companies, 2018–2025. The dashed vertical line marks the February 2022 invasion. Error bands show ±1 standard error.</w:t>
      </w:r>
    </w:p>
    <w:p>
      <w:pPr>
        <w:pStyle w:val="BodyText"/>
      </w:pPr>
      <w:r>
        <w:t xml:space="preserve">The figure illustrates the year-by-year trajectory of this structural score. The pre-invasion period indicates a modest downward trend from 2018 to 2021, reflecting the effect of the COVID-19 pandemic in 2020 and 2021, which pushed the tone and register of companies’ language toward a more cautious, business-continuity articulation. This changed between 2021 and 2022, where a sharp and immediate jump is noticeable. The mean score jumps from 4.4 in 2021 to 6.2 in 2022. This represents the largest single-year movement in the dataset. This jump is followed by a continuous upward trend, reaching 8.1 by 2025. The post-2022 ongoing acceleration is compelling evidence vis-a-vis the structural versus cyclical question. If the shift were cyclical, one might expect scores to plateau or even decline once the initial shock of the invasion had passed. Instead, scores continued rising, which is consistent with companies deepening their structural commitments over time.</w:t>
      </w:r>
    </w:p>
    <w:p>
      <w:pPr>
        <w:pStyle w:val="BodyText"/>
      </w:pPr>
      <w:r>
        <w:t xml:space="preserve">Categorical distributions of narrative tone and structural labels across the two periods reinforce and validate the results of the structural scores.</w:t>
      </w:r>
    </w:p>
    <w:p>
      <w:pPr>
        <w:pStyle w:val="BodyText"/>
      </w:pPr>
      <w:r>
        <w:rPr>
          <w:bCs/>
          <w:b/>
        </w:rPr>
        <w:t xml:space="preserve">Narrative Tone of Earnings Reports: pre vs. post Invasion classified by narrative analysis of management language</w:t>
      </w:r>
    </w:p>
    <w:p>
      <w:pPr>
        <w:pStyle w:val="BodyText"/>
      </w:pPr>
      <w:r>
        <w:rPr>
          <w:iCs/>
          <w:i/>
        </w:rPr>
        <w:t xml:space="preserve">Distribution of narrative tone classifications across pre-invasion and post-invasion reports.</w:t>
      </w:r>
    </w:p>
    <w:p>
      <w:pPr>
        <w:pStyle w:val="BodyText"/>
      </w:pPr>
      <w:r>
        <w:t xml:space="preserve">In the narrative analysis above, pre-invasion results show a dominant frequency of business-as-usual language (22 of 40 reports), while in the same period, transformational language was almost nonexistent (1 report). The post-invasion data becomes almost a mirror-image of the pre-invasion period, and transformational language clearly reflects drastic change. Taken in its entirety, the companies’ language demeanour can only be seen as a definitive shift from business-as-usual to transformational (23 out of 39 reports). A drop from 22 to 4 in business-as-usual is remarkable between the periods, but the moderate-to-strongly</w:t>
      </w:r>
      <w:r>
        <w:t xml:space="preserve"> </w:t>
      </w:r>
      <w:r>
        <w:t xml:space="preserve">“</w:t>
      </w:r>
      <w:r>
        <w:t xml:space="preserve">bullish</w:t>
      </w:r>
      <w:r>
        <w:t xml:space="preserve">”</w:t>
      </w:r>
      <w:r>
        <w:t xml:space="preserve"> </w:t>
      </w:r>
      <w:r>
        <w:t xml:space="preserve">language (optimistic, urgent, and transformational) also indicates a shift toward transformational, moving from 30% pre-war to 92% in the four ensuing years.</w:t>
      </w:r>
    </w:p>
    <w:p>
      <w:pPr>
        <w:pStyle w:val="BodyText"/>
      </w:pPr>
      <w:r>
        <w:rPr>
          <w:bCs/>
          <w:b/>
        </w:rPr>
        <w:t xml:space="preserve">Report Classification: Structural/Mixed/Cyclical Pre-Invasion vs. Post-Invasion</w:t>
      </w:r>
    </w:p>
    <w:p>
      <w:pPr>
        <w:pStyle w:val="BodyText"/>
      </w:pPr>
      <w:r>
        <w:rPr>
          <w:iCs/>
          <w:i/>
        </w:rPr>
        <w:t xml:space="preserve">Report classification as Structural, Mixed, or Cyclical, pre-invasion versus post-invasion</w:t>
      </w:r>
    </w:p>
    <w:p>
      <w:pPr>
        <w:pStyle w:val="BodyText"/>
      </w:pPr>
      <w:r>
        <w:t xml:space="preserve">The table above confirms the results from a different perspective. In the pre-invasion period, 27 reports were classified as mixed and 11 as cyclical, with only 2 classified as structural. Similar to the narrative tone, in the post-invasion period, categorical proportions invert: 29 reports are classified as structural, 7 as mixed, and 3 as cyclical. Notably, the three post-invasion cyclical reports all come from the same company, Safran, which will be discussed below.</w:t>
      </w:r>
    </w:p>
    <w:p>
      <w:pPr>
        <w:pStyle w:val="BodyText"/>
      </w:pPr>
      <w:r>
        <w:t xml:space="preserve">Of course, when aggregating evidence from multiple reports, some variations in data will occur, and these are statistically significant but do not diminish the clear general trend. The line of best fit in a scatterplot is not intended to explain the outlying data points. Across the ten companies in this study, the structural shift was not uniform, as some revealed striking transformation in strategic language while others had more modest changes. Airbus and Safran, for instance, had a relatively small shift in language, but this may be more indicative of which companies among the ten were most affected by the invasion. There are also unknowns within companies–editorial and/or style guidelines for publications–that cannot be known from a series of annual reports, although an AI analysis might certainly infer these.</w:t>
      </w:r>
    </w:p>
    <w:p>
      <w:pPr>
        <w:pStyle w:val="BodyText"/>
      </w:pPr>
      <w:r>
        <w:rPr>
          <w:bCs/>
          <w:b/>
        </w:rPr>
        <w:t xml:space="preserve">Structural vs. Cyclical Language Score per Company Assessed by Narrative Analysis of Earnings Reports (not word counts)</w:t>
      </w:r>
    </w:p>
    <w:p>
      <w:pPr>
        <w:pStyle w:val="BodyText"/>
      </w:pPr>
      <w:r>
        <w:rPr>
          <w:iCs/>
          <w:i/>
        </w:rPr>
        <w:t xml:space="preserve">Mean structural score by company, pre-invasion versus post-invasion. The dashed line marks the neutral midpoint.</w:t>
      </w:r>
    </w:p>
    <w:p>
      <w:pPr>
        <w:pStyle w:val="BodyText"/>
      </w:pPr>
      <w:r>
        <w:t xml:space="preserve">The mean structural scores show that Rheinmetall, Saab, BAE Systems, and Leonardo moved dramatically from the pre- to post-invasion periods, clearly in structural territory. Notably, Rheinmetall went from 4.75 to 8.5 over the two periods. In its post-invasion reports, Rheinmetall compares the scenario to a generational inflection point comparable to that of Germany’s reunification. Accordingly, Rheinmetall’s intent mentions permanent workforce expansion, supply chain integration, and production planning predicated on a decades-long projection.</w:t>
      </w:r>
    </w:p>
    <w:p>
      <w:pPr>
        <w:pStyle w:val="BodyText"/>
      </w:pPr>
      <w:r>
        <w:t xml:space="preserve">Saab’s company history offers a natural, ready-made framing device. Its 1937 origin comes from the deteriorating security landscape in Europe in the mid-1930s, and Saab actually compares the current context with its founding purpose. Saab’s post-invasion reports have language regarding a</w:t>
      </w:r>
      <w:r>
        <w:t xml:space="preserve"> </w:t>
      </w:r>
      <w:r>
        <w:t xml:space="preserve">“</w:t>
      </w:r>
      <w:r>
        <w:t xml:space="preserve">fundamental transformation driven by structural European defence demand</w:t>
      </w:r>
      <w:r>
        <w:t xml:space="preserve">”</w:t>
      </w:r>
      <w:r>
        <w:t xml:space="preserve"> </w:t>
      </w:r>
      <w:r>
        <w:t xml:space="preserve">and</w:t>
      </w:r>
      <w:r>
        <w:t xml:space="preserve"> </w:t>
      </w:r>
      <w:r>
        <w:t xml:space="preserve">“</w:t>
      </w:r>
      <w:r>
        <w:t xml:space="preserve">innovating for resilience.</w:t>
      </w:r>
      <w:r>
        <w:t xml:space="preserve">”</w:t>
      </w:r>
      <w:r>
        <w:t xml:space="preserve"> </w:t>
      </w:r>
      <w:r>
        <w:t xml:space="preserve">Saab’s reporting does not even hint at a return to demand normalisation.</w:t>
      </w:r>
    </w:p>
    <w:p>
      <w:pPr>
        <w:pStyle w:val="BodyText"/>
      </w:pPr>
      <w:r>
        <w:t xml:space="preserve">BAE Systems is noteworthy in that it had a relatively high pre-invasion score of 5.75, which reflects its role as a pure-play defence firm with enduring visibility. Still, after 2022, BAE Systems articulated explicitly a</w:t>
      </w:r>
      <w:r>
        <w:t xml:space="preserve"> </w:t>
      </w:r>
      <w:r>
        <w:t xml:space="preserve">“</w:t>
      </w:r>
      <w:r>
        <w:t xml:space="preserve">value compounding model</w:t>
      </w:r>
      <w:r>
        <w:t xml:space="preserve">”</w:t>
      </w:r>
      <w:r>
        <w:t xml:space="preserve"> </w:t>
      </w:r>
      <w:r>
        <w:t xml:space="preserve">in its 2023 and 2024 reports, and this was derived from a record order backlog of £78–84 billion, extended investment in next-generation platforms including GCAP and SSN-AUKUS, and a workforce expansion of over 6,700 employees in a single year. BAE Systems also frames elevated defence spending as a new and permanent baseline and does not suggest the possibility of a return to normalised operations or company trajectory.</w:t>
      </w:r>
    </w:p>
    <w:p>
      <w:pPr>
        <w:pStyle w:val="BodyText"/>
      </w:pPr>
      <w:r>
        <w:t xml:space="preserve">Leonardo provides the most dramatic shift toward structural identity. Its pre-invasion average of 4.75 ascended to 8.0 by 2025, the year in which its narrative summary noted a</w:t>
      </w:r>
      <w:r>
        <w:t xml:space="preserve"> </w:t>
      </w:r>
      <w:r>
        <w:t xml:space="preserve">“</w:t>
      </w:r>
      <w:r>
        <w:t xml:space="preserve">fundamental, permanent transformation from a fragmented conglomerate into an integrated multinational defence company,</w:t>
      </w:r>
      <w:r>
        <w:t xml:space="preserve">”</w:t>
      </w:r>
      <w:r>
        <w:t xml:space="preserve"> </w:t>
      </w:r>
      <w:r>
        <w:t xml:space="preserve">This was supported by three years of financial records that included a 38 percent growth in orders, an 88 percent increase in free cash flow, and a six-fold market capitalisation expansion. Leonardo’s language is emphatically structural and the company emphasises that its recent financial results are clear evidence that the transformation has already happened.</w:t>
      </w:r>
    </w:p>
    <w:p>
      <w:pPr>
        <w:pStyle w:val="BodyText"/>
      </w:pPr>
      <w:r>
        <w:t xml:space="preserve">Airbus and Safran notably seem to buck the trend toward structural shift among the companies in this study, but this is due to core differences in their role in defense production. Since both companies may be viewed as indirectly involved with defence-oriented products (aircraft and aircraft components), it would likely take a full mobilisation for another global war to move them to an overtly structural level. Safran’s post-invasion structural score, 4.0, is the lowest in the sample, and thus three of its four post-invasion reports land in a cyclical area, but this reflects Safran’s business mix: primarily a commercial aerospace company, Safran is prominent in the areas of LEAP aircraft engines and serves other commercial aviation aftermarkets. Its reports from 2022 onward offer a focus on a post-pandemic recovery of civil aviation rather than an engagement with European rearmament. In fact, Russia and Ukraine are only noted in risk disclaimers that acknowledge potential supply chain disruptions or compliance with sanctions–not as demand catalysts or strategic opportunities.</w:t>
      </w:r>
    </w:p>
    <w:p>
      <w:pPr>
        <w:pStyle w:val="BodyText"/>
      </w:pPr>
      <w:r>
        <w:t xml:space="preserve">As a company that participates in FCAS (Future Combat Air Systems), Safran is relevant to this study, but in its role as a commercial aerospace business, it has limited defence exposure and is certainly not a defence company operating in a transformed level of mobilisation. Still, by 2025, its reports show signs of a partial shift to 6.0 and include language concerning new joint ventures and defence manufacturing investments. Nevertheless, Safran remains the least structurally committed company in the sample.</w:t>
      </w:r>
    </w:p>
    <w:p>
      <w:pPr>
        <w:pStyle w:val="BodyText"/>
      </w:pPr>
      <w:r>
        <w:t xml:space="preserve">Airbus is synonymous with commercial aviation and in commercial airliner production, and thus its 3.9 average in the 2022 and 2023 reports almost entirely focus on commercial aviation’s recovery from the pandemic. The 2024 report frames its Defence and Space division as a source of write-downs and transformation costs, but not in the lens of strategic growth. Airbus’s score, however, rises to 7.0 by 2025, with the report language beginning to illustrate defence momentum as a structural opportunity, citing record order intakes of 16.7 billion euros in Defence and Space. Considering this, one may view Airbus as a company demonstrating a lagged response to the overall structural shift as the recovery of commercial aviation gave way to a more defence-forward stance. In its overall corporate identity, however, Airbus is responding to one factor in a much larger reality, and its core identity is not as a defence manufacturer. But its move toward more structural language is likely an indicator of Airbus’ investment commitment remaining more stable over the period due to its lower exposure to defence spending. This does suggest that the trend results from structural shifts in defence rather than a broader macro trend increasing investment generally. Airbus seems to be adapting to the structural shift among defence-focused companies even as it maintains its identity as an aviation company.</w:t>
      </w:r>
    </w:p>
    <w:p>
      <w:pPr>
        <w:pStyle w:val="BodyText"/>
      </w:pPr>
      <w:r>
        <w:t xml:space="preserve">The below Investment Commitment heatmap provides a complementary perspective on the structural shift by scoring how companies discuss capital spending decisions, workforce investment, and procurement commitments over the entire eight-year period.</w:t>
      </w:r>
    </w:p>
    <w:p>
      <w:pPr>
        <w:pStyle w:val="BodyText"/>
      </w:pPr>
      <w:r>
        <w:rPr>
          <w:bCs/>
          <w:b/>
        </w:rPr>
        <w:t xml:space="preserve">Investment Commitment Language per Company Over Time Assessed from Narrative Analysis (not key word frequency)</w:t>
      </w:r>
    </w:p>
    <w:p>
      <w:pPr>
        <w:pStyle w:val="BodyText"/>
      </w:pPr>
      <w:r>
        <w:rPr>
          <w:iCs/>
          <w:i/>
        </w:rPr>
        <w:t xml:space="preserve">Investment commitment language per company per year, rated from 1 (Low) to 4 (Very High). The dashed vertical line marks the 2022 invasion.</w:t>
      </w:r>
    </w:p>
    <w:p>
      <w:pPr>
        <w:pStyle w:val="BodyText"/>
      </w:pPr>
      <w:r>
        <w:t xml:space="preserve">As one might expect, the heatmap reveals a clear inflection in 2022 and sustained momentum afterward. The dominant investment commitment prior to the invasion was 2.0, a medium rating, which indicates that companies were investing, but the language concerning investment was cautious, incremental, and dealt with margin maintenance rather than a push for additions to capacity. Safran and Thales in 2018 show elevated scores that indicate short-term investment requirements, but these do not weaken the trend.</w:t>
      </w:r>
    </w:p>
    <w:p>
      <w:pPr>
        <w:pStyle w:val="BodyText"/>
      </w:pPr>
      <w:r>
        <w:t xml:space="preserve">The table clearly represents a substantial shift over time. By 2023 and 2024, Rheinmetall, BAE Systems, Saab, Leonardo, and Rolls-Royce Holdings all reach scale maximums of very high investment commitment levels. A new level of specific multi-year capital investments included new production facilities, workforce expansion, R&amp;D, and, in some cases, entirely new industrial sites. BAE Systems committed one billion euros in capital investments as well as 1.9 billion in R&amp;D. Meanwhile, Rheinmetall devoted a cash</w:t>
      </w:r>
      <w:r>
        <w:t xml:space="preserve"> </w:t>
      </w:r>
      <w:r>
        <w:t xml:space="preserve">“</w:t>
      </w:r>
      <w:r>
        <w:t xml:space="preserve">burn</w:t>
      </w:r>
      <w:r>
        <w:t xml:space="preserve">”</w:t>
      </w:r>
      <w:r>
        <w:t xml:space="preserve"> </w:t>
      </w:r>
      <w:r>
        <w:t xml:space="preserve">to drive a competitive advantage in near-term investments resulting from its backlog doubling to 55 billion euros between 2022 and 2024.</w:t>
      </w:r>
    </w:p>
    <w:p>
      <w:pPr>
        <w:pStyle w:val="BodyText"/>
      </w:pPr>
      <w:r>
        <w:t xml:space="preserve">Safran’s capital language focus continues to be on commercial aerospace decarbonisation and engine production rather than defence capacity production, so it is again an outlier in this study. Accordingly, Safran’s investment commitment remained more stable over the time period due to lower exposure to defence spending, which suggests that the trend does result from a structural shift in defence in general rather than a broader, macro increase in investment. Airbus shows similar trends as it also perceives defence as a pursuit subordinate to its primary focus.</w:t>
      </w:r>
    </w:p>
    <w:bookmarkEnd w:id="38"/>
    <w:bookmarkStart w:id="39" w:name="X2a7c70c57513fcace197612f3122ff347f779b2"/>
    <w:p>
      <w:pPr>
        <w:pStyle w:val="Heading3"/>
      </w:pPr>
      <w:r>
        <w:rPr>
          <w:iCs/>
          <w:i/>
          <w:bCs/>
          <w:b/>
        </w:rPr>
        <w:t xml:space="preserve">7.1.4 Inter-Rater Reliability Using a Second AI Model</w:t>
      </w:r>
    </w:p>
    <w:p>
      <w:pPr>
        <w:pStyle w:val="FirstParagraph"/>
      </w:pPr>
      <w:r>
        <w:t xml:space="preserve">The reliability of AI-based text assessment does pose methodological concerns, one of which is whether findings are unique to a specific AI model or whether they reflect genuine signals in the source documents that another capable AI-based assessment could also identify. To test this thesis and confirm the overall results, the entire corpus of 79 reports was independently assessed using a second AI model, Google Gemini 2.5 Pro. Neither model had cross-access to scores as the assessment occurred, which accommodated a true inter-rater reliability in keeping with human-coder agreement studies in other qualitative research. Although clearly not perfect, this use of AI cross-referencing is still compelling.</w:t>
      </w:r>
    </w:p>
    <w:p>
      <w:pPr>
        <w:pStyle w:val="BodyText"/>
      </w:pPr>
      <w:r>
        <w:t xml:space="preserve">The agreement between these two models was arrived at using Cohen’s Kappa (κ), the standard statistic for inter-rater agreement that corrects for the level of agreement expected by chance alone. A kappa of 0 indicates agreement no better than chance while a 1.0 indicates perfect agreement. Values higher than 0.8 are interpreted as</w:t>
      </w:r>
      <w:r>
        <w:t xml:space="preserve"> </w:t>
      </w:r>
      <w:r>
        <w:t xml:space="preserve">“</w:t>
      </w:r>
      <w:r>
        <w:t xml:space="preserve">almost perfect agreement</w:t>
      </w:r>
      <w:r>
        <w:t xml:space="preserve">”</w:t>
      </w:r>
      <w:r>
        <w:t xml:space="preserve"> </w:t>
      </w:r>
      <w:r>
        <w:t xml:space="preserve">on the 1977 Landis and Koch scale.</w:t>
      </w:r>
    </w:p>
    <w:p>
      <w:pPr>
        <w:pStyle w:val="BodyText"/>
      </w:pPr>
      <w:r>
        <w:t xml:space="preserve">In interpreting the Structural, Mixed, and Cyclical categories across all 79 reports, the two models yielded a raw agreement rate of 92.4 percent with a Cohen’s Kappa of κ = 0.88, an</w:t>
      </w:r>
      <w:r>
        <w:t xml:space="preserve"> </w:t>
      </w:r>
      <w:r>
        <w:t xml:space="preserve">“</w:t>
      </w:r>
      <w:r>
        <w:t xml:space="preserve">almost perfect</w:t>
      </w:r>
      <w:r>
        <w:t xml:space="preserve">”</w:t>
      </w:r>
      <w:r>
        <w:t xml:space="preserve"> </w:t>
      </w:r>
      <w:r>
        <w:t xml:space="preserve">score that validates the study’s finding and parameters.</w:t>
      </w:r>
    </w:p>
    <w:p>
      <w:pPr>
        <w:pStyle w:val="BodyText"/>
      </w:pPr>
      <w:r>
        <w:t xml:space="preserve">The post-invasion period shows particularly high agreement as the Claude and Gemini models agreed on 38 of 39 report classifications (97.4 percent, κ = 0.94). Although there was a disagreement concerning Rolls-Royce Holdings 2022 (Claude indicated mixed and Gemini cyclical), this reflected different weighting of early transformation signals against continued focus on civil aerospace recovery, and by the 2023 reports, both models agree that Rolls-Royce is in structural territory.</w:t>
      </w:r>
    </w:p>
    <w:p>
      <w:pPr>
        <w:pStyle w:val="BodyText"/>
      </w:pPr>
      <w:r>
        <w:t xml:space="preserve">The Kappa statistics by period are summarised below:</w:t>
      </w:r>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**Period**</w:t>
            </w:r>
          </w:p>
        </w:tc>
        <w:tc>
          <w:tcPr/>
          <w:p>
            <w:pPr>
              <w:pStyle w:val="Compact"/>
              <w:jc w:val="center"/>
            </w:pPr>
            <w:r>
              <w:t xml:space="preserve">**Raw Agreement**</w:t>
            </w:r>
          </w:p>
        </w:tc>
        <w:tc>
          <w:tcPr/>
          <w:p>
            <w:pPr>
              <w:pStyle w:val="Compact"/>
              <w:jc w:val="center"/>
            </w:pPr>
            <w:r>
              <w:t xml:space="preserve">**Reports**</w:t>
            </w:r>
          </w:p>
        </w:tc>
        <w:tc>
          <w:tcPr/>
          <w:p>
            <w:pPr>
              <w:pStyle w:val="Compact"/>
              <w:jc w:val="center"/>
            </w:pPr>
            <w:r>
              <w:t xml:space="preserve">**Cohen’s Kappa (k)**</w:t>
            </w:r>
          </w:p>
        </w:tc>
      </w:tr>
      <w:tr>
        <w:tc>
          <w:tcPr/>
          <w:p>
            <w:pPr>
              <w:pStyle w:val="Compact"/>
              <w:jc w:val="center"/>
            </w:pPr>
            <w:r>
              <w:t xml:space="preserve">Full corpus (2018–2025)</w:t>
            </w:r>
          </w:p>
        </w:tc>
        <w:tc>
          <w:tcPr/>
          <w:p>
            <w:pPr>
              <w:pStyle w:val="Compact"/>
              <w:jc w:val="center"/>
            </w:pPr>
            <w:r>
              <w:t xml:space="preserve">92.4%</w:t>
            </w:r>
          </w:p>
        </w:tc>
        <w:tc>
          <w:tcPr/>
          <w:p>
            <w:pPr>
              <w:pStyle w:val="Compact"/>
              <w:jc w:val="center"/>
            </w:pPr>
            <w:r>
              <w:t xml:space="preserve">79</w:t>
            </w:r>
          </w:p>
        </w:tc>
        <w:tc>
          <w:tcPr/>
          <w:p>
            <w:pPr>
              <w:pStyle w:val="Compact"/>
              <w:jc w:val="center"/>
            </w:pPr>
            <w:r>
              <w:t xml:space="preserve">0.88</w:t>
            </w:r>
          </w:p>
        </w:tc>
      </w:tr>
      <w:tr>
        <w:tc>
          <w:tcPr/>
          <w:p>
            <w:pPr>
              <w:pStyle w:val="Compact"/>
              <w:jc w:val="center"/>
            </w:pPr>
            <w:r>
              <w:t xml:space="preserve">Post-invasion only (2022–2025)</w:t>
            </w:r>
          </w:p>
        </w:tc>
        <w:tc>
          <w:tcPr/>
          <w:p>
            <w:pPr>
              <w:pStyle w:val="Compact"/>
              <w:jc w:val="center"/>
            </w:pPr>
            <w:r>
              <w:t xml:space="preserve">97.4%</w:t>
            </w:r>
          </w:p>
        </w:tc>
        <w:tc>
          <w:tcPr/>
          <w:p>
            <w:pPr>
              <w:pStyle w:val="Compact"/>
              <w:jc w:val="center"/>
            </w:pPr>
            <w:r>
              <w:t xml:space="preserve">39</w:t>
            </w:r>
          </w:p>
        </w:tc>
        <w:tc>
          <w:tcPr/>
          <w:p>
            <w:pPr>
              <w:pStyle w:val="Compact"/>
              <w:jc w:val="center"/>
            </w:pPr>
            <w:r>
              <w:t xml:space="preserve">0.94</w:t>
            </w:r>
          </w:p>
        </w:tc>
      </w:tr>
      <w:tr>
        <w:tc>
          <w:tcPr/>
          <w:p>
            <w:pPr>
              <w:pStyle w:val="Compact"/>
              <w:jc w:val="center"/>
            </w:pPr>
            <w:r>
              <w:t xml:space="preserve">Pre-invasion only (2018–2021)</w:t>
            </w:r>
          </w:p>
        </w:tc>
        <w:tc>
          <w:tcPr/>
          <w:p>
            <w:pPr>
              <w:pStyle w:val="Compact"/>
              <w:jc w:val="center"/>
            </w:pPr>
            <w:r>
              <w:t xml:space="preserve">87.5%</w:t>
            </w:r>
          </w:p>
        </w:tc>
        <w:tc>
          <w:tcPr/>
          <w:p>
            <w:pPr>
              <w:pStyle w:val="Compact"/>
              <w:jc w:val="center"/>
            </w:pPr>
            <w:r>
              <w:t xml:space="preserve">40</w:t>
            </w:r>
          </w:p>
        </w:tc>
        <w:tc>
          <w:tcPr/>
          <w:p>
            <w:pPr>
              <w:pStyle w:val="Compact"/>
              <w:jc w:val="center"/>
            </w:pPr>
            <w:r>
              <w:t xml:space="preserve">0.77</w:t>
            </w:r>
          </w:p>
        </w:tc>
      </w:tr>
    </w:tbl>
    <w:p>
      <w:pPr>
        <w:pStyle w:val="BodyText"/>
      </w:pPr>
      <w:r>
        <w:t xml:space="preserve">These results confirm the core findings of this study and could be theoretically replicated using an alternatively robust AI model. The inter-rater agreement does not, of course, guarantee 100% precision, but it does offer strong evidence that the reliability in these metrics is sound for this study’s purposes.</w:t>
      </w:r>
    </w:p>
    <w:bookmarkEnd w:id="39"/>
    <w:bookmarkStart w:id="40" w:name="difference-in-difference-did-analysis"/>
    <w:p>
      <w:pPr>
        <w:pStyle w:val="Heading3"/>
      </w:pPr>
      <w:r>
        <w:rPr>
          <w:iCs/>
          <w:i/>
          <w:bCs/>
          <w:b/>
        </w:rPr>
        <w:t xml:space="preserve">7.1.5 Difference-in-Difference (DiD) Analysis</w:t>
      </w:r>
    </w:p>
    <w:p>
      <w:pPr>
        <w:pStyle w:val="FirstParagraph"/>
      </w:pPr>
      <w:r>
        <w:t xml:space="preserve">The clear takeaway from analyses of report narratives and Cohen’s Kappa is that European defence companies shifted sharply toward structural language after February 2022. Using the LLM to identify a shift in the tone of reports does not verify causality vis-a-vis the invasion, and a sceptic might ask whether defence company language had already trended toward becoming more structural prior to 2022 driven by rising geopolitical tensions, NATO spending commitments after 2014, or the general post-COVID recovery in defence budgets. If this pre-existing trend was identified, the invasion might be considered merely coincidental.</w:t>
      </w:r>
    </w:p>
    <w:p>
      <w:pPr>
        <w:pStyle w:val="BodyText"/>
      </w:pPr>
      <w:r>
        <w:t xml:space="preserve">The use of DiD methodology in this study reinforces the previous results. A core of defence-primary companies was the treated subject group and commercial aerospace and other more diverse companies with defence divisions comprised the control group. A comparison of the degree to which the treated subject group and the control group shift in this context isolates the causal nature of the post-2022 change. A defence-primary company is directly and immediately influenced by a large military mobilisation, but a commercial aerospace company that has a smaller defence-related division might be less sensitive to European geopolitical upheavals.</w:t>
      </w:r>
    </w:p>
    <w:p>
      <w:pPr>
        <w:pStyle w:val="BodyText"/>
      </w:pPr>
      <w:r>
        <w:rPr>
          <w:iCs/>
          <w:i/>
        </w:rPr>
        <w:t xml:space="preserve">Data Used by the DiD</w:t>
      </w:r>
    </w:p>
    <w:p>
      <w:pPr>
        <w:pStyle w:val="BodyText"/>
      </w:pPr>
      <w:r>
        <w:t xml:space="preserve">The DiD uses only a single component of the output, the Narrative Analysis score, which is represented by the 1–10 score that Claude API Key assigned to each of the 79 reports. The full data pipeline of the study is therefore:</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**Step 1**</w:t>
            </w:r>
          </w:p>
        </w:tc>
        <w:tc>
          <w:tcPr/>
          <w:p>
            <w:pPr>
              <w:pStyle w:val="Compact"/>
            </w:pPr>
          </w:p>
        </w:tc>
        <w:tc>
          <w:tcPr/>
          <w:p>
            <w:pPr>
              <w:pStyle w:val="Compact"/>
              <w:jc w:val="center"/>
            </w:pPr>
            <w:r>
              <w:t xml:space="preserve">**Step 2**</w:t>
            </w:r>
          </w:p>
        </w:tc>
        <w:tc>
          <w:tcPr/>
          <w:p>
            <w:pPr>
              <w:pStyle w:val="Compact"/>
            </w:pPr>
          </w:p>
        </w:tc>
        <w:tc>
          <w:tcPr/>
          <w:p>
            <w:pPr>
              <w:pStyle w:val="Compact"/>
              <w:jc w:val="center"/>
            </w:pPr>
            <w:r>
              <w:t xml:space="preserve">**Step 3**</w:t>
            </w:r>
          </w:p>
        </w:tc>
      </w:tr>
      <w:tr>
        <w:tc>
          <w:tcPr/>
          <w:p>
            <w:pPr>
              <w:pStyle w:val="Compact"/>
              <w:jc w:val="center"/>
            </w:pPr>
            <w:r>
              <w:t xml:space="preserve">79 PDF Reports (2018–2025)</w:t>
            </w:r>
          </w:p>
        </w:tc>
        <w:tc>
          <w:tcPr/>
          <w:p>
            <w:pPr>
              <w:pStyle w:val="Compact"/>
              <w:jc w:val="center"/>
            </w:pPr>
            <w:r>
              <w:t xml:space="preserve">→</w:t>
            </w:r>
          </w:p>
        </w:tc>
        <w:tc>
          <w:tcPr/>
          <w:p>
            <w:pPr>
              <w:pStyle w:val="Compact"/>
              <w:jc w:val="center"/>
            </w:pPr>
            <w:r>
              <w:t xml:space="preserve">Claude analyses each report and assigns a score of 1–10</w:t>
            </w:r>
          </w:p>
        </w:tc>
        <w:tc>
          <w:tcPr/>
          <w:p>
            <w:pPr>
              <w:pStyle w:val="Compact"/>
              <w:jc w:val="center"/>
            </w:pPr>
            <w:r>
              <w:t xml:space="preserve">→</w:t>
            </w:r>
          </w:p>
        </w:tc>
        <w:tc>
          <w:tcPr/>
          <w:p>
            <w:pPr>
              <w:pStyle w:val="Compact"/>
              <w:jc w:val="center"/>
            </w:pPr>
            <w:r>
              <w:t xml:space="preserve">DiD uses only these scores as outcome variables</w:t>
            </w:r>
          </w:p>
        </w:tc>
      </w:tr>
    </w:tbl>
    <w:p>
      <w:pPr>
        <w:pStyle w:val="BodyText"/>
      </w:pPr>
      <w:r>
        <w:t xml:space="preserve">This design results in the narrative analysis and DiD being complementary, rather than redundant. Claude provides the measurement. The DiD then utilises the measurement (scores) to determine the causal question: is the post-invasion shift in scores statistically attributable to the invasion, or could the shift reflect a pre-existing trend?</w:t>
      </w:r>
    </w:p>
    <w:p>
      <w:pPr>
        <w:pStyle w:val="BodyText"/>
      </w:pPr>
      <w:r>
        <w:rPr>
          <w:iCs/>
          <w:i/>
        </w:rPr>
        <w:t xml:space="preserve">Group Assignment</w:t>
      </w:r>
    </w:p>
    <w:p>
      <w:pPr>
        <w:pStyle w:val="BodyText"/>
      </w:pPr>
      <w:r>
        <w:t xml:space="preserve">Companies were assigned to groups based on the companies’ relative business mix and sensitivity to the overall defence sector.</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**Group**</w:t>
            </w:r>
          </w:p>
        </w:tc>
        <w:tc>
          <w:tcPr/>
          <w:p>
            <w:pPr>
              <w:pStyle w:val="Compact"/>
              <w:jc w:val="center"/>
            </w:pPr>
            <w:r>
              <w:t xml:space="preserve">**Companies**</w:t>
            </w:r>
          </w:p>
        </w:tc>
        <w:tc>
          <w:tcPr/>
          <w:p>
            <w:pPr>
              <w:pStyle w:val="Compact"/>
              <w:jc w:val="center"/>
            </w:pPr>
            <w:r>
              <w:t xml:space="preserve">**Rationale**</w:t>
            </w:r>
          </w:p>
        </w:tc>
      </w:tr>
      <w:tr>
        <w:tc>
          <w:tcPr/>
          <w:p>
            <w:pPr>
              <w:pStyle w:val="Compact"/>
              <w:jc w:val="center"/>
            </w:pPr>
            <w:r>
              <w:t xml:space="preserve">Treated (Defence-primary)</w:t>
            </w:r>
          </w:p>
        </w:tc>
        <w:tc>
          <w:tcPr/>
          <w:p>
            <w:pPr>
              <w:pStyle w:val="Compact"/>
              <w:jc w:val="center"/>
            </w:pPr>
            <w:r>
              <w:t xml:space="preserve">BAE Systems, Rheinmetall, Saab, Leonardo, Dassault Aviation, Indra, Thales</w:t>
            </w:r>
          </w:p>
        </w:tc>
        <w:tc>
          <w:tcPr/>
          <w:p>
            <w:pPr>
              <w:pStyle w:val="Compact"/>
              <w:jc w:val="center"/>
            </w:pPr>
            <w:r>
              <w:t xml:space="preserve">Defence and security are the dominant business drivers. Businesses are directly exposed to European rearmament demand.</w:t>
            </w:r>
          </w:p>
        </w:tc>
      </w:tr>
      <w:tr>
        <w:tc>
          <w:tcPr/>
          <w:p>
            <w:pPr>
              <w:pStyle w:val="Compact"/>
              <w:jc w:val="center"/>
            </w:pPr>
            <w:r>
              <w:t xml:space="preserve">Control (Commercial aerospace)</w:t>
            </w:r>
          </w:p>
        </w:tc>
        <w:tc>
          <w:tcPr/>
          <w:p>
            <w:pPr>
              <w:pStyle w:val="Compact"/>
              <w:jc w:val="center"/>
            </w:pPr>
            <w:r>
              <w:t xml:space="preserve">Airbus, Safran, Rolls-Royce Holdings</w:t>
            </w:r>
          </w:p>
        </w:tc>
        <w:tc>
          <w:tcPr/>
          <w:p>
            <w:pPr>
              <w:pStyle w:val="Compact"/>
              <w:jc w:val="center"/>
            </w:pPr>
            <w:r>
              <w:t xml:space="preserve">Commercial aviation is the dominant business driver. Defence is secondary, making these companies less sensitive to European security spending cycles.</w:t>
            </w:r>
          </w:p>
        </w:tc>
      </w:tr>
    </w:tbl>
    <w:p>
      <w:pPr>
        <w:pStyle w:val="BodyText"/>
      </w:pPr>
      <w:r>
        <w:rPr>
          <w:iCs/>
          <w:i/>
        </w:rPr>
        <w:t xml:space="preserve">The DiD Model</w:t>
      </w:r>
    </w:p>
    <w:p>
      <w:pPr>
        <w:pStyle w:val="BodyText"/>
      </w:pPr>
      <w:r>
        <w:t xml:space="preserve">The regression model estimated is:</w:t>
      </w:r>
    </w:p>
    <w:p>
      <w:pPr>
        <w:pStyle w:val="BodyText"/>
      </w:pPr>
      <w:r>
        <w:t xml:space="preserve">score_it = β0 + β1 · POST + β2 · TREATED + β3 · (POST × TREATED) + ε_it</w:t>
      </w:r>
    </w:p>
    <w:p>
      <w:pPr>
        <w:pStyle w:val="BodyText"/>
      </w:pPr>
      <w:r>
        <w:t xml:space="preserve">Where score_it is the structural narrative score (1–10) for company i in year t. POST is a dummy equal to 1 for years 2022–2025. TREATED is a dummy equal to 1 for defence-primary companies. The interaction term POST × TREATED is the DiD estimator: it captures the additional effect on treated companies in the post-invasion period, after controlling for the common time trend (POST) and the fixed group difference (TREATED).</w:t>
      </w:r>
    </w:p>
    <w:p>
      <w:pPr>
        <w:pStyle w:val="BodyText"/>
      </w:pPr>
      <w:r>
        <w:t xml:space="preserve">Standard errors are clustered by company to account for within-company correlation across years following the standard approach for panel data. Degrees of freedom are set to G − 1 = 9 (10 clusters minus one).</w:t>
      </w:r>
    </w:p>
    <w:p>
      <w:pPr>
        <w:pStyle w:val="BodyText"/>
      </w:pPr>
      <w:r>
        <w:rPr>
          <w:iCs/>
          <w:i/>
        </w:rPr>
        <w:t xml:space="preserve">The Parallel Trends Assumption</w:t>
      </w:r>
    </w:p>
    <w:p>
      <w:pPr>
        <w:pStyle w:val="BodyText"/>
      </w:pPr>
      <w:r>
        <w:t xml:space="preserve">In order for the DiD to be valid, both groups (treated and control) must be experiencing relatively similar trends during the pre-causal event period. This validity does not require the same level of structural language, only the same relative directions and rates of change before the hypothesised causal event in 2022. This is tested by running a regression on pre-invasion data only (2018–2021) and including an interaction between the time trend and the treated dummy. A significant result from the regression would invalidate the design of DiD.</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**Variable (pre-invasion only)**</w:t>
            </w:r>
          </w:p>
        </w:tc>
        <w:tc>
          <w:tcPr/>
          <w:p>
            <w:pPr>
              <w:pStyle w:val="Compact"/>
              <w:jc w:val="center"/>
            </w:pPr>
            <w:r>
              <w:t xml:space="preserve">**β**</w:t>
            </w:r>
          </w:p>
        </w:tc>
        <w:tc>
          <w:tcPr/>
          <w:p>
            <w:pPr>
              <w:pStyle w:val="Compact"/>
              <w:jc w:val="center"/>
            </w:pPr>
            <w:r>
              <w:t xml:space="preserve">**SE**</w:t>
            </w:r>
          </w:p>
        </w:tc>
        <w:tc>
          <w:tcPr/>
          <w:p>
            <w:pPr>
              <w:pStyle w:val="Compact"/>
              <w:jc w:val="center"/>
            </w:pPr>
            <w:r>
              <w:t xml:space="preserve">**t**</w:t>
            </w:r>
          </w:p>
        </w:tc>
        <w:tc>
          <w:tcPr/>
          <w:p>
            <w:pPr>
              <w:pStyle w:val="Compact"/>
              <w:jc w:val="center"/>
            </w:pPr>
            <w:r>
              <w:t xml:space="preserve">**p**</w:t>
            </w:r>
          </w:p>
        </w:tc>
      </w:tr>
      <w:tr>
        <w:tc>
          <w:tcPr/>
          <w:p>
            <w:pPr>
              <w:pStyle w:val="Compact"/>
              <w:jc w:val="center"/>
            </w:pPr>
            <w:r>
              <w:t xml:space="preserve">Intercept</w:t>
            </w:r>
          </w:p>
        </w:tc>
        <w:tc>
          <w:tcPr/>
          <w:p>
            <w:pPr>
              <w:pStyle w:val="Compact"/>
              <w:jc w:val="center"/>
            </w:pPr>
            <w:r>
              <w:t xml:space="preserve">5.400</w:t>
            </w:r>
          </w:p>
        </w:tc>
        <w:tc>
          <w:tcPr/>
          <w:p>
            <w:pPr>
              <w:pStyle w:val="Compact"/>
              <w:jc w:val="center"/>
            </w:pPr>
            <w:r>
              <w:t xml:space="preserve">0.096</w:t>
            </w:r>
          </w:p>
        </w:tc>
        <w:tc>
          <w:tcPr/>
          <w:p>
            <w:pPr>
              <w:pStyle w:val="Compact"/>
              <w:jc w:val="center"/>
            </w:pPr>
            <w:r>
              <w:t xml:space="preserve">9.053</w:t>
            </w:r>
          </w:p>
        </w:tc>
        <w:tc>
          <w:tcPr/>
          <w:p>
            <w:pPr>
              <w:pStyle w:val="Compact"/>
              <w:jc w:val="center"/>
            </w:pPr>
            <w:r>
              <w:t xml:space="preserve">0.0000 \*\*\*</w:t>
            </w:r>
          </w:p>
        </w:tc>
      </w:tr>
      <w:tr>
        <w:tc>
          <w:tcPr/>
          <w:p>
            <w:pPr>
              <w:pStyle w:val="Compact"/>
              <w:jc w:val="center"/>
            </w:pPr>
            <w:r>
              <w:t xml:space="preserve">Trend</w:t>
            </w:r>
          </w:p>
        </w:tc>
        <w:tc>
          <w:tcPr/>
          <w:p>
            <w:pPr>
              <w:pStyle w:val="Compact"/>
              <w:jc w:val="center"/>
            </w:pPr>
            <w:r>
              <w:t xml:space="preserve">\-0.767</w:t>
            </w:r>
          </w:p>
        </w:tc>
        <w:tc>
          <w:tcPr/>
          <w:p>
            <w:pPr>
              <w:pStyle w:val="Compact"/>
              <w:jc w:val="center"/>
            </w:pPr>
            <w:r>
              <w:t xml:space="preserve">0.312</w:t>
            </w:r>
          </w:p>
        </w:tc>
        <w:tc>
          <w:tcPr/>
          <w:p>
            <w:pPr>
              <w:pStyle w:val="Compact"/>
              <w:jc w:val="center"/>
            </w:pPr>
            <w:r>
              <w:t xml:space="preserve">\-2.459</w:t>
            </w:r>
          </w:p>
        </w:tc>
        <w:tc>
          <w:tcPr/>
          <w:p>
            <w:pPr>
              <w:pStyle w:val="Compact"/>
              <w:jc w:val="center"/>
            </w:pPr>
            <w:r>
              <w:t xml:space="preserve">0.0362 \*\*</w:t>
            </w:r>
          </w:p>
        </w:tc>
      </w:tr>
      <w:tr>
        <w:tc>
          <w:tcPr/>
          <w:p>
            <w:pPr>
              <w:pStyle w:val="Compact"/>
              <w:jc w:val="center"/>
            </w:pPr>
            <w:r>
              <w:t xml:space="preserve">Treated</w:t>
            </w:r>
          </w:p>
        </w:tc>
        <w:tc>
          <w:tcPr/>
          <w:p>
            <w:pPr>
              <w:pStyle w:val="Compact"/>
              <w:jc w:val="center"/>
            </w:pPr>
            <w:r>
              <w:t xml:space="preserve">\-0.457</w:t>
            </w:r>
          </w:p>
        </w:tc>
        <w:tc>
          <w:tcPr/>
          <w:p>
            <w:pPr>
              <w:pStyle w:val="Compact"/>
              <w:jc w:val="center"/>
            </w:pPr>
            <w:r>
              <w:t xml:space="preserve">0.665</w:t>
            </w:r>
          </w:p>
        </w:tc>
        <w:tc>
          <w:tcPr/>
          <w:p>
            <w:pPr>
              <w:pStyle w:val="Compact"/>
              <w:jc w:val="center"/>
            </w:pPr>
            <w:r>
              <w:t xml:space="preserve">\-0.687</w:t>
            </w:r>
          </w:p>
        </w:tc>
        <w:tc>
          <w:tcPr/>
          <w:p>
            <w:pPr>
              <w:pStyle w:val="Compact"/>
              <w:jc w:val="center"/>
            </w:pPr>
            <w:r>
              <w:t xml:space="preserve">0.5093</w:t>
            </w:r>
          </w:p>
        </w:tc>
      </w:tr>
      <w:tr>
        <w:tc>
          <w:tcPr/>
          <w:p>
            <w:pPr>
              <w:pStyle w:val="Compact"/>
              <w:jc w:val="center"/>
            </w:pPr>
            <w:r>
              <w:t xml:space="preserve">Trend × Treated</w:t>
            </w:r>
          </w:p>
        </w:tc>
        <w:tc>
          <w:tcPr/>
          <w:p>
            <w:pPr>
              <w:pStyle w:val="Compact"/>
              <w:jc w:val="center"/>
            </w:pPr>
            <w:r>
              <w:t xml:space="preserve">0.710</w:t>
            </w:r>
          </w:p>
        </w:tc>
        <w:tc>
          <w:tcPr/>
          <w:p>
            <w:pPr>
              <w:pStyle w:val="Compact"/>
              <w:jc w:val="center"/>
            </w:pPr>
            <w:r>
              <w:t xml:space="preserve">0.367</w:t>
            </w:r>
          </w:p>
        </w:tc>
        <w:tc>
          <w:tcPr/>
          <w:p>
            <w:pPr>
              <w:pStyle w:val="Compact"/>
              <w:jc w:val="center"/>
            </w:pPr>
            <w:r>
              <w:t xml:space="preserve">1.931</w:t>
            </w:r>
          </w:p>
        </w:tc>
        <w:tc>
          <w:tcPr/>
          <w:p>
            <w:pPr>
              <w:pStyle w:val="Compact"/>
              <w:jc w:val="center"/>
            </w:pPr>
            <w:r>
              <w:t xml:space="preserve">0.0855\*</w:t>
            </w:r>
          </w:p>
        </w:tc>
      </w:tr>
    </w:tbl>
    <w:p>
      <w:pPr>
        <w:pStyle w:val="BodyText"/>
      </w:pPr>
      <w:r>
        <w:rPr>
          <w:iCs/>
          <w:i/>
        </w:rPr>
        <w:t xml:space="preserve">* p&lt;0.10 ** p&lt;0.05 *** p&lt;0.01</w:t>
      </w:r>
    </w:p>
    <w:p>
      <w:pPr>
        <w:pStyle w:val="BodyText"/>
      </w:pPr>
      <w:r>
        <w:t xml:space="preserve">Result: Trend × Treated p = 0.0855, which indicates that the parallel trends assumption holds below a 10% significance level. Therefore, the two groups were statistically indistinguishable in their pre-invasion trajectories at conventional thresholds, and the DiD design is valid. It should be acknowledged that this result is near the cusp of the 10% threshold and the causal interpretation of β3 should be treated as strongly suggestive rather than definitive. These results may be either further validated or diminished by including more companies in the sample sizes, particularly within the control group.</w:t>
      </w:r>
    </w:p>
    <w:p>
      <w:pPr>
        <w:pStyle w:val="BodyText"/>
      </w:pPr>
      <w:r>
        <w:rPr>
          <w:iCs/>
          <w:i/>
        </w:rPr>
        <w:t xml:space="preserve">Results</w:t>
      </w:r>
    </w:p>
    <w:p>
      <w:pPr>
        <w:pStyle w:val="BodyText"/>
      </w:pPr>
      <w:r>
        <w:t xml:space="preserve">The DiD logic is most clearly validated by comparing the pre- and post-invasion mean scores of the groups, as summarised in the below table.</w:t>
      </w:r>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**Group**</w:t>
            </w:r>
          </w:p>
        </w:tc>
        <w:tc>
          <w:tcPr/>
          <w:p>
            <w:pPr>
              <w:pStyle w:val="Compact"/>
              <w:jc w:val="center"/>
            </w:pPr>
            <w:r>
              <w:t xml:space="preserve">**Pre-Invasion (2018–2021)**</w:t>
            </w:r>
          </w:p>
        </w:tc>
        <w:tc>
          <w:tcPr/>
          <w:p>
            <w:pPr>
              <w:pStyle w:val="Compact"/>
              <w:jc w:val="center"/>
            </w:pPr>
            <w:r>
              <w:t xml:space="preserve">**Post-Invasion (2022–2025)**</w:t>
            </w:r>
          </w:p>
        </w:tc>
        <w:tc>
          <w:tcPr/>
          <w:p>
            <w:pPr>
              <w:pStyle w:val="Compact"/>
              <w:jc w:val="center"/>
            </w:pPr>
            <w:r>
              <w:t xml:space="preserve">**Change**</w:t>
            </w:r>
          </w:p>
        </w:tc>
      </w:tr>
      <w:tr>
        <w:tc>
          <w:tcPr/>
          <w:p>
            <w:pPr>
              <w:pStyle w:val="Compact"/>
              <w:jc w:val="center"/>
            </w:pPr>
            <w:r>
              <w:t xml:space="preserve">Treated (Defence-primary)</w:t>
            </w:r>
          </w:p>
        </w:tc>
        <w:tc>
          <w:tcPr/>
          <w:p>
            <w:pPr>
              <w:pStyle w:val="Compact"/>
              <w:jc w:val="center"/>
            </w:pPr>
            <w:r>
              <w:t xml:space="preserve">4.86</w:t>
            </w:r>
          </w:p>
        </w:tc>
        <w:tc>
          <w:tcPr/>
          <w:p>
            <w:pPr>
              <w:pStyle w:val="Compact"/>
              <w:jc w:val="center"/>
            </w:pPr>
            <w:r>
              <w:t xml:space="preserve">7.89</w:t>
            </w:r>
          </w:p>
        </w:tc>
        <w:tc>
          <w:tcPr/>
          <w:p>
            <w:pPr>
              <w:pStyle w:val="Compact"/>
              <w:jc w:val="center"/>
            </w:pPr>
            <w:r>
              <w:t xml:space="preserve">\+3.03</w:t>
            </w:r>
          </w:p>
        </w:tc>
      </w:tr>
      <w:tr>
        <w:tc>
          <w:tcPr/>
          <w:p>
            <w:pPr>
              <w:pStyle w:val="Compact"/>
              <w:jc w:val="center"/>
            </w:pPr>
            <w:r>
              <w:t xml:space="preserve">Control (Commercial aerospace)</w:t>
            </w:r>
          </w:p>
        </w:tc>
        <w:tc>
          <w:tcPr/>
          <w:p>
            <w:pPr>
              <w:pStyle w:val="Compact"/>
              <w:jc w:val="center"/>
            </w:pPr>
            <w:r>
              <w:t xml:space="preserve">4.25</w:t>
            </w:r>
          </w:p>
        </w:tc>
        <w:tc>
          <w:tcPr/>
          <w:p>
            <w:pPr>
              <w:pStyle w:val="Compact"/>
              <w:jc w:val="center"/>
            </w:pPr>
            <w:r>
              <w:t xml:space="preserve">5.25</w:t>
            </w:r>
          </w:p>
        </w:tc>
        <w:tc>
          <w:tcPr/>
          <w:p>
            <w:pPr>
              <w:pStyle w:val="Compact"/>
              <w:jc w:val="center"/>
            </w:pPr>
            <w:r>
              <w:t xml:space="preserve">\+1.0</w:t>
            </w:r>
          </w:p>
        </w:tc>
      </w:tr>
      <w:tr>
        <w:tc>
          <w:tcPr/>
          <w:p>
            <w:pPr>
              <w:pStyle w:val="Compact"/>
              <w:jc w:val="center"/>
            </w:pPr>
            <w:r>
              <w:t xml:space="preserve">DiD Estimate (difference of differences)</w:t>
            </w:r>
          </w:p>
        </w:tc>
        <w:tc>
          <w:tcPr/>
          <w:p>
            <w:pPr>
              <w:pStyle w:val="Compact"/>
            </w:pPr>
          </w:p>
        </w:tc>
        <w:tc>
          <w:tcPr/>
          <w:p>
            <w:pPr>
              <w:pStyle w:val="Compact"/>
            </w:pPr>
          </w:p>
        </w:tc>
        <w:tc>
          <w:tcPr/>
          <w:p>
            <w:pPr>
              <w:pStyle w:val="Compact"/>
              <w:jc w:val="center"/>
            </w:pPr>
            <w:r>
              <w:t xml:space="preserve">\+2.03</w:t>
            </w:r>
          </w:p>
        </w:tc>
      </w:tr>
    </w:tbl>
    <w:p>
      <w:pPr>
        <w:pStyle w:val="BodyText"/>
      </w:pPr>
      <w:r>
        <w:t xml:space="preserve">The control group moved modestly from 4.25 before the invasion to 5.25 after (+1.00). This change represents how much structural language shifted in the absence of any defence-specific trigger(s). The treated group rose by 3.03 points, resulting in a DiD estimate of 2.03 points (3.03, less 1.00). Quantitatively, the invasion explains 2.03 points of the treated group’s shift above and beyond events that theoretically affected all companies equally.</w:t>
      </w:r>
    </w:p>
    <w:p>
      <w:pPr>
        <w:pStyle w:val="BodyText"/>
      </w:pPr>
      <w:r>
        <w:rPr>
          <w:iCs/>
          <w:i/>
        </w:rPr>
        <w:t xml:space="preserve">Regression Results</w:t>
      </w:r>
    </w:p>
    <w:p>
      <w:pPr>
        <w:pStyle w:val="BodyText"/>
      </w:pPr>
      <w:r>
        <w:t xml:space="preserve">The OLS regression confirms and refines the raw estimates derived from comparing the mean scores, controlling for the common time periods and baseline group differences. The regression results are summarised in the following table:</w:t>
      </w:r>
    </w:p>
    <w:tbl>
      <w:tblPr>
        <w:tblStyle w:val="Table"/>
        <w:tblW w:type="pct" w:w="5000"/>
        <w:tblLook w:firstRow="0" w:lastRow="0" w:firstColumn="0" w:lastColumn="0" w:noHBand="0" w:noVBand="0" w:val="0000"/>
        <w:jc w:val="start"/>
      </w:tblPr>
      <w:tblGrid>
        <w:gridCol w:w="1320"/>
        <w:gridCol w:w="1320"/>
        <w:gridCol w:w="1320"/>
        <w:gridCol w:w="1320"/>
        <w:gridCol w:w="1320"/>
        <w:gridCol w:w="1320"/>
      </w:tblGrid>
      <w:tr>
        <w:tc>
          <w:tcPr/>
          <w:p>
            <w:pPr>
              <w:pStyle w:val="Compact"/>
              <w:jc w:val="center"/>
            </w:pPr>
            <w:r>
              <w:t xml:space="preserve">**Variable**</w:t>
            </w:r>
          </w:p>
        </w:tc>
        <w:tc>
          <w:tcPr/>
          <w:p>
            <w:pPr>
              <w:pStyle w:val="Compact"/>
              <w:jc w:val="center"/>
            </w:pPr>
            <w:r>
              <w:t xml:space="preserve">**β**</w:t>
            </w:r>
          </w:p>
        </w:tc>
        <w:tc>
          <w:tcPr/>
          <w:p>
            <w:pPr>
              <w:pStyle w:val="Compact"/>
              <w:jc w:val="center"/>
            </w:pPr>
            <w:r>
              <w:t xml:space="preserve">**SE**</w:t>
            </w:r>
          </w:p>
        </w:tc>
        <w:tc>
          <w:tcPr/>
          <w:p>
            <w:pPr>
              <w:pStyle w:val="Compact"/>
              <w:jc w:val="center"/>
            </w:pPr>
            <w:r>
              <w:t xml:space="preserve">**t**</w:t>
            </w:r>
          </w:p>
        </w:tc>
        <w:tc>
          <w:tcPr/>
          <w:p>
            <w:pPr>
              <w:pStyle w:val="Compact"/>
              <w:jc w:val="center"/>
            </w:pPr>
            <w:r>
              <w:t xml:space="preserve">**p**</w:t>
            </w:r>
          </w:p>
        </w:tc>
        <w:tc>
          <w:tcPr/>
          <w:p>
            <w:pPr>
              <w:pStyle w:val="Compact"/>
            </w:pPr>
          </w:p>
        </w:tc>
      </w:tr>
      <w:tr>
        <w:tc>
          <w:tcPr/>
          <w:p>
            <w:pPr>
              <w:pStyle w:val="Compact"/>
              <w:jc w:val="center"/>
            </w:pPr>
            <w:r>
              <w:t xml:space="preserve">Intercept (Control, Pre-invasion)</w:t>
            </w:r>
          </w:p>
        </w:tc>
        <w:tc>
          <w:tcPr/>
          <w:p>
            <w:pPr>
              <w:pStyle w:val="Compact"/>
              <w:jc w:val="center"/>
            </w:pPr>
            <w:r>
              <w:t xml:space="preserve">4.250</w:t>
            </w:r>
          </w:p>
        </w:tc>
        <w:tc>
          <w:tcPr/>
          <w:p>
            <w:pPr>
              <w:pStyle w:val="Compact"/>
              <w:jc w:val="center"/>
            </w:pPr>
            <w:r>
              <w:t xml:space="preserve">0.457</w:t>
            </w:r>
          </w:p>
        </w:tc>
        <w:tc>
          <w:tcPr/>
          <w:p>
            <w:pPr>
              <w:pStyle w:val="Compact"/>
              <w:jc w:val="center"/>
            </w:pPr>
            <w:r>
              <w:t xml:space="preserve">9.304</w:t>
            </w:r>
          </w:p>
        </w:tc>
        <w:tc>
          <w:tcPr/>
          <w:p>
            <w:pPr>
              <w:pStyle w:val="Compact"/>
              <w:jc w:val="center"/>
            </w:pPr>
            <w:r>
              <w:t xml:space="preserve">0.0000</w:t>
            </w:r>
          </w:p>
        </w:tc>
        <w:tc>
          <w:tcPr/>
          <w:p>
            <w:pPr>
              <w:pStyle w:val="Compact"/>
              <w:jc w:val="center"/>
            </w:pPr>
            <w:r>
              <w:t xml:space="preserve">\*\*\*</w:t>
            </w:r>
          </w:p>
        </w:tc>
      </w:tr>
      <w:tr>
        <w:tc>
          <w:tcPr/>
          <w:p>
            <w:pPr>
              <w:pStyle w:val="Compact"/>
              <w:jc w:val="center"/>
            </w:pPr>
            <w:r>
              <w:t xml:space="preserve">POST (common time trend)</w:t>
            </w:r>
          </w:p>
        </w:tc>
        <w:tc>
          <w:tcPr/>
          <w:p>
            <w:pPr>
              <w:pStyle w:val="Compact"/>
              <w:jc w:val="center"/>
            </w:pPr>
            <w:r>
              <w:t xml:space="preserve">1.000</w:t>
            </w:r>
          </w:p>
        </w:tc>
        <w:tc>
          <w:tcPr/>
          <w:p>
            <w:pPr>
              <w:pStyle w:val="Compact"/>
              <w:jc w:val="center"/>
            </w:pPr>
            <w:r>
              <w:t xml:space="preserve">0.705</w:t>
            </w:r>
          </w:p>
        </w:tc>
        <w:tc>
          <w:tcPr/>
          <w:p>
            <w:pPr>
              <w:pStyle w:val="Compact"/>
              <w:jc w:val="center"/>
            </w:pPr>
            <w:r>
              <w:t xml:space="preserve">1.418</w:t>
            </w:r>
          </w:p>
        </w:tc>
        <w:tc>
          <w:tcPr/>
          <w:p>
            <w:pPr>
              <w:pStyle w:val="Compact"/>
              <w:jc w:val="center"/>
            </w:pPr>
            <w:r>
              <w:t xml:space="preserve">0.1900</w:t>
            </w:r>
          </w:p>
        </w:tc>
        <w:tc>
          <w:tcPr/>
          <w:p>
            <w:pPr>
              <w:pStyle w:val="Compact"/>
            </w:pPr>
          </w:p>
        </w:tc>
      </w:tr>
      <w:tr>
        <w:tc>
          <w:tcPr/>
          <w:p>
            <w:pPr>
              <w:pStyle w:val="Compact"/>
              <w:jc w:val="center"/>
            </w:pPr>
            <w:r>
              <w:t xml:space="preserve">TREATED (baseline group difference)</w:t>
            </w:r>
          </w:p>
        </w:tc>
        <w:tc>
          <w:tcPr/>
          <w:p>
            <w:pPr>
              <w:pStyle w:val="Compact"/>
              <w:jc w:val="center"/>
            </w:pPr>
            <w:r>
              <w:t xml:space="preserve">0.607</w:t>
            </w:r>
          </w:p>
        </w:tc>
        <w:tc>
          <w:tcPr/>
          <w:p>
            <w:pPr>
              <w:pStyle w:val="Compact"/>
              <w:jc w:val="center"/>
            </w:pPr>
            <w:r>
              <w:t xml:space="preserve">0.568</w:t>
            </w:r>
          </w:p>
        </w:tc>
        <w:tc>
          <w:tcPr/>
          <w:p>
            <w:pPr>
              <w:pStyle w:val="Compact"/>
              <w:jc w:val="center"/>
            </w:pPr>
            <w:r>
              <w:t xml:space="preserve">1.068</w:t>
            </w:r>
          </w:p>
        </w:tc>
        <w:tc>
          <w:tcPr/>
          <w:p>
            <w:pPr>
              <w:pStyle w:val="Compact"/>
              <w:jc w:val="center"/>
            </w:pPr>
            <w:r>
              <w:t xml:space="preserve">0.3133</w:t>
            </w:r>
          </w:p>
        </w:tc>
        <w:tc>
          <w:tcPr/>
          <w:p>
            <w:pPr>
              <w:pStyle w:val="Compact"/>
            </w:pPr>
          </w:p>
        </w:tc>
      </w:tr>
      <w:tr>
        <w:tc>
          <w:tcPr/>
          <w:p>
            <w:pPr>
              <w:pStyle w:val="Compact"/>
              <w:jc w:val="center"/>
            </w:pPr>
            <w:r>
              <w:t xml:space="preserve">POST × TREATED ( DiD Estimator)</w:t>
            </w:r>
          </w:p>
        </w:tc>
        <w:tc>
          <w:tcPr/>
          <w:p>
            <w:pPr>
              <w:pStyle w:val="Compact"/>
              <w:jc w:val="center"/>
            </w:pPr>
            <w:r>
              <w:t xml:space="preserve">\+2.03</w:t>
            </w:r>
          </w:p>
        </w:tc>
        <w:tc>
          <w:tcPr/>
          <w:p>
            <w:pPr>
              <w:pStyle w:val="Compact"/>
              <w:jc w:val="center"/>
            </w:pPr>
            <w:r>
              <w:t xml:space="preserve">0.750</w:t>
            </w:r>
          </w:p>
        </w:tc>
        <w:tc>
          <w:tcPr/>
          <w:p>
            <w:pPr>
              <w:pStyle w:val="Compact"/>
              <w:jc w:val="center"/>
            </w:pPr>
            <w:r>
              <w:t xml:space="preserve">2.707</w:t>
            </w:r>
          </w:p>
        </w:tc>
        <w:tc>
          <w:tcPr/>
          <w:p>
            <w:pPr>
              <w:pStyle w:val="Compact"/>
              <w:jc w:val="center"/>
            </w:pPr>
            <w:r>
              <w:t xml:space="preserve">0.0241</w:t>
            </w:r>
          </w:p>
        </w:tc>
        <w:tc>
          <w:tcPr/>
          <w:p>
            <w:pPr>
              <w:pStyle w:val="Compact"/>
              <w:jc w:val="center"/>
            </w:pPr>
            <w:r>
              <w:t xml:space="preserve">\*\*</w:t>
            </w:r>
          </w:p>
        </w:tc>
      </w:tr>
    </w:tbl>
    <w:p>
      <w:pPr>
        <w:pStyle w:val="BodyText"/>
      </w:pPr>
      <w:r>
        <w:rPr>
          <w:iCs/>
          <w:i/>
        </w:rPr>
        <w:t xml:space="preserve">R² = 0.565 | N = 79 | Companies = 10 | Standard errors clustered by company (G=10, df=9) | * p&lt;0.10 ** p&lt;0.05 *** p&lt;0.01</w:t>
      </w:r>
    </w:p>
    <w:p>
      <w:pPr>
        <w:pStyle w:val="BodyText"/>
      </w:pPr>
      <w:r>
        <w:t xml:space="preserve">Three features of the results are particularly important. First, the POST coefficient is +1.000 and insignificant (p = 0.19). While the control group did shift modestly post-invasion, this movement is not statistically distinguishable from zero, and does not undermine its role as a counterfactual. Second, the TREATED coefficient is +0.607 and insignificant (p = 0.31): before the invasion, defence-primary companies did not score meaningfully higher than commercial aerospace companies, ruling out the interpretation that the post-2022 shift simply reflects a pre-existing characteristic of the group. Third, the DiD coefficient is +2.03, significant at the 5 percent level (p = 0.0241, t = 2.707).</w:t>
      </w:r>
    </w:p>
    <w:p>
      <w:pPr>
        <w:pStyle w:val="BodyText"/>
      </w:pPr>
      <w:r>
        <w:rPr>
          <w:iCs/>
          <w:i/>
        </w:rPr>
        <w:t xml:space="preserve">Limitations of DiD</w:t>
      </w:r>
    </w:p>
    <w:p>
      <w:pPr>
        <w:pStyle w:val="BodyText"/>
      </w:pPr>
      <w:r>
        <w:t xml:space="preserve">Four limitations should be acknowledged. First, as noted above, the parallel trends assumption holds at the 10% threshold level but is borderline (p = 0.0855) and should be treated as strongly suggestive, rather than definitive proof of a causal factor. Second, Stable Unit Treatment Value Assumption (SUTVA) may be partially violated because commercial aerospace companies may have been affected in a more limited manner, post-invasion, as evidenced by the control group’s +1.00 point post-invasion shift. If this is the case, the DiD estimate is a conservative lower limit on the true treatment effect. Third, the outcome is a narrative score rather than a financial metric, measuring causal effects based on management language, rather than underlying business figures. Fourth, with ten companies, the cluster-robust inference is at the lower limit of standard recommendations, though the t-statistic of 2.707 is sufficiently robust that the significance conclusion is unlikely to be sensitive to this.</w:t>
      </w:r>
    </w:p>
    <w:bookmarkEnd w:id="40"/>
    <w:bookmarkEnd w:id="41"/>
    <w:bookmarkStart w:id="44" w:name="financial-analysis"/>
    <w:p>
      <w:pPr>
        <w:pStyle w:val="Heading2"/>
      </w:pPr>
      <w:r>
        <w:rPr>
          <w:bCs/>
          <w:b/>
        </w:rPr>
        <w:t xml:space="preserve">7.2 Financial Analysis</w:t>
      </w:r>
    </w:p>
    <w:bookmarkStart w:id="42" w:name="methodology-1"/>
    <w:p>
      <w:pPr>
        <w:pStyle w:val="Heading3"/>
      </w:pPr>
      <w:r>
        <w:rPr>
          <w:iCs/>
          <w:i/>
          <w:bCs/>
          <w:b/>
        </w:rPr>
        <w:t xml:space="preserve">7.2.1 Methodology</w:t>
      </w:r>
    </w:p>
    <w:p>
      <w:pPr>
        <w:pStyle w:val="FirstParagraph"/>
      </w:pPr>
      <w:r>
        <w:t xml:space="preserve">For each company and year (2018 to 2025), six different financial metrics have been compiled to analyse defence-related business performance pre- and post-invasion. For context, each metric and its relevance is summarised as follows:</w:t>
      </w:r>
    </w:p>
    <w:p>
      <w:pPr>
        <w:numPr>
          <w:ilvl w:val="0"/>
          <w:numId w:val="1002"/>
        </w:numPr>
        <w:pStyle w:val="Compact"/>
      </w:pPr>
      <w:r>
        <w:t xml:space="preserve">Year-over-year growth of defence sales (or revenue): measures the magnitude of year-over-year growth expressed as a percentage. This is among the most direct measures of results, but also somewhat of a lagging indicator, due to the inherent nature of multi-year contracts and corresponding revenue recognition over time.</w:t>
      </w:r>
    </w:p>
    <w:p>
      <w:pPr>
        <w:numPr>
          <w:ilvl w:val="0"/>
          <w:numId w:val="1002"/>
        </w:numPr>
        <w:pStyle w:val="Compact"/>
      </w:pPr>
      <w:r>
        <w:t xml:space="preserve">Year-over-year growth of new defence orders: measures the percentage growth in the value of new contracts. This forward-looking measure of backlog is indicative of future sales. A surge of new orders in 2022 will flow into revenue in years 2023 and beyond as orders are fulfilled.</w:t>
      </w:r>
    </w:p>
    <w:p>
      <w:pPr>
        <w:numPr>
          <w:ilvl w:val="0"/>
          <w:numId w:val="1002"/>
        </w:numPr>
        <w:pStyle w:val="Compact"/>
      </w:pPr>
      <w:r>
        <w:t xml:space="preserve">Defence revenue as a percentage of total company revenue: measures the proportion of defence sales versus total company sales. If the proportion is rising, a company is becoming more defence-focused, either because its defence business is growing faster than the rest of the business or because the company has deliberately shifted its strategy.</w:t>
      </w:r>
    </w:p>
    <w:p>
      <w:pPr>
        <w:numPr>
          <w:ilvl w:val="0"/>
          <w:numId w:val="1002"/>
        </w:numPr>
        <w:pStyle w:val="Compact"/>
      </w:pPr>
      <w:r>
        <w:t xml:space="preserve">Group profit margin: measures overall business efficiency and is a key indicator of cash flows. The analysis utilises adjusted figures in order to remove the impacts of exceptional or one-time items, such as the cost of closing a factory or writing off a failed investment. This methodology provides a more consistent picture of underlying profitability. Rising profit margins are indicative of healthy, growing companies that have the financial flexibility to make ongoing strategic investments, while also rewarding shareholders.</w:t>
      </w:r>
    </w:p>
    <w:p>
      <w:pPr>
        <w:numPr>
          <w:ilvl w:val="0"/>
          <w:numId w:val="1002"/>
        </w:numPr>
        <w:pStyle w:val="Compact"/>
      </w:pPr>
      <w:r>
        <w:t xml:space="preserve">Defence-only profit margin: where applicable, measures profit margins of the defence segments of more diversified conglomerates. This metric is most relevant to Airbus, Safran, and Rolls-Royce.</w:t>
      </w:r>
    </w:p>
    <w:p>
      <w:pPr>
        <w:numPr>
          <w:ilvl w:val="0"/>
          <w:numId w:val="1002"/>
        </w:numPr>
        <w:pStyle w:val="Compact"/>
      </w:pPr>
      <w:r>
        <w:t xml:space="preserve">Defence book-to-bill ratio: the ratio of new defence orders booked in the period to defence revenue recognised in the same period (orders ÷ revenue). A value of 1.0 indicates that incoming orders are matching what is being billed out, so the order backlog is stable; a value above 1.0 indicates the backlog is growing (orders exceed deliveries), and a value below 1.0 indicates it is shrinking. As a forward-looking measure, it is a leading indicator of future revenue.</w:t>
      </w:r>
    </w:p>
    <w:p>
      <w:pPr>
        <w:pStyle w:val="FirstParagraph"/>
      </w:pPr>
      <w:r>
        <w:t xml:space="preserve">All figures originally reported in British pounds were converted to euros using the average exchange rate for each corresponding year, in order to make consistent comparisons across companies in different countries.</w:t>
      </w:r>
    </w:p>
    <w:bookmarkEnd w:id="42"/>
    <w:bookmarkStart w:id="43" w:name="tests"/>
    <w:p>
      <w:pPr>
        <w:pStyle w:val="Heading3"/>
      </w:pPr>
      <w:r>
        <w:rPr>
          <w:bCs/>
          <w:b/>
        </w:rPr>
        <w:t xml:space="preserve">7.2.2 Tests</w:t>
      </w:r>
    </w:p>
    <w:p>
      <w:pPr>
        <w:pStyle w:val="FirstParagraph"/>
      </w:pPr>
      <w:r>
        <w:t xml:space="preserve">Three tests have been performed to analyse and verify findings: (1) a Welch test to compare metric averages pre- and post-invasion (2) a Chow test to confirm the breaking point, and (3) a panel fixed effect regression to normalise the underlying data and confirm results.</w:t>
      </w:r>
    </w:p>
    <w:p>
      <w:pPr>
        <w:pStyle w:val="BodyText"/>
      </w:pPr>
      <w:r>
        <w:t xml:space="preserve">The first test measures whether financial metrics are meaningfully different pre- and post-invasion. The test divides the data into two groups: the years 2018 to 2021 (pre-invasion) and the years 2022 to 2025 (post-invasion). For each period grouping, the average for each financial metric is calculated across all companies. The pre- and post-invasion averages are then compared to indicate significance or potential random variation.</w:t>
      </w:r>
    </w:p>
    <w:p>
      <w:pPr>
        <w:pStyle w:val="BodyText"/>
      </w:pPr>
      <w:r>
        <w:t xml:space="preserve">Two metrics produce strong and statistically significant results. First, the book-to-bill ratio rose from a pre-invasion average of 1.20 to a post-invasion average of 1.75, a difference of 0.55. There is only a 0.13% probability that this difference arose purely by coincidence. Second, the Group EBIT Adjusted Margin rose from 7.8% to 10.5%, an increase of 2.7 percentage points. This represents a 0.41% probability that this is a coincidence.</w:t>
      </w:r>
    </w:p>
    <w:p>
      <w:pPr>
        <w:pStyle w:val="BodyText"/>
      </w:pPr>
      <w:r>
        <w:rPr>
          <w:bCs/>
          <w:b/>
        </w:rPr>
        <w:t xml:space="preserve">Defence Book-to-Bill Ratio: Corpus Mean 2018-2025</w:t>
      </w:r>
      <w:r>
        <w:t xml:space="preserve">**</w:t>
      </w:r>
      <w:r>
        <w:br/>
      </w:r>
      <w:r>
        <w:t xml:space="preserve">****Welch T-Test: Pre vs. Post February 2022**</w:t>
      </w:r>
    </w:p>
    <w:p>
      <w:pPr>
        <w:pStyle w:val="BodyText"/>
      </w:pPr>
      <w:r>
        <w:rPr>
          <w:iCs/>
          <w:i/>
        </w:rPr>
        <w:t xml:space="preserve">The average Book-to-Bill Ratio across all ten companies, 2018 to 2025. The dashed line marks February 2022. A ratio above 1.0 means order books are getting larger every year.</w:t>
      </w:r>
    </w:p>
    <w:p>
      <w:pPr>
        <w:pStyle w:val="BodyText"/>
      </w:pPr>
      <w:r>
        <w:t xml:space="preserve">By contrast, defence revenue growth showed no meaningful difference between the two periods. The observed gap carries a 50.2% probability of having arisen by chance alone. This is consistent with the lagging nature of revenue recognition. Contracts signed in 2022 and 2023 are only physically delivered (and therefore recognised as revenue) over the following years. Therefore, the absence of a revenue signal at this stage is expected, not contradictory.</w:t>
      </w:r>
    </w:p>
    <w:p>
      <w:pPr>
        <w:pStyle w:val="BodyText"/>
      </w:pPr>
      <w:r>
        <w:t xml:space="preserve">While the Welch test compared static averages, it is limited in terms of testing underlying statistical trends. The Chow structural break test applies a simple regression model (a constant plus a time trend) to the pre- and post-invasion periods to determine whether the two models are statistically different from one another. If the models differ significantly, February 2022 represents a genuine structural break point, not merely a continuation of underlying trends. The restricted model pools all data and fits a single trend. The unrestricted model fits separate trends to each sub-period and leaves less unexplained variation.</w:t>
      </w:r>
    </w:p>
    <w:p>
      <w:pPr>
        <w:pStyle w:val="BodyText"/>
      </w:pPr>
      <w:r>
        <w:rPr>
          <w:iCs/>
          <w:i/>
        </w:rPr>
        <w:t xml:space="preserve">Part A: Company-by-Company Chow Test (low power, full independence)</w:t>
      </w:r>
    </w:p>
    <w:p>
      <w:pPr>
        <w:pStyle w:val="BodyText"/>
      </w:pPr>
      <w:r>
        <w:t xml:space="preserve">This methodology preserves full statistical independence. Each company’s data is its own separate test with no observations shared between companies. It represents the cleanest version of the test from an inferential standpoint. However, the power of this test may be limited. With roughly four years of data for each period, each test has only eight observations and must estimate four parameters (an intercept and a slope for each sub-period), leaving just four degrees of freedom in the denominator. The F-statistic must exceed approximately 6.94 to reach the conventional 5% confidence significance threshold (roughly twice the applicable bar of a test utilising hundreds of observations). Given the limited sample size, the test may fail to detect a genuine break because the data is too sparse.</w:t>
      </w:r>
    </w:p>
    <w:p>
      <w:pPr>
        <w:pStyle w:val="BodyText"/>
      </w:pPr>
      <w:r>
        <w:t xml:space="preserve">Despite this concern, three metrics produce results that clear the 5% threshold: BAE Systems’ book-to-bill ratio, Thales’ book-to-bill ratio, and Rolls-Royce’s defence revenue share. An additional five company-metric combinations are marginally significant at the 10% level, including Airbus, Dassault Aviation, and Leonardo in their book-to-bill ratios. The remaining non-significant results should be interpreted as inconclusive rather than as evidence against a break. All detailed results can be found in Appendix A.</w:t>
      </w:r>
    </w:p>
    <w:tbl>
      <w:tblPr>
        <w:tblStyle w:val="Table"/>
        <w:tblW w:type="pct" w:w="5000"/>
        <w:tblLook w:firstRow="0" w:lastRow="0" w:firstColumn="0" w:lastColumn="0" w:noHBand="0" w:noVBand="0" w:val="0000"/>
        <w:jc w:val="start"/>
      </w:tblPr>
      <w:tblGrid>
        <w:gridCol w:w="1131"/>
        <w:gridCol w:w="1131"/>
        <w:gridCol w:w="1131"/>
        <w:gridCol w:w="1131"/>
        <w:gridCol w:w="1131"/>
        <w:gridCol w:w="1131"/>
        <w:gridCol w:w="1131"/>
      </w:tblGrid>
      <w:tr>
        <w:tc>
          <w:tcPr/>
          <w:p>
            <w:pPr>
              <w:pStyle w:val="Compact"/>
              <w:jc w:val="center"/>
            </w:pPr>
            <w:r>
              <w:t xml:space="preserve">**Company**</w:t>
            </w:r>
          </w:p>
        </w:tc>
        <w:tc>
          <w:tcPr/>
          <w:p>
            <w:pPr>
              <w:pStyle w:val="Compact"/>
              <w:jc w:val="center"/>
            </w:pPr>
            <w:r>
              <w:t xml:space="preserve">**Metric**</w:t>
            </w:r>
          </w:p>
        </w:tc>
        <w:tc>
          <w:tcPr/>
          <w:p>
            <w:pPr>
              <w:pStyle w:val="Compact"/>
              <w:jc w:val="center"/>
            </w:pPr>
            <w:r>
              <w:t xml:space="preserve">**N pre**</w:t>
            </w:r>
          </w:p>
        </w:tc>
        <w:tc>
          <w:tcPr/>
          <w:p>
            <w:pPr>
              <w:pStyle w:val="Compact"/>
              <w:jc w:val="center"/>
            </w:pPr>
            <w:r>
              <w:t xml:space="preserve">**N post**</w:t>
            </w:r>
          </w:p>
        </w:tc>
        <w:tc>
          <w:tcPr/>
          <w:p>
            <w:pPr>
              <w:pStyle w:val="Compact"/>
              <w:jc w:val="center"/>
            </w:pPr>
            <w:r>
              <w:t xml:space="preserve">**F stat**</w:t>
            </w:r>
          </w:p>
        </w:tc>
        <w:tc>
          <w:tcPr/>
          <w:p>
            <w:pPr>
              <w:pStyle w:val="Compact"/>
              <w:jc w:val="center"/>
            </w:pPr>
            <w:r>
              <w:t xml:space="preserve">**p value**</w:t>
            </w:r>
          </w:p>
        </w:tc>
        <w:tc>
          <w:tcPr/>
          <w:p>
            <w:pPr>
              <w:pStyle w:val="Compact"/>
              <w:jc w:val="center"/>
            </w:pPr>
            <w:r>
              <w:t xml:space="preserve">**Sig.**</w:t>
            </w:r>
          </w:p>
        </w:tc>
      </w:tr>
      <w:tr>
        <w:tc>
          <w:tcPr/>
          <w:p>
            <w:pPr>
              <w:pStyle w:val="Compact"/>
              <w:jc w:val="center"/>
            </w:pPr>
            <w:r>
              <w:t xml:space="preserve">Airbus</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5.729</w:t>
            </w:r>
          </w:p>
        </w:tc>
        <w:tc>
          <w:tcPr/>
          <w:p>
            <w:pPr>
              <w:pStyle w:val="Compact"/>
              <w:jc w:val="center"/>
            </w:pPr>
            <w:r>
              <w:t xml:space="preserve">0.067</w:t>
            </w:r>
          </w:p>
        </w:tc>
        <w:tc>
          <w:tcPr/>
          <w:p>
            <w:pPr>
              <w:pStyle w:val="Compact"/>
              <w:jc w:val="center"/>
            </w:pPr>
            <w:r>
              <w:t xml:space="preserve">\*</w:t>
            </w:r>
          </w:p>
        </w:tc>
      </w:tr>
      <w:tr>
        <w:tc>
          <w:tcPr/>
          <w:p>
            <w:pPr>
              <w:pStyle w:val="Compact"/>
              <w:jc w:val="center"/>
            </w:pPr>
            <w:r>
              <w:t xml:space="preserve">BAE Systems</w:t>
            </w:r>
          </w:p>
        </w:tc>
        <w:tc>
          <w:tcPr/>
          <w:p>
            <w:pPr>
              <w:pStyle w:val="Compact"/>
              <w:jc w:val="center"/>
            </w:pPr>
            <w:r>
              <w:t xml:space="preserve">Group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6.465</w:t>
            </w:r>
          </w:p>
        </w:tc>
        <w:tc>
          <w:tcPr/>
          <w:p>
            <w:pPr>
              <w:pStyle w:val="Compact"/>
              <w:jc w:val="center"/>
            </w:pPr>
            <w:r>
              <w:t xml:space="preserve">0.0558</w:t>
            </w:r>
          </w:p>
        </w:tc>
        <w:tc>
          <w:tcPr/>
          <w:p>
            <w:pPr>
              <w:pStyle w:val="Compact"/>
              <w:jc w:val="center"/>
            </w:pPr>
            <w:r>
              <w:t xml:space="preserve">\*</w:t>
            </w:r>
          </w:p>
        </w:tc>
      </w:tr>
      <w:tr>
        <w:tc>
          <w:tcPr/>
          <w:p>
            <w:pPr>
              <w:pStyle w:val="Compact"/>
              <w:jc w:val="center"/>
            </w:pPr>
            <w:r>
              <w:t xml:space="preserve">BAE Systems</w:t>
            </w:r>
          </w:p>
        </w:tc>
        <w:tc>
          <w:tcPr/>
          <w:p>
            <w:pPr>
              <w:pStyle w:val="Compact"/>
              <w:jc w:val="center"/>
            </w:pPr>
            <w:r>
              <w:t xml:space="preserve">Def.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6.465</w:t>
            </w:r>
          </w:p>
        </w:tc>
        <w:tc>
          <w:tcPr/>
          <w:p>
            <w:pPr>
              <w:pStyle w:val="Compact"/>
              <w:jc w:val="center"/>
            </w:pPr>
            <w:r>
              <w:t xml:space="preserve">0.0558</w:t>
            </w:r>
          </w:p>
        </w:tc>
        <w:tc>
          <w:tcPr/>
          <w:p>
            <w:pPr>
              <w:pStyle w:val="Compact"/>
              <w:jc w:val="center"/>
            </w:pPr>
            <w:r>
              <w:t xml:space="preserve">\*</w:t>
            </w:r>
          </w:p>
        </w:tc>
      </w:tr>
      <w:tr>
        <w:tc>
          <w:tcPr/>
          <w:p>
            <w:pPr>
              <w:pStyle w:val="Compact"/>
              <w:jc w:val="center"/>
            </w:pPr>
            <w:r>
              <w:t xml:space="preserve">BAE Systems</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18.447</w:t>
            </w:r>
          </w:p>
        </w:tc>
        <w:tc>
          <w:tcPr/>
          <w:p>
            <w:pPr>
              <w:pStyle w:val="Compact"/>
              <w:jc w:val="center"/>
            </w:pPr>
            <w:r>
              <w:t xml:space="preserve">0.0096</w:t>
            </w:r>
          </w:p>
        </w:tc>
        <w:tc>
          <w:tcPr/>
          <w:p>
            <w:pPr>
              <w:pStyle w:val="Compact"/>
              <w:jc w:val="center"/>
            </w:pPr>
            <w:r>
              <w:t xml:space="preserve">\*\*\*</w:t>
            </w:r>
          </w:p>
        </w:tc>
      </w:tr>
      <w:tr>
        <w:tc>
          <w:tcPr/>
          <w:p>
            <w:pPr>
              <w:pStyle w:val="Compact"/>
              <w:jc w:val="center"/>
            </w:pPr>
            <w:r>
              <w:t xml:space="preserve">Dassault Aviation</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5.994</w:t>
            </w:r>
          </w:p>
        </w:tc>
        <w:tc>
          <w:tcPr/>
          <w:p>
            <w:pPr>
              <w:pStyle w:val="Compact"/>
              <w:jc w:val="center"/>
            </w:pPr>
            <w:r>
              <w:t xml:space="preserve">0.0626</w:t>
            </w:r>
          </w:p>
        </w:tc>
        <w:tc>
          <w:tcPr/>
          <w:p>
            <w:pPr>
              <w:pStyle w:val="Compact"/>
              <w:jc w:val="center"/>
            </w:pPr>
            <w:r>
              <w:t xml:space="preserve">\*</w:t>
            </w:r>
          </w:p>
        </w:tc>
      </w:tr>
      <w:tr>
        <w:tc>
          <w:tcPr/>
          <w:p>
            <w:pPr>
              <w:pStyle w:val="Compact"/>
              <w:jc w:val="center"/>
            </w:pPr>
            <w:r>
              <w:t xml:space="preserve">Leonardo</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5.839</w:t>
            </w:r>
          </w:p>
        </w:tc>
        <w:tc>
          <w:tcPr/>
          <w:p>
            <w:pPr>
              <w:pStyle w:val="Compact"/>
              <w:jc w:val="center"/>
            </w:pPr>
            <w:r>
              <w:t xml:space="preserve">0.0651</w:t>
            </w:r>
          </w:p>
        </w:tc>
        <w:tc>
          <w:tcPr/>
          <w:p>
            <w:pPr>
              <w:pStyle w:val="Compact"/>
              <w:jc w:val="center"/>
            </w:pPr>
            <w:r>
              <w:t xml:space="preserve">\*</w:t>
            </w:r>
          </w:p>
        </w:tc>
      </w:tr>
      <w:tr>
        <w:tc>
          <w:tcPr/>
          <w:p>
            <w:pPr>
              <w:pStyle w:val="Compact"/>
              <w:jc w:val="center"/>
            </w:pPr>
            <w:r>
              <w:t xml:space="preserve">Rolls-Royce</w:t>
            </w:r>
          </w:p>
        </w:tc>
        <w:tc>
          <w:tcPr/>
          <w:p>
            <w:pPr>
              <w:pStyle w:val="Compact"/>
              <w:jc w:val="center"/>
            </w:pPr>
            <w:r>
              <w:t xml:space="preserve">Def. Revenue Share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16.978</w:t>
            </w:r>
          </w:p>
        </w:tc>
        <w:tc>
          <w:tcPr/>
          <w:p>
            <w:pPr>
              <w:pStyle w:val="Compact"/>
              <w:jc w:val="center"/>
            </w:pPr>
            <w:r>
              <w:t xml:space="preserve">0.0111</w:t>
            </w:r>
          </w:p>
        </w:tc>
        <w:tc>
          <w:tcPr/>
          <w:p>
            <w:pPr>
              <w:pStyle w:val="Compact"/>
              <w:jc w:val="center"/>
            </w:pPr>
            <w:r>
              <w:t xml:space="preserve">\*\*</w:t>
            </w:r>
          </w:p>
        </w:tc>
      </w:tr>
      <w:tr>
        <w:tc>
          <w:tcPr/>
          <w:p>
            <w:pPr>
              <w:pStyle w:val="Compact"/>
              <w:jc w:val="center"/>
            </w:pPr>
            <w:r>
              <w:t xml:space="preserve">Thales</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162.64</w:t>
            </w:r>
          </w:p>
        </w:tc>
        <w:tc>
          <w:tcPr/>
          <w:p>
            <w:pPr>
              <w:pStyle w:val="Compact"/>
              <w:jc w:val="center"/>
            </w:pPr>
            <w:r>
              <w:t xml:space="preserve">0.0001</w:t>
            </w:r>
          </w:p>
        </w:tc>
        <w:tc>
          <w:tcPr/>
          <w:p>
            <w:pPr>
              <w:pStyle w:val="Compact"/>
              <w:jc w:val="center"/>
            </w:pPr>
            <w:r>
              <w:t xml:space="preserve">\*\*\*</w:t>
            </w:r>
          </w:p>
        </w:tc>
      </w:tr>
    </w:tbl>
    <w:p>
      <w:pPr>
        <w:pStyle w:val="BodyText"/>
      </w:pPr>
      <w:r>
        <w:t xml:space="preserve">​​</w:t>
      </w:r>
      <w:r>
        <w:rPr>
          <w:iCs/>
          <w:i/>
        </w:rPr>
        <w:t xml:space="preserve">* p&lt;0.10 ** p&lt;0.05 *** p&lt;0.01 | Significant (p&lt;0.05): 3 of 58 testable pairs | Power caveat: F-critical(2.4) at 5% ≈ 6.94 with only ~4+4 observations..</w:t>
      </w:r>
    </w:p>
    <w:p>
      <w:pPr>
        <w:pStyle w:val="BodyText"/>
      </w:pPr>
      <w:r>
        <w:rPr>
          <w:iCs/>
          <w:i/>
        </w:rPr>
        <w:t xml:space="preserve">Part B: Pooled Chow Test (increase in power, but observations not independent)</w:t>
      </w:r>
    </w:p>
    <w:p>
      <w:pPr>
        <w:pStyle w:val="BodyText"/>
      </w:pPr>
      <w:r>
        <w:t xml:space="preserve">Pooling all ten companies into a single test solves a substantial proportion of the power deficiency. With 30 to 40 pre-invasion observations and 30 to 37 post-invasion observations per metric, the F-critical threshold falls from 6.94 to a much lower bar of 3.16. Entity demeaning is applied before pooling (subtracting each company’s independent time-series average) to place the test focus on intra-company changes over time, rather than differences between companies. As an illustration, Rheinmetall will nearly always have a higher book-to-bill ratio than Rolls-Royce for company-specific reasons; demeaning removes the impact of this gap before determining changes in trend.</w:t>
      </w:r>
    </w:p>
    <w:p>
      <w:pPr>
        <w:pStyle w:val="BodyText"/>
      </w:pPr>
      <w:r>
        <w:t xml:space="preserve">The potential limiting factor for pooling is a loss of independence, where consecutive years for the same company are not treated as independent observations. For example, BAE Systems in 2023 carries forward its contracts, workforce and backlog from 2022. Pooling treats these correlated intra-company observations as if they were independent, which makes the effective sample size smaller than the raw observation count implies. The p-values from the pooled test are, therefore, somewhat inflated and should be interpreted as a lower bound on the true p-value rather than a precise probability. The analysis does not attempt to formally correct for this; instead, the analysis treats the pooled test as corroborating evidence that complements the Welch test and the Panel Fixed-Effects regression.</w:t>
      </w:r>
    </w:p>
    <w:p>
      <w:pPr>
        <w:pStyle w:val="BodyText"/>
      </w:pPr>
      <w:r>
        <w:t xml:space="preserve">Two of the six metrics confirm a structural break at the 5% significance level: Defence Revenue Share and Group EBIT Adjusted Margin. A third metric, Defence EBIT Adjusted Margin, produces a marginal result at the 10% threshold. However, because pooled observations within the same company are correlated, the p-values are best treated as approximate lower bounds rather than exact probabilities.</w:t>
      </w:r>
    </w:p>
    <w:tbl>
      <w:tblPr>
        <w:tblStyle w:val="Table"/>
        <w:tblW w:type="pct" w:w="5000"/>
        <w:tblLook w:firstRow="0" w:lastRow="0" w:firstColumn="0" w:lastColumn="0" w:noHBand="0" w:noVBand="0" w:val="0000"/>
        <w:jc w:val="start"/>
      </w:tblPr>
      <w:tblGrid>
        <w:gridCol w:w="1320"/>
        <w:gridCol w:w="1320"/>
        <w:gridCol w:w="1320"/>
        <w:gridCol w:w="1320"/>
        <w:gridCol w:w="1320"/>
        <w:gridCol w:w="1320"/>
      </w:tblGrid>
      <w:tr>
        <w:tc>
          <w:tcPr/>
          <w:p>
            <w:pPr>
              <w:pStyle w:val="Compact"/>
              <w:jc w:val="center"/>
            </w:pPr>
            <w:r>
              <w:t xml:space="preserve">**Metric**</w:t>
            </w:r>
          </w:p>
        </w:tc>
        <w:tc>
          <w:tcPr/>
          <w:p>
            <w:pPr>
              <w:pStyle w:val="Compact"/>
              <w:jc w:val="center"/>
            </w:pPr>
            <w:r>
              <w:t xml:space="preserve">**N pre**</w:t>
            </w:r>
          </w:p>
        </w:tc>
        <w:tc>
          <w:tcPr/>
          <w:p>
            <w:pPr>
              <w:pStyle w:val="Compact"/>
              <w:jc w:val="center"/>
            </w:pPr>
            <w:r>
              <w:t xml:space="preserve">**N post**</w:t>
            </w:r>
          </w:p>
        </w:tc>
        <w:tc>
          <w:tcPr/>
          <w:p>
            <w:pPr>
              <w:pStyle w:val="Compact"/>
              <w:jc w:val="center"/>
            </w:pPr>
            <w:r>
              <w:t xml:space="preserve">**F stat**</w:t>
            </w:r>
          </w:p>
        </w:tc>
        <w:tc>
          <w:tcPr/>
          <w:p>
            <w:pPr>
              <w:pStyle w:val="Compact"/>
              <w:jc w:val="center"/>
            </w:pPr>
            <w:r>
              <w:t xml:space="preserve">**p value**</w:t>
            </w:r>
          </w:p>
        </w:tc>
        <w:tc>
          <w:tcPr/>
          <w:p>
            <w:pPr>
              <w:pStyle w:val="Compact"/>
              <w:jc w:val="center"/>
            </w:pPr>
            <w:r>
              <w:t xml:space="preserve">**Sig.**</w:t>
            </w:r>
          </w:p>
        </w:tc>
      </w:tr>
      <w:tr>
        <w:tc>
          <w:tcPr/>
          <w:p>
            <w:pPr>
              <w:pStyle w:val="Compact"/>
              <w:jc w:val="center"/>
            </w:pPr>
            <w:r>
              <w:t xml:space="preserve">Def. Revenue Share (%)</w:t>
            </w:r>
          </w:p>
        </w:tc>
        <w:tc>
          <w:tcPr/>
          <w:p>
            <w:pPr>
              <w:pStyle w:val="Compact"/>
              <w:jc w:val="center"/>
            </w:pPr>
            <w:r>
              <w:t xml:space="preserve">40</w:t>
            </w:r>
          </w:p>
        </w:tc>
        <w:tc>
          <w:tcPr/>
          <w:p>
            <w:pPr>
              <w:pStyle w:val="Compact"/>
              <w:jc w:val="center"/>
            </w:pPr>
            <w:r>
              <w:t xml:space="preserve">39</w:t>
            </w:r>
          </w:p>
        </w:tc>
        <w:tc>
          <w:tcPr/>
          <w:p>
            <w:pPr>
              <w:pStyle w:val="Compact"/>
              <w:jc w:val="center"/>
            </w:pPr>
            <w:r>
              <w:t xml:space="preserve">4.877</w:t>
            </w:r>
          </w:p>
        </w:tc>
        <w:tc>
          <w:tcPr/>
          <w:p>
            <w:pPr>
              <w:pStyle w:val="Compact"/>
              <w:jc w:val="center"/>
            </w:pPr>
            <w:r>
              <w:t xml:space="preserve">0.0102</w:t>
            </w:r>
          </w:p>
        </w:tc>
        <w:tc>
          <w:tcPr/>
          <w:p>
            <w:pPr>
              <w:pStyle w:val="Compact"/>
              <w:jc w:val="center"/>
            </w:pPr>
            <w:r>
              <w:t xml:space="preserve">\*\*</w:t>
            </w:r>
          </w:p>
        </w:tc>
      </w:tr>
      <w:tr>
        <w:tc>
          <w:tcPr/>
          <w:p>
            <w:pPr>
              <w:pStyle w:val="Compact"/>
              <w:jc w:val="center"/>
            </w:pPr>
            <w:r>
              <w:t xml:space="preserve">Group EBIT Adj Margin (%)</w:t>
            </w:r>
          </w:p>
        </w:tc>
        <w:tc>
          <w:tcPr/>
          <w:p>
            <w:pPr>
              <w:pStyle w:val="Compact"/>
              <w:jc w:val="center"/>
            </w:pPr>
            <w:r>
              <w:t xml:space="preserve">40</w:t>
            </w:r>
          </w:p>
        </w:tc>
        <w:tc>
          <w:tcPr/>
          <w:p>
            <w:pPr>
              <w:pStyle w:val="Compact"/>
              <w:jc w:val="center"/>
            </w:pPr>
            <w:r>
              <w:t xml:space="preserve">39</w:t>
            </w:r>
          </w:p>
        </w:tc>
        <w:tc>
          <w:tcPr/>
          <w:p>
            <w:pPr>
              <w:pStyle w:val="Compact"/>
              <w:jc w:val="center"/>
            </w:pPr>
            <w:r>
              <w:t xml:space="preserve">4.859</w:t>
            </w:r>
          </w:p>
        </w:tc>
        <w:tc>
          <w:tcPr/>
          <w:p>
            <w:pPr>
              <w:pStyle w:val="Compact"/>
              <w:jc w:val="center"/>
            </w:pPr>
            <w:r>
              <w:t xml:space="preserve">0.0104</w:t>
            </w:r>
          </w:p>
        </w:tc>
        <w:tc>
          <w:tcPr/>
          <w:p>
            <w:pPr>
              <w:pStyle w:val="Compact"/>
              <w:jc w:val="center"/>
            </w:pPr>
            <w:r>
              <w:t xml:space="preserve">\*\*</w:t>
            </w:r>
          </w:p>
        </w:tc>
      </w:tr>
      <w:tr>
        <w:tc>
          <w:tcPr/>
          <w:p>
            <w:pPr>
              <w:pStyle w:val="Compact"/>
              <w:jc w:val="center"/>
            </w:pPr>
            <w:r>
              <w:t xml:space="preserve">Def. EBIT Adj Margin (%)</w:t>
            </w:r>
          </w:p>
        </w:tc>
        <w:tc>
          <w:tcPr/>
          <w:p>
            <w:pPr>
              <w:pStyle w:val="Compact"/>
              <w:jc w:val="center"/>
            </w:pPr>
            <w:r>
              <w:t xml:space="preserve">40</w:t>
            </w:r>
          </w:p>
        </w:tc>
        <w:tc>
          <w:tcPr/>
          <w:p>
            <w:pPr>
              <w:pStyle w:val="Compact"/>
              <w:jc w:val="center"/>
            </w:pPr>
            <w:r>
              <w:t xml:space="preserve">38</w:t>
            </w:r>
          </w:p>
        </w:tc>
        <w:tc>
          <w:tcPr/>
          <w:p>
            <w:pPr>
              <w:pStyle w:val="Compact"/>
              <w:jc w:val="center"/>
            </w:pPr>
            <w:r>
              <w:t xml:space="preserve">2.495</w:t>
            </w:r>
          </w:p>
        </w:tc>
        <w:tc>
          <w:tcPr/>
          <w:p>
            <w:pPr>
              <w:pStyle w:val="Compact"/>
              <w:jc w:val="center"/>
            </w:pPr>
            <w:r>
              <w:t xml:space="preserve">0.0894</w:t>
            </w:r>
          </w:p>
        </w:tc>
        <w:tc>
          <w:tcPr/>
          <w:p>
            <w:pPr>
              <w:pStyle w:val="Compact"/>
              <w:jc w:val="center"/>
            </w:pPr>
            <w:r>
              <w:t xml:space="preserve">\*</w:t>
            </w:r>
          </w:p>
        </w:tc>
      </w:tr>
    </w:tbl>
    <w:p>
      <w:pPr>
        <w:pStyle w:val="BodyText"/>
      </w:pPr>
      <w:r>
        <w:rPr>
          <w:iCs/>
          <w:i/>
        </w:rPr>
        <w:t xml:space="preserve">* p&lt;0.10 ** p&lt;0.05 *** p&lt;0.01 | F-critical(2,~65) at 5% ≈ 3.14</w:t>
      </w:r>
    </w:p>
    <w:p>
      <w:pPr>
        <w:pStyle w:val="BodyText"/>
      </w:pPr>
      <w:r>
        <w:t xml:space="preserve">The core construct of the regression is to independently analyse each company against its own historical performance, rather than against other companies within the sample. This provides incremental insight due to the inherent differences between companies. An example of the test’s importance is demonstrated by Rheinmetall consistently having a higher order ratio than Thales. This is due to Rheinmetall exclusively producing weapons, whereas Thales produces a mix of defence electronics and commercial products. Based on a comparison of the whole group pre- and post-invasion, Rheinmetall’s already-high figures incrementally increase the post-invasion group average in a potentially misleading way. The regression removes these types of distortions to identify intra-company improvements across all ten companies and find the common signal in a resultant number, termed a coefficient. A significant positive coefficient indicates that improvements happened consistently across companies and cannot be explained by pre-existing differences between companies.</w:t>
      </w:r>
    </w:p>
    <w:p>
      <w:pPr>
        <w:pStyle w:val="BodyText"/>
      </w:pPr>
      <w:r>
        <w:t xml:space="preserve">Additionally, by including a time trend control in the model, the test eliminates any gradual improvements that may have been underway pre-invasion. The remaining variation will be attributable to the post-invasion period.</w:t>
      </w:r>
    </w:p>
    <w:p>
      <w:pPr>
        <w:pStyle w:val="BodyText"/>
      </w:pPr>
      <w:r>
        <w:t xml:space="preserve">The model estimated is: Yit = αi + β₁·POST + β₂·TREND + εit, where αi absorbs all permanent company-level differences, β₁ captures the level shift attributable to the post-invasion period, and β₂ removes any pre-existing trend. Standard errors use the HC3 heteroskedasticity-robust adjustment, which reduces the precision of estimates when individual company-years behave like outliers. This is a deliberate choice given Rheinmetall’s extreme post-invasion figures.</w:t>
      </w:r>
    </w:p>
    <w:p>
      <w:pPr>
        <w:pStyle w:val="BodyText"/>
      </w:pPr>
      <w:r>
        <w:t xml:space="preserve">After controlling for all company differences and any pre-existing trends, Group EBIT Adjusted Margin increased by an average of 2.69 percentage points in the post-invasion period (β₁ = +2.69, SE = 1.27, p = 0.037). The model explains 15% of within-company variation in EBIT margin, which is a reasonable fit for a parsimonious two-variable specification applied to panel data of this size. This 2.69 percentage point figure is the single most credible number in the entire quantitative analysis: it holds under the strictest methodological conditions and cannot be attributed to pre-existing profitability trends or structural differences between companies.</w:t>
      </w:r>
    </w:p>
    <w:p>
      <w:pPr>
        <w:pStyle w:val="BodyText"/>
      </w:pPr>
      <w:r>
        <w:t xml:space="preserve">The remaining five metrics do not reach statistical significance once fixed effects and trends are controlled for, so the data should be carefully interpreted. The panel estimator, which isolates variation within each company’s time series, requires sufficient post-invasion observation of each company to detect a signal. With only three to four post-invasion data points per company currently available, the test cannot confirm results in metrics that are inherently volatile. The book-to-bill ratio illustrates this and shows that the panel coefficient is positive (β₁ = +0.318) and directionally consistent with the strong results from Tests 1 and 2, but the standard error is large enough that significance cannot yet be established. Until additional data becomes available in 2026 and 2027, this should be interpreted as inconclusive rather than as evidence against a structural shift.</w:t>
      </w:r>
    </w:p>
    <w:p>
      <w:pPr>
        <w:pStyle w:val="BodyText"/>
      </w:pPr>
      <w:r>
        <w:t xml:space="preserve">Clearly, the aggregated evidence from the panel regression is consistent with earlier tests. The most robust testament to a post-invasion improvement–one confirmed under demanding conditions–is profitability. The order book signals from Tests 1 and 2 remain valid at the corpus level. These cannot yet be confirmed at a within-company level, however, because of data constraints, but this does not reflect an absence of effect.</w:t>
      </w:r>
    </w:p>
    <w:bookmarkEnd w:id="43"/>
    <w:bookmarkEnd w:id="44"/>
    <w:bookmarkEnd w:id="45"/>
    <w:bookmarkStart w:id="50" w:name="X895769d9a15bd3c2fbd36a03ee47a3b73e5a5d1"/>
    <w:p>
      <w:pPr>
        <w:pStyle w:val="Heading1"/>
      </w:pPr>
      <w:r>
        <w:rPr>
          <w:bCs/>
          <w:b/>
        </w:rPr>
        <w:t xml:space="preserve">8. Contextualisation of Mixed Methods vis-à-vis the Theoretical Framework and Results</w:t>
      </w:r>
    </w:p>
    <w:p>
      <w:pPr>
        <w:pStyle w:val="FirstParagraph"/>
      </w:pPr>
      <w:r>
        <w:t xml:space="preserve">To refresh, the mixed-methodology consists of the following four tests of the overarching research, including one semantic test and three quantitative tests:</w:t>
      </w:r>
    </w:p>
    <w:p>
      <w:pPr>
        <w:numPr>
          <w:ilvl w:val="0"/>
          <w:numId w:val="1003"/>
        </w:numPr>
        <w:pStyle w:val="Compact"/>
      </w:pPr>
      <w:r>
        <w:t xml:space="preserve">Semantic: strongly indicates a structural shift, which was further confirmed by a Cohen Kappa’s assessment and a DiD analysis</w:t>
      </w:r>
    </w:p>
    <w:p>
      <w:pPr>
        <w:numPr>
          <w:ilvl w:val="0"/>
          <w:numId w:val="1003"/>
        </w:numPr>
        <w:pStyle w:val="Compact"/>
      </w:pPr>
      <w:r>
        <w:t xml:space="preserve">Quantitative (Welch, Chow, and Panel Fixed-Effects Regression): all indicate structural shifts to varying degrees</w:t>
      </w:r>
    </w:p>
    <w:p>
      <w:pPr>
        <w:pStyle w:val="FirstParagraph"/>
      </w:pPr>
      <w:r>
        <w:t xml:space="preserve">The findings throughout this analysis complement and confirm one another. The semantic models demonstrate sharp contrasts between managerial language pre- and post-invasion, while providing insight into a significantly more bullish future. The three separate financial tests (analyses) capture the hard data supporting and confirming the managerial language. The collective interlocking threads are highly indicative of the structural shift.</w:t>
      </w:r>
    </w:p>
    <w:bookmarkStart w:id="46" w:name="key-signalling-links-between-analyses"/>
    <w:p>
      <w:pPr>
        <w:pStyle w:val="Heading2"/>
      </w:pPr>
      <w:r>
        <w:rPr>
          <w:bCs/>
          <w:b/>
        </w:rPr>
        <w:t xml:space="preserve">8.1 Key Signalling Links Between Analyses</w:t>
      </w:r>
    </w:p>
    <w:p>
      <w:pPr>
        <w:pStyle w:val="FirstParagraph"/>
      </w:pPr>
      <w:r>
        <w:t xml:space="preserve">As noted above, signalling theory dictates that markets and governments will provide indications of demand prior to companies investing significant amounts of capital. Capital will then be committed as these demand signals come to fruition through actual orders and sales. Both the semantic and financial analyses support the signalling sequence.</w:t>
      </w:r>
    </w:p>
    <w:p>
      <w:pPr>
        <w:pStyle w:val="BodyText"/>
      </w:pPr>
      <w:r>
        <w:t xml:space="preserve">In the semantic analysis, the mean score increases substantially between 2021 and 2022 (from 4.4 to 6.2). Additionally, the score continues accelerating to 8.1 by 2025. Similarly, the mean structural score rose from 4.7 out of 10 in the pre-invasion period to 7.1 out of 10 in the post-invasion period. This represents an increase of around 51 percent. The strength and magnitude of these scores are highly suggestive of a structural shift. The corollary to these semantic scores is best demonstrated by the book-to-bill ratio in the Welch test. As the most forward-looking financial metric, the book-to-bill ratio increased from 1.20 pre-invasion to 1.75 post-invasion and accelerated to 2.02 by 2025. The Chow test provides further compelling support for both findings. The results in Table 2 confirm a structural break (i.e., a shift in trend) between 2021 and 2022 in eight of the sixty company-metric cells: three at the 5% level and five marginally significant at the 10% level. These cover six of the ten firms (Airbus, BAE Systems, Dassault Aviation, Leonardo, Rolls-Royce, and Thales).</w:t>
      </w:r>
    </w:p>
    <w:p>
      <w:pPr>
        <w:pStyle w:val="BodyText"/>
      </w:pPr>
      <w:r>
        <w:t xml:space="preserve">The market signals translate into meaningfully significant results for defence companies, which are deepening their capital investments to fulfil growing demand. The breadth and depth of the managerial language, confirmed by the financial results, creates a cycle of the longer-term demand characteristics confirmed by the semantic and financial tests.</w:t>
      </w:r>
    </w:p>
    <w:bookmarkEnd w:id="46"/>
    <w:bookmarkStart w:id="47" w:name="pre--and-post-invasion-framing"/>
    <w:p>
      <w:pPr>
        <w:pStyle w:val="Heading2"/>
      </w:pPr>
      <w:r>
        <w:rPr>
          <w:bCs/>
          <w:b/>
        </w:rPr>
        <w:t xml:space="preserve">8.2 Pre- and Post-Invasion Framing</w:t>
      </w:r>
    </w:p>
    <w:p>
      <w:pPr>
        <w:pStyle w:val="FirstParagraph"/>
      </w:pPr>
      <w:r>
        <w:t xml:space="preserve">Framing theory suggests how the market views of various industries and sectors impact various operating and valuation dynamics. Prior to 2022, defence-related companies were out-of-favour with many institutional investors for two related reasons: the ethical challenges associated with investing in the sector (the</w:t>
      </w:r>
      <w:r>
        <w:t xml:space="preserve"> </w:t>
      </w:r>
      <w:r>
        <w:t xml:space="preserve">“</w:t>
      </w:r>
      <w:r>
        <w:t xml:space="preserve">sin stock</w:t>
      </w:r>
      <w:r>
        <w:t xml:space="preserve">”</w:t>
      </w:r>
      <w:r>
        <w:t xml:space="preserve"> </w:t>
      </w:r>
      <w:r>
        <w:t xml:space="preserve">framing studied by Hong &amp; Kacperczyk, 2009) and inconsistent demand that was primarily dependent on shorter-term government procurement cycles. This was collectively indicative of a highly cyclical landscape.</w:t>
      </w:r>
    </w:p>
    <w:p>
      <w:pPr>
        <w:pStyle w:val="BodyText"/>
      </w:pPr>
      <w:r>
        <w:t xml:space="preserve">The evidence for the re-framing of the defence industry is highlighted throughout the analyses. The shift in tone within the semantic analysis is dramatic. Moderate-to-strongly</w:t>
      </w:r>
      <w:r>
        <w:t xml:space="preserve"> </w:t>
      </w:r>
      <w:r>
        <w:t xml:space="preserve">“</w:t>
      </w:r>
      <w:r>
        <w:t xml:space="preserve">bullish</w:t>
      </w:r>
      <w:r>
        <w:t xml:space="preserve">”</w:t>
      </w:r>
      <w:r>
        <w:t xml:space="preserve"> </w:t>
      </w:r>
      <w:r>
        <w:t xml:space="preserve">language categorisations in the pre-invasion period represented approximately 30% of the sample. In the post-invasion period, the equivalent bullish language is nearly 92%,, a definitive shift.</w:t>
      </w:r>
    </w:p>
    <w:p>
      <w:pPr>
        <w:pStyle w:val="BodyText"/>
      </w:pPr>
      <w:r>
        <w:t xml:space="preserve">The semantic findings are, again, supported by the underlying financial metrics and tests. The most supportive findings include the aforementioned book-to-bill (Welch and Chow tests) as well as group EBIT margin across all tests (Welch, Chow, and Panel Fixed-Effects Regression). These are critical in understanding the structural implications for these defence companies because the figures are indicative of current and future cash flows, which are used to drive longer-term investments and growth. Adjusted EBIT margins rose substantially, by 2.7 percentage points (a relative increase of ≈35%), from 7.8% pre-invasion to 10.5% post-invasion. This frequently provides a direct correlation to underlying cash flows. Notably, the Panel Fixed-Effects Regression confirms the nature of a more permanent shift between periods at a high confidence level (p = 0.037).</w:t>
      </w:r>
    </w:p>
    <w:p>
      <w:pPr>
        <w:pStyle w:val="BodyText"/>
      </w:pPr>
      <w:r>
        <w:t xml:space="preserve">Capital capabilities are clearly increasing, and downstream confirmation of the market ultimately signal a re-framing of the sector.</w:t>
      </w:r>
    </w:p>
    <w:bookmarkEnd w:id="47"/>
    <w:bookmarkStart w:id="48" w:name="X7eca36021449502d11cfd28268bb9b3593d9956"/>
    <w:p>
      <w:pPr>
        <w:pStyle w:val="Heading2"/>
      </w:pPr>
      <w:r>
        <w:rPr>
          <w:bCs/>
          <w:b/>
        </w:rPr>
        <w:t xml:space="preserve">8.3 Theoretical Support through Company Heterogeneity</w:t>
      </w:r>
    </w:p>
    <w:p>
      <w:pPr>
        <w:pStyle w:val="FirstParagraph"/>
      </w:pPr>
      <w:r>
        <w:t xml:space="preserve">While not explicitly quantified, the distinctive nature, or heterogeneity, across the companies within the sample set, provides a strong indirect indication of a structural shift. If the post-invasion results were due to more temporary conditions, an observer might expect more uniformity across the sample set. However, companies most directly exposed to European defence production, such as Rheinmetall, BAE, Saab and Leonardo, show the strongest responses across the semantic and quantitative tests, while commercial aerospace-oriented companies, such as Airbus and Safran, demonstrate more limited responses.</w:t>
      </w:r>
    </w:p>
    <w:p>
      <w:pPr>
        <w:pStyle w:val="BodyText"/>
      </w:pPr>
      <w:r>
        <w:t xml:space="preserve">General macroeconomic conditions may impact companies across the data set in a relatively similar manner (</w:t>
      </w:r>
      <w:r>
        <w:t xml:space="preserve">“</w:t>
      </w:r>
      <w:r>
        <w:t xml:space="preserve">a rising tide lifts all boats</w:t>
      </w:r>
      <w:r>
        <w:t xml:space="preserve">”</w:t>
      </w:r>
      <w:r>
        <w:t xml:space="preserve">). Similarly, an observer might expect alternative cyclical conditions to demonstrate wider variance across companies. However, the disparity between the pure-play defence and aerospace-oriented companies actually demonstrates and confirms the fundamental defence demand drivers throughout the entire data set.</w:t>
      </w:r>
    </w:p>
    <w:bookmarkEnd w:id="48"/>
    <w:bookmarkStart w:id="49" w:name="X39c183dcf0a9795b239d664fecce676bceaef87"/>
    <w:p>
      <w:pPr>
        <w:pStyle w:val="Heading2"/>
      </w:pPr>
      <w:r>
        <w:rPr>
          <w:bCs/>
          <w:b/>
        </w:rPr>
        <w:t xml:space="preserve">8.4 Summary of Key Limitations and Potential Avenues for Future Study</w:t>
      </w:r>
    </w:p>
    <w:p>
      <w:pPr>
        <w:pStyle w:val="FirstParagraph"/>
      </w:pPr>
      <w:r>
        <w:t xml:space="preserve">The study identified four key limitations:</w:t>
      </w:r>
    </w:p>
    <w:p>
      <w:pPr>
        <w:numPr>
          <w:ilvl w:val="0"/>
          <w:numId w:val="1004"/>
        </w:numPr>
        <w:pStyle w:val="Compact"/>
      </w:pPr>
      <w:r>
        <w:t xml:space="preserve">Reliance on qualitative management discussions</w:t>
      </w:r>
    </w:p>
    <w:p>
      <w:pPr>
        <w:numPr>
          <w:ilvl w:val="0"/>
          <w:numId w:val="1004"/>
        </w:numPr>
        <w:pStyle w:val="Compact"/>
      </w:pPr>
      <w:r>
        <w:t xml:space="preserve">Limited sample size of ten publicly-traded companies</w:t>
      </w:r>
    </w:p>
    <w:p>
      <w:pPr>
        <w:numPr>
          <w:ilvl w:val="0"/>
          <w:numId w:val="1004"/>
        </w:numPr>
        <w:pStyle w:val="Compact"/>
      </w:pPr>
      <w:r>
        <w:t xml:space="preserve">Limited set of discrete financial metrics</w:t>
      </w:r>
    </w:p>
    <w:p>
      <w:pPr>
        <w:numPr>
          <w:ilvl w:val="0"/>
          <w:numId w:val="1004"/>
        </w:numPr>
        <w:pStyle w:val="Compact"/>
      </w:pPr>
      <w:r>
        <w:t xml:space="preserve">Forward-looking conclusion</w:t>
      </w:r>
    </w:p>
    <w:p>
      <w:pPr>
        <w:pStyle w:val="FirstParagraph"/>
      </w:pPr>
      <w:r>
        <w:t xml:space="preserve">Management discussions are subject to many factors, significant nuance and, potentially, inherent conflicts of interest. Managerial teams are responsible for factual reporting and nuanced guidance on the material factors impacting the business. At the same time, management is also incentivised through various forms of stock compensation, which will meaningfully react based on their guidance and results. Given that the quantitative analyses reinforce the semantic findings, one may infer that the managerial discussions support a true structural shift, and are not personally motivated exaggeration.</w:t>
      </w:r>
    </w:p>
    <w:p>
      <w:pPr>
        <w:pStyle w:val="BodyText"/>
      </w:pPr>
      <w:r>
        <w:t xml:space="preserve">The limited nature of both the sample size and financial metrics have similar effects on the overall analysis. The fundamental limitations relate to power and statistical significance. While more robust data may strengthen the fundamental conclusions, there is also the possibility that it would weaken or, potentially, invalidate some of the findings. There is a high degree of confidence for the findings based on the sample size of ten companies based on their relative sizes and corresponding statistical significance confirmations. There is a similar degree of confidence around the findings of the quantitative analyses, with the notable exception of the Panel Fixed-Effects regression, particularly with the book-to-bill ratio failing to achieve significance. The book-to-bill signal was confirmed in the Welch and Chow tests. Based on this, the significance failure under the Panel Fixed-Effects regression may be viewed as related to data constraints, rather than an absence of effect. As results continue to accumulate with additional annual data analysed through follow-up research, one may infer that the intra-company signals will strengthen toward significance.</w:t>
      </w:r>
    </w:p>
    <w:p>
      <w:pPr>
        <w:pStyle w:val="BodyText"/>
      </w:pPr>
      <w:r>
        <w:t xml:space="preserve">The size and breadth of data introduces an implied, yet potentially crucial, limitation in terms of the structural conclusion being forward-looking. By definition, a structural shift should not revert. However, as noted above, results can be continually updated, which may strengthen, weaken or invalidate the current findings. It is theoretically possible for near-term geopolitical resolutions to drastically alter or nullify the structural shift. Two notable risks to the findings are (a) persistent reliance on US procurement and (b) public</w:t>
      </w:r>
      <w:r>
        <w:t xml:space="preserve"> </w:t>
      </w:r>
      <w:r>
        <w:t xml:space="preserve">“</w:t>
      </w:r>
      <w:r>
        <w:t xml:space="preserve">war fatigue</w:t>
      </w:r>
      <w:r>
        <w:t xml:space="preserve">”</w:t>
      </w:r>
      <w:r>
        <w:t xml:space="preserve"> </w:t>
      </w:r>
      <w:r>
        <w:t xml:space="preserve">and subsequent diminished political support. Uncertainties surrounding multiple geopolitical events have been multiplying beyond the Russian invasion, including significant turmoil in the Middle East and traditional country relationships being upended. These conditions should serve to strengthen European resolve around its strategic autonomy ambitions, thus strengthening the structural case.</w:t>
      </w:r>
    </w:p>
    <w:p>
      <w:pPr>
        <w:pStyle w:val="BodyText"/>
      </w:pPr>
      <w:r>
        <w:t xml:space="preserve">Solving for the managerial discussion and financial data limitations will naturally resolve as time passes and more data is presented into the analysis. Further, new financial data metrics could be considered and incorporated into the analysis with relative ease. Addressing the limited sample size will require screens to find and study additional and appropriate publicly -traded companies. Significant additional research will be necessary to determine the viability of privately- held companies so that a more complete landscape of defence-related firms can expand the full understanding of the scope of the structural shift identified here. One future study might decompose the cumulative impact of Russia’s 2014 invasion of Ukraine, which seized Crimea and opened a sustained war in the Donbas, and the 2022 escalation. The eight intervening years of low-intensity conflict could serve as a baseline against which the 2022 step-change in cyclical and structural inertia can be measured. Additionally, the semantic and quantitative tests used can be refined, expanded, and applied in subsequent studies to articulate more thorough conclusions.</w:t>
      </w:r>
    </w:p>
    <w:bookmarkEnd w:id="49"/>
    <w:bookmarkEnd w:id="50"/>
    <w:bookmarkStart w:id="51" w:name="conclusion"/>
    <w:p>
      <w:pPr>
        <w:pStyle w:val="Heading1"/>
      </w:pPr>
      <w:r>
        <w:rPr>
          <w:bCs/>
          <w:b/>
        </w:rPr>
        <w:t xml:space="preserve">9. Conclusion</w:t>
      </w:r>
    </w:p>
    <w:p>
      <w:pPr>
        <w:pStyle w:val="FirstParagraph"/>
      </w:pPr>
      <w:r>
        <w:t xml:space="preserve">This thesis asked whether Russia’s February 2022 escalation of its war against Ukraine produced a structural shift in European defence companies (a permanent change in the conditions facing the sector), or only a cyclical surge that would unwind once the conflict ended. The answer matters for capital allocation, EU industrial policy, and the future of the post-Cold-War</w:t>
      </w:r>
      <w:r>
        <w:t xml:space="preserve"> </w:t>
      </w:r>
      <w:r>
        <w:t xml:space="preserve">“</w:t>
      </w:r>
      <w:r>
        <w:t xml:space="preserve">peace dividend</w:t>
      </w:r>
      <w:r>
        <w:t xml:space="preserve">”</w:t>
      </w:r>
      <w:r>
        <w:t xml:space="preserve"> </w:t>
      </w:r>
      <w:r>
        <w:t xml:space="preserve">frame.</w:t>
      </w:r>
    </w:p>
    <w:p>
      <w:pPr>
        <w:pStyle w:val="BodyText"/>
      </w:pPr>
      <w:r>
        <w:t xml:space="preserve">The narrative analysis covered 79 annual reports from ten listed European defence primes between 2018 and 2025. The mean structural-language score rose from 4.7 in the pre-invasion period to 7.1 post-invasion, and reached 8.1 by 2025. Business-as-usual framings dropped from 22 of 40 reports pre-invasion to 4 of 39 post-invasion, while transformational framings rose from 1 report to 23. Two independent LLM scorers (Claude and Gemini) agreed at Cohen’s κ = 0.88 across the corpus and κ = 0.94 in the post-invasion subset. A difference-in-differences design using commercial-aerospace firms as a control group estimates the treatment effect at +2.03 score points, significant at the 5 percent level (p = 0.0241), with parallel pre-trends holding at the 10 percent threshold (p = 0.0855).</w:t>
      </w:r>
    </w:p>
    <w:p>
      <w:pPr>
        <w:pStyle w:val="BodyText"/>
      </w:pPr>
      <w:r>
        <w:t xml:space="preserve">Three financial tests point in the same direction. In the Welch t-test, the mean book-to-bill ratio rose from 1.20 to 1.75 (p = 0.0013), and the group EBIT margin rose by 2.7 percentage points, from 7.8 to 10.5 percent (p = 0.0041). The Chow test detects a structural break between 2021 and 2022 in eight of the sixty firm-metric cells, covering six of the ten firms (Airbus, BAE Systems, Dassault Aviation, Leonardo, Rolls-Royce, and Thales). The panel fixed-effects regression, which controls for firm fixed effects and a pre-invasion trend, confirms an EBIT-margin shift of +2.69 percentage points (p = 0.037). Order-book signals trend the same way in the panel but do not yet reach significance, given the short post-2022 window.</w:t>
      </w:r>
    </w:p>
    <w:p>
      <w:pPr>
        <w:pStyle w:val="BodyText"/>
      </w:pPr>
      <w:r>
        <w:t xml:space="preserve">Four caveats apply. First, the sample is ten publicly listed primes; private and smaller contractors are excluded. Second, the post-2022 window is three to four years per company, which limits statistical power on volatile metrics. Third, annual reports reflect a management view of the business and are not free of intentional optimism, though the financial analysis is intended as a check against this. Fourth, by its very nature, a structural claim is forward-looking, and a near-term geopolitical resolution, persistent US procurement dependence (Howorth, 2025), or</w:t>
      </w:r>
      <w:r>
        <w:t xml:space="preserve"> </w:t>
      </w:r>
      <w:r>
        <w:t xml:space="preserve">“</w:t>
      </w:r>
      <w:r>
        <w:t xml:space="preserve">war fatigue</w:t>
      </w:r>
      <w:r>
        <w:t xml:space="preserve">”</w:t>
      </w:r>
      <w:r>
        <w:t xml:space="preserve"> </w:t>
      </w:r>
      <w:r>
        <w:t xml:space="preserve">could yet alter the trajectory. Future work should expand the firm sample, extend the post-2022 window as new years of data become available, and decompose the cumulative effect of the 2014 and 2022 phases of the war.</w:t>
      </w:r>
    </w:p>
    <w:p>
      <w:pPr>
        <w:pStyle w:val="BodyText"/>
      </w:pPr>
      <w:r>
        <w:t xml:space="preserve">With those limitations in mind, the joint semantic and financial evidence is more consistent with a structural shift than a cyclical one. The strongest single result is the +2.69 percentage point EBIT-margin lift, which holds under firm fixed effects and a pre-invasion trend control. Whether the shift hardens into a new equilibrium or erodes will depend on European political will, the durability of EU-level procurement instruments, and the ongoing tension between strategic autonomy ambitions and continued near-term US dependence.</w:t>
      </w:r>
    </w:p>
    <w:bookmarkEnd w:id="51"/>
    <w:bookmarkStart w:id="52" w:name="section"/>
    <w:p>
      <w:pPr>
        <w:pStyle w:val="Heading1"/>
      </w:pPr>
    </w:p>
    <w:bookmarkEnd w:id="52"/>
    <w:bookmarkStart w:id="77" w:name="references"/>
    <w:p>
      <w:pPr>
        <w:pStyle w:val="Heading1"/>
      </w:pPr>
      <w:r>
        <w:rPr>
          <w:bCs/>
          <w:b/>
        </w:rPr>
        <w:t xml:space="preserve">References</w:t>
      </w:r>
    </w:p>
    <w:p>
      <w:pPr>
        <w:pStyle w:val="FirstParagraph"/>
      </w:pPr>
      <w:r>
        <w:t xml:space="preserve">Andersson, J. J., &amp; Britz, M. (2025). The European Union’s role in European defence industry</w:t>
      </w:r>
    </w:p>
    <w:p>
      <w:pPr>
        <w:pStyle w:val="BodyText"/>
      </w:pPr>
      <w:r>
        <w:t xml:space="preserve">policy. Defence Studies, 25(2), 322–341.</w:t>
      </w:r>
      <w:hyperlink r:id="rId53">
        <w:r>
          <w:rPr>
            <w:rStyle w:val="Hyperlink"/>
          </w:rPr>
          <w:t xml:space="preserve">https://doi.org/10.1080/14702436.2025.2472694</w:t>
        </w:r>
      </w:hyperlink>
    </w:p>
    <w:p>
      <w:pPr>
        <w:pStyle w:val="BodyText"/>
      </w:pPr>
      <w:r>
        <w:t xml:space="preserve">BliegeBird, R., &amp; Smith, E. (2005). Signaling Theory, Strategic Interaction, and Symbolic</w:t>
      </w:r>
    </w:p>
    <w:p>
      <w:pPr>
        <w:pStyle w:val="BodyText"/>
      </w:pPr>
      <w:r>
        <w:t xml:space="preserve">Capital. Current Anthropology, 46(2), 221–248. https://doi.org/10.1086/427115</w:t>
      </w:r>
    </w:p>
    <w:p>
      <w:pPr>
        <w:pStyle w:val="BodyText"/>
      </w:pPr>
      <w:r>
        <w:t xml:space="preserve">Börjeson Kennedy, C., Kojouharov Sjögren, E., &amp; Ehrnborg, V. (2025). Guns, growth and</w:t>
      </w:r>
    </w:p>
    <w:p>
      <w:pPr>
        <w:pStyle w:val="BodyText"/>
      </w:pPr>
      <w:r>
        <w:t xml:space="preserve">government: State support and institutional influence on export, profitability, and dual-use innovation [Bachelor’s thesis, Lund University]. LUP Student Papers.</w:t>
      </w:r>
      <w:hyperlink r:id="rId54">
        <w:r>
          <w:rPr>
            <w:rStyle w:val="Hyperlink"/>
          </w:rPr>
          <w:t xml:space="preserve">https://lup.lub.lu.se/luur/download?func=downloadFile&amp;recordOId=9212116&amp;fileOId=9212117</w:t>
        </w:r>
      </w:hyperlink>
    </w:p>
    <w:p>
      <w:pPr>
        <w:pStyle w:val="BodyText"/>
      </w:pPr>
      <w:r>
        <w:t xml:space="preserve">Cepparulo, A., &amp; Pasimeni, P. (2024). Trends in defence spending in the European Union. In F.</w:t>
      </w:r>
    </w:p>
    <w:p>
      <w:pPr>
        <w:pStyle w:val="BodyText"/>
      </w:pPr>
      <w:r>
        <w:t xml:space="preserve">Cerniglia &amp; F. Saraceno (Eds.), Investing in the structural transformation: 2024 European public</w:t>
      </w:r>
    </w:p>
    <w:p>
      <w:pPr>
        <w:pStyle w:val="BodyText"/>
      </w:pPr>
      <w:r>
        <w:t xml:space="preserve">investment outlook (pp. 149–168). Open Book Publishers.</w:t>
      </w:r>
      <w:r>
        <w:t xml:space="preserve"> </w:t>
      </w:r>
      <w:hyperlink r:id="rId55">
        <w:r>
          <w:rPr>
            <w:rStyle w:val="Hyperlink"/>
          </w:rPr>
          <w:t xml:space="preserve">https://doi.org/10.11647/obp.0434.10</w:t>
        </w:r>
      </w:hyperlink>
    </w:p>
    <w:p>
      <w:pPr>
        <w:pStyle w:val="BodyText"/>
      </w:pPr>
      <w:r>
        <w:t xml:space="preserve">Chow, G. C. (1960). Tests of equality between sets of coefficients in two linear regressions.</w:t>
      </w:r>
    </w:p>
    <w:p>
      <w:pPr>
        <w:pStyle w:val="BodyText"/>
      </w:pPr>
      <w:r>
        <w:rPr>
          <w:iCs/>
          <w:i/>
        </w:rPr>
        <w:t xml:space="preserve">Econometrica, 28</w:t>
      </w:r>
      <w:r>
        <w:t xml:space="preserve">(3), 591–605.</w:t>
      </w:r>
      <w:r>
        <w:t xml:space="preserve"> </w:t>
      </w:r>
      <w:hyperlink r:id="rId56">
        <w:r>
          <w:rPr>
            <w:rStyle w:val="Hyperlink"/>
          </w:rPr>
          <w:t xml:space="preserve">https://www.jstor.org/stable/1910133?origin=crossref</w:t>
        </w:r>
      </w:hyperlink>
    </w:p>
    <w:p>
      <w:pPr>
        <w:pStyle w:val="BodyText"/>
      </w:pPr>
      <w:r>
        <w:t xml:space="preserve">Drempetic, S., Klein, C., &amp; Zwergel, B. (2020). The influence of firm size on the ESG score:</w:t>
      </w:r>
    </w:p>
    <w:p>
      <w:pPr>
        <w:pStyle w:val="BodyText"/>
      </w:pPr>
      <w:r>
        <w:t xml:space="preserve">Corporate sustainability ratings under review. Journal of Business Ethics, 167(2), 333–360.</w:t>
      </w:r>
      <w:hyperlink r:id="rId57">
        <w:r>
          <w:rPr>
            <w:rStyle w:val="Hyperlink"/>
          </w:rPr>
          <w:t xml:space="preserve">https://doi.org/10.1007/s10551-019-04164-1</w:t>
        </w:r>
      </w:hyperlink>
    </w:p>
    <w:p>
      <w:pPr>
        <w:pStyle w:val="BodyText"/>
      </w:pPr>
      <w:r>
        <w:t xml:space="preserve">Ehrnborg, V., Kojouharov Sjögren, E., &amp; Börjeson Kennedy, C. (2025). Guns, growth &amp; government [Bachelor’s thesis, Lund University]. Lund University Publications. https://lup.lub.lu.se/student-papers/record/9212116.</w:t>
      </w:r>
    </w:p>
    <w:p>
      <w:pPr>
        <w:pStyle w:val="BodyText"/>
      </w:pPr>
      <w:r>
        <w:t xml:space="preserve">Entman, R. M. (1993). Framing: Toward clarification of a fractured paradigm. Journal of</w:t>
      </w:r>
    </w:p>
    <w:p>
      <w:pPr>
        <w:pStyle w:val="BodyText"/>
      </w:pPr>
      <w:r>
        <w:t xml:space="preserve">Communication, 43(4), 51-58.</w:t>
      </w:r>
      <w:hyperlink r:id="rId58">
        <w:r>
          <w:rPr>
            <w:rStyle w:val="Hyperlink"/>
          </w:rPr>
          <w:t xml:space="preserve">https://doi.org/10.1111/j.1460-2466.1993.tb01304.x</w:t>
        </w:r>
      </w:hyperlink>
    </w:p>
    <w:p>
      <w:pPr>
        <w:pStyle w:val="BodyText"/>
      </w:pPr>
      <w:r>
        <w:t xml:space="preserve">Derwall, J. M. M., Koedijk, C. G., &amp; Ter Horst, J. R. (2011). A tale of values-driven and</w:t>
      </w:r>
    </w:p>
    <w:p>
      <w:pPr>
        <w:pStyle w:val="BodyText"/>
      </w:pPr>
      <w:r>
        <w:t xml:space="preserve">profit-seeking social investors.</w:t>
      </w:r>
      <w:r>
        <w:t xml:space="preserve"> </w:t>
      </w:r>
      <w:r>
        <w:rPr>
          <w:iCs/>
          <w:i/>
        </w:rPr>
        <w:t xml:space="preserve">Journal of Banking &amp; Finance</w:t>
      </w:r>
      <w:r>
        <w:t xml:space="preserve">, 35(8), 2137–2147.</w:t>
      </w:r>
      <w:r>
        <w:t xml:space="preserve"> </w:t>
      </w:r>
      <w:hyperlink r:id="rId59">
        <w:r>
          <w:rPr>
            <w:rStyle w:val="Hyperlink"/>
          </w:rPr>
          <w:t xml:space="preserve">https://www.sciencedirect.com/science/article/abs/pii/S0378426611000306?via%3Dihub</w:t>
        </w:r>
      </w:hyperlink>
    </w:p>
    <w:p>
      <w:pPr>
        <w:pStyle w:val="BodyText"/>
      </w:pPr>
      <w:r>
        <w:t xml:space="preserve">Fiott, D. (2018, November). Strategic autonomy: Towards</w:t>
      </w:r>
      <w:r>
        <w:t xml:space="preserve"> </w:t>
      </w:r>
      <w:r>
        <w:t xml:space="preserve">‘</w:t>
      </w:r>
      <w:r>
        <w:t xml:space="preserve">European sovereignty</w:t>
      </w:r>
      <w:r>
        <w:t xml:space="preserve">’</w:t>
      </w:r>
      <w:r>
        <w:t xml:space="preserve"> </w:t>
      </w:r>
      <w:r>
        <w:t xml:space="preserve">in defence?</w:t>
      </w:r>
    </w:p>
    <w:p>
      <w:pPr>
        <w:pStyle w:val="BodyText"/>
      </w:pPr>
      <w:r>
        <w:t xml:space="preserve">(Brief 12). European Union Institute for Security Studies.</w:t>
      </w:r>
      <w:hyperlink r:id="rId60">
        <w:r>
          <w:rPr>
            <w:rStyle w:val="Hyperlink"/>
          </w:rPr>
          <w:t xml:space="preserve">https://www.iss.europa.eu/sites/default/files/EUISSFiles/Brief%2012__Strategic%20Autonomy.pdf</w:t>
        </w:r>
      </w:hyperlink>
    </w:p>
    <w:p>
      <w:pPr>
        <w:pStyle w:val="BodyText"/>
      </w:pPr>
      <w:r>
        <w:t xml:space="preserve">Freedman, L. (2023, December 11). The Russo-Ukrainian War and the durability of deterrence.</w:t>
      </w:r>
    </w:p>
    <w:p>
      <w:pPr>
        <w:pStyle w:val="BodyText"/>
      </w:pPr>
      <w:r>
        <w:t xml:space="preserve">IISS. https://www.iiss.org/online-analysis/survival-online/2023/12/the-russo-ukrainian-war-and-the-durability-of-deterrence/</w:t>
      </w:r>
    </w:p>
    <w:p>
      <w:pPr>
        <w:pStyle w:val="BodyText"/>
      </w:pPr>
      <w:r>
        <w:t xml:space="preserve">Furceri, D., Juarros, P., Mishra, S., Nguyen, A. D. M., Pessoa, A. S., &amp; Sollaci, A. (2026).</w:t>
      </w:r>
    </w:p>
    <w:p>
      <w:pPr>
        <w:pStyle w:val="BodyText"/>
      </w:pPr>
      <w:r>
        <w:t xml:space="preserve">Macroeconomic Impacts of EU Defense Spending. IMF Working Papers, 2026(053), Article A001, A001. Retrieved Mar 29, 2026, from</w:t>
      </w:r>
      <w:r>
        <w:t xml:space="preserve"> </w:t>
      </w:r>
      <w:hyperlink r:id="rId61">
        <w:r>
          <w:rPr>
            <w:rStyle w:val="Hyperlink"/>
          </w:rPr>
          <w:t xml:space="preserve">https://doi.org/10.5089/9798229042499.001.A001</w:t>
        </w:r>
      </w:hyperlink>
    </w:p>
    <w:p>
      <w:pPr>
        <w:pStyle w:val="BodyText"/>
      </w:pPr>
      <w:r>
        <w:t xml:space="preserve">Genini, D. (2025). How the war in Ukraine has transformed the EU’s common foreign and</w:t>
      </w:r>
    </w:p>
    <w:p>
      <w:pPr>
        <w:pStyle w:val="BodyText"/>
      </w:pPr>
      <w:r>
        <w:t xml:space="preserve">security policy. Yearbook of European Law. Advance online publication.</w:t>
      </w:r>
      <w:hyperlink r:id="rId62">
        <w:r>
          <w:rPr>
            <w:rStyle w:val="Hyperlink"/>
          </w:rPr>
          <w:t xml:space="preserve">https://doi.org/10.1093/yel/yeaf003</w:t>
        </w:r>
      </w:hyperlink>
    </w:p>
    <w:p>
      <w:pPr>
        <w:pStyle w:val="BodyText"/>
      </w:pPr>
      <w:r>
        <w:t xml:space="preserve">Holesch, A., &amp; Martill, B. (2026). War fatigue? The politicisation of the Ukraine war. Journal of</w:t>
      </w:r>
    </w:p>
    <w:p>
      <w:pPr>
        <w:pStyle w:val="BodyText"/>
      </w:pPr>
      <w:r>
        <w:t xml:space="preserve">European Integration, 48(2), 167–190.</w:t>
      </w:r>
      <w:r>
        <w:t xml:space="preserve"> </w:t>
      </w:r>
      <w:hyperlink r:id="rId63">
        <w:r>
          <w:rPr>
            <w:rStyle w:val="Hyperlink"/>
          </w:rPr>
          <w:t xml:space="preserve">https://doi.org/10.1080/07036337.2026.2615100</w:t>
        </w:r>
      </w:hyperlink>
    </w:p>
    <w:p>
      <w:pPr>
        <w:pStyle w:val="BodyText"/>
      </w:pPr>
      <w:r>
        <w:t xml:space="preserve">Hong, H., &amp; Kacperczyk, M. (2009). The price of sin: The effects of social norms on markets.</w:t>
      </w:r>
    </w:p>
    <w:p>
      <w:pPr>
        <w:pStyle w:val="BodyText"/>
      </w:pPr>
      <w:r>
        <w:t xml:space="preserve">Journal of Financial Economics, 93(1), 15–36.</w:t>
      </w:r>
      <w:hyperlink r:id="rId64">
        <w:r>
          <w:rPr>
            <w:rStyle w:val="Hyperlink"/>
          </w:rPr>
          <w:t xml:space="preserve">https://doi.org/10.1016/j.jfineco.2008.09.001</w:t>
        </w:r>
      </w:hyperlink>
    </w:p>
    <w:p>
      <w:pPr>
        <w:pStyle w:val="BodyText"/>
      </w:pPr>
      <w:r>
        <w:t xml:space="preserve">Hover, R., Buchenrieder, G., &amp; Sokolsky, J. (2025). Economic interdependence and the</w:t>
      </w:r>
    </w:p>
    <w:p>
      <w:pPr>
        <w:pStyle w:val="BodyText"/>
      </w:pPr>
      <w:r>
        <w:t xml:space="preserve">likelihood of war – a systematic literature review. Cogent Social Sciences, 11(1).</w:t>
      </w:r>
      <w:r>
        <w:t xml:space="preserve"> </w:t>
      </w:r>
      <w:hyperlink r:id="rId65">
        <w:r>
          <w:rPr>
            <w:rStyle w:val="Hyperlink"/>
          </w:rPr>
          <w:t xml:space="preserve">https://doi.org/10.1080/23311886.2025.2488114</w:t>
        </w:r>
      </w:hyperlink>
    </w:p>
    <w:p>
      <w:pPr>
        <w:pStyle w:val="BodyText"/>
      </w:pPr>
      <w:r>
        <w:t xml:space="preserve">Howorth, J. (2025). European defence and NATO: From competition to co-operation to</w:t>
      </w:r>
    </w:p>
    <w:p>
      <w:pPr>
        <w:pStyle w:val="BodyText"/>
      </w:pPr>
      <w:r>
        <w:t xml:space="preserve">replacement? JCMS: Journal of Common Market Studies, 63.</w:t>
      </w:r>
      <w:hyperlink r:id="rId66"/>
      <w:hyperlink r:id="rId67">
        <w:r>
          <w:rPr>
            <w:rStyle w:val="Hyperlink"/>
          </w:rPr>
          <w:t xml:space="preserve">https://doi.org/10.1111/jcms.70010</w:t>
        </w:r>
      </w:hyperlink>
    </w:p>
    <w:p>
      <w:pPr>
        <w:pStyle w:val="BodyText"/>
      </w:pPr>
      <w:r>
        <w:t xml:space="preserve">Ivančík, R. (2025). Transformation of the European Union’s Security and Defence Policy After 2022. https://doi.org/10.52651/nmb.c.2025.9788080406882.65-72</w:t>
      </w:r>
    </w:p>
    <w:p>
      <w:pPr>
        <w:pStyle w:val="BodyText"/>
      </w:pPr>
      <w:r>
        <w:t xml:space="preserve">KrpataKRPATA, M. (2025, March). Friedrich Merz et la Zeitenwende 2.0. Une « nouvelle ère » pour les</w:t>
      </w:r>
    </w:p>
    <w:p>
      <w:pPr>
        <w:pStyle w:val="BodyText"/>
      </w:pPr>
      <w:r>
        <w:t xml:space="preserve">relations transatlantiques ? https://www.ifri.org/sites/default/files/2025-03/ifri_krpata_friedrich_merz_zeitenwende_2.0_2025.pdf</w:t>
      </w:r>
    </w:p>
    <w:p>
      <w:pPr>
        <w:pStyle w:val="BodyText"/>
      </w:pPr>
      <w:r>
        <w:t xml:space="preserve">Lane, J. C. (2024). The Giant Stirs?: Failing Forward in EU Defense Integration after the Ukraine Invasion. University of Pennsylvania. https://repository.upenn.edu/bitstreams/662bcf21-ef7a-4bb7-b6cc-fd79b4fd8f5e/download</w:t>
      </w:r>
    </w:p>
    <w:p>
      <w:pPr>
        <w:pStyle w:val="BodyText"/>
      </w:pPr>
      <w:r>
        <w:t xml:space="preserve">Landis, J. R., &amp; Koch, G. G. (1977). The measurement of observer agreement for categorical</w:t>
      </w:r>
    </w:p>
    <w:p>
      <w:pPr>
        <w:pStyle w:val="BodyText"/>
      </w:pPr>
      <w:r>
        <w:t xml:space="preserve">data.</w:t>
      </w:r>
      <w:r>
        <w:t xml:space="preserve"> </w:t>
      </w:r>
      <w:r>
        <w:rPr>
          <w:iCs/>
          <w:i/>
        </w:rPr>
        <w:t xml:space="preserve">Biometrics, 33</w:t>
      </w:r>
      <w:r>
        <w:t xml:space="preserve">(1), 159–174.</w:t>
      </w:r>
      <w:r>
        <w:t xml:space="preserve"> </w:t>
      </w:r>
      <w:hyperlink r:id="rId68">
        <w:r>
          <w:rPr>
            <w:rStyle w:val="Hyperlink"/>
          </w:rPr>
          <w:t xml:space="preserve">https://doi.org/10.2307/2529310</w:t>
        </w:r>
      </w:hyperlink>
    </w:p>
    <w:p>
      <w:pPr>
        <w:pStyle w:val="BodyText"/>
      </w:pPr>
      <w:r>
        <w:t xml:space="preserve">Loughran, T., &amp; McDonald, B. (2011). When is a liability not a liability? Textual analysis,</w:t>
      </w:r>
    </w:p>
    <w:p>
      <w:pPr>
        <w:pStyle w:val="BodyText"/>
      </w:pPr>
      <w:r>
        <w:t xml:space="preserve">dictionaries, and 10-Ks.</w:t>
      </w:r>
      <w:r>
        <w:t xml:space="preserve"> </w:t>
      </w:r>
      <w:r>
        <w:rPr>
          <w:iCs/>
          <w:i/>
        </w:rPr>
        <w:t xml:space="preserve">The Journal of Finance, 66</w:t>
      </w:r>
      <w:r>
        <w:t xml:space="preserve">(1), 35–65.</w:t>
      </w:r>
      <w:r>
        <w:t xml:space="preserve"> </w:t>
      </w:r>
      <w:hyperlink r:id="rId69">
        <w:r>
          <w:rPr>
            <w:rStyle w:val="Hyperlink"/>
          </w:rPr>
          <w:t xml:space="preserve">https://doi.org/10.1111/j.1540-6261.2010.01625.x</w:t>
        </w:r>
      </w:hyperlink>
    </w:p>
    <w:p>
      <w:pPr>
        <w:pStyle w:val="BodyText"/>
      </w:pPr>
      <w:r>
        <w:t xml:space="preserve">Mellace, F., Nishikawa, T., &amp; Stagge, J. (2025). A fragile surge: European support to Ukraine in</w:t>
      </w:r>
    </w:p>
    <w:p>
      <w:pPr>
        <w:pStyle w:val="BodyText"/>
      </w:pPr>
      <w:r>
        <w:t xml:space="preserve">early 2025 – New insights from the Kiel Institute Ukraine Support Tracker. The Economists’ Voice, 22(1), 327–338.</w:t>
      </w:r>
      <w:hyperlink r:id="rId70"/>
      <w:hyperlink r:id="rId71">
        <w:r>
          <w:rPr>
            <w:rStyle w:val="Hyperlink"/>
          </w:rPr>
          <w:t xml:space="preserve">https://doi.org/10.1515/ev-2025-0028</w:t>
        </w:r>
      </w:hyperlink>
    </w:p>
    <w:p>
      <w:pPr>
        <w:pStyle w:val="BodyText"/>
      </w:pPr>
      <w:r>
        <w:t xml:space="preserve">Osimen, G. U., Fulani, O., &amp; Mogbolu, N. (2025). The evolving landscape of European security:</w:t>
      </w:r>
    </w:p>
    <w:p>
      <w:pPr>
        <w:pStyle w:val="BodyText"/>
      </w:pPr>
      <w:r>
        <w:t xml:space="preserve">An assessment of NATO’s posture and deterrence strategies in response to the Russia-Ukraine war. Journal of Strategic Security, 18(4), 1–18.</w:t>
      </w:r>
      <w:hyperlink r:id="rId72">
        <w:r>
          <w:rPr>
            <w:rStyle w:val="Hyperlink"/>
          </w:rPr>
          <w:t xml:space="preserve">https://doi.org/10.5038/1944-0472.18.4.2589</w:t>
        </w:r>
      </w:hyperlink>
    </w:p>
    <w:p>
      <w:pPr>
        <w:pStyle w:val="BodyText"/>
      </w:pPr>
      <w:r>
        <w:t xml:space="preserve">Ribera Payá, P., &amp; Barredo González, P. (2025). Defence in the European Union: Policy</w:t>
      </w:r>
    </w:p>
    <w:p>
      <w:pPr>
        <w:pStyle w:val="BodyText"/>
      </w:pPr>
      <w:r>
        <w:t xml:space="preserve">supporting paper for the EESC Workers’ Group. European Economic and Social Committee.</w:t>
      </w:r>
      <w:hyperlink r:id="rId73">
        <w:r>
          <w:rPr>
            <w:rStyle w:val="Hyperlink"/>
          </w:rPr>
          <w:t xml:space="preserve">https://espas.secure.europarl.europa.eu/orbis/system/files/generated/document/en/defence%20in%20the%20EU.pdf</w:t>
        </w:r>
      </w:hyperlink>
    </w:p>
    <w:p>
      <w:pPr>
        <w:pStyle w:val="BodyText"/>
      </w:pPr>
      <w:r>
        <w:t xml:space="preserve">Sacchi, S., Buzzelli, G., &amp; de la Porte, C. (2026).</w:t>
      </w:r>
      <w:r>
        <w:t xml:space="preserve"> </w:t>
      </w:r>
      <w:r>
        <w:t xml:space="preserve">‘</w:t>
      </w:r>
      <w:r>
        <w:t xml:space="preserve">Guns versus butter</w:t>
      </w:r>
      <w:r>
        <w:t xml:space="preserve">’</w:t>
      </w:r>
      <w:r>
        <w:t xml:space="preserve"> </w:t>
      </w:r>
      <w:r>
        <w:t xml:space="preserve">in public opinion: the</w:t>
      </w:r>
    </w:p>
    <w:p>
      <w:pPr>
        <w:pStyle w:val="BodyText"/>
      </w:pPr>
      <w:r>
        <w:t xml:space="preserve">politicization of the warfare-welfare trade-off. Journal of European Public Policy, 33(4), 1199–1225. https://doi.org/10.1080/13501763.2025.2534663</w:t>
      </w:r>
    </w:p>
    <w:p>
      <w:pPr>
        <w:pStyle w:val="BodyText"/>
      </w:pPr>
      <w:r>
        <w:t xml:space="preserve">Sandler, T., &amp; Hartley, K. (1995).</w:t>
      </w:r>
      <w:r>
        <w:t xml:space="preserve"> </w:t>
      </w:r>
      <w:r>
        <w:rPr>
          <w:iCs/>
          <w:i/>
        </w:rPr>
        <w:t xml:space="preserve">The Economics of Defense</w:t>
      </w:r>
      <w:r>
        <w:t xml:space="preserve">. Cambridge University Press.</w:t>
      </w:r>
    </w:p>
    <w:p>
      <w:pPr>
        <w:pStyle w:val="BodyText"/>
      </w:pPr>
      <w:r>
        <w:t xml:space="preserve">Shevchuk, V., &amp; Luchka, O. (2024). The relationship between ESG ratings and corporate</w:t>
      </w:r>
    </w:p>
    <w:p>
      <w:pPr>
        <w:pStyle w:val="BodyText"/>
      </w:pPr>
      <w:r>
        <w:t xml:space="preserve">decisions during the Russian-Ukrainian war. Visnyk of the Lviv University. Series Economics, (66).</w:t>
      </w:r>
      <w:hyperlink r:id="rId74"/>
      <w:hyperlink r:id="rId75">
        <w:r>
          <w:rPr>
            <w:rStyle w:val="Hyperlink"/>
          </w:rPr>
          <w:t xml:space="preserve">https://doi.org/10.30970/ves.2024.66.0.6614</w:t>
        </w:r>
      </w:hyperlink>
    </w:p>
    <w:p>
      <w:pPr>
        <w:pStyle w:val="BodyText"/>
      </w:pPr>
      <w:r>
        <w:t xml:space="preserve">Spence, M. (1973). Job Market Signaling.</w:t>
      </w:r>
      <w:r>
        <w:t xml:space="preserve"> </w:t>
      </w:r>
      <w:r>
        <w:rPr>
          <w:iCs/>
          <w:i/>
        </w:rPr>
        <w:t xml:space="preserve">The Quarterly Journal of Economics</w:t>
      </w:r>
      <w:r>
        <w:t xml:space="preserve">,</w:t>
      </w:r>
      <w:r>
        <w:t xml:space="preserve"> </w:t>
      </w:r>
      <w:r>
        <w:rPr>
          <w:iCs/>
          <w:i/>
        </w:rPr>
        <w:t xml:space="preserve">87</w:t>
      </w:r>
      <w:r>
        <w:t xml:space="preserve">(3), 355–374. https://doi.org/10.2307/1882010</w:t>
      </w:r>
    </w:p>
    <w:p>
      <w:pPr>
        <w:pStyle w:val="BodyText"/>
      </w:pPr>
      <w:r>
        <w:t xml:space="preserve">Tian, N., Lopes da Silva, D., Liang, X., &amp; Scarazzato, L. (2024). Trends in world military</w:t>
      </w:r>
    </w:p>
    <w:p>
      <w:pPr>
        <w:pStyle w:val="BodyText"/>
      </w:pPr>
      <w:r>
        <w:t xml:space="preserve">expenditure, 2023. Stockholm International Peace Research Institute.</w:t>
      </w:r>
    </w:p>
    <w:p>
      <w:pPr>
        <w:pStyle w:val="BodyText"/>
      </w:pPr>
      <w:r>
        <w:t xml:space="preserve">Wongsosaputro, J., Pauwels, L. L., &amp; Chan, F. (2011). Testing for structural breaks in discrete</w:t>
      </w:r>
    </w:p>
    <w:p>
      <w:pPr>
        <w:pStyle w:val="BodyText"/>
      </w:pPr>
      <w:r>
        <w:t xml:space="preserve">choice models. In 19th International Congress on Modelling and Simulation (pp. 1652–1658). Modelling and Simulation Society of Australia and New Zealand.</w:t>
      </w:r>
      <w:hyperlink r:id="rId76">
        <w:r>
          <w:rPr>
            <w:rStyle w:val="Hyperlink"/>
          </w:rPr>
          <w:t xml:space="preserve">https://www.mssanz.org.au/modsim2011/D10/wongsosaputro.pdf</w:t>
        </w:r>
      </w:hyperlink>
    </w:p>
    <w:p>
      <w:pPr>
        <w:pStyle w:val="BodyText"/>
      </w:pPr>
      <w:r>
        <w:t xml:space="preserve">Zandee, D., Ellison, D., Bekkers, F., de Heer, B., van Loon, T., &amp; Stoetman, A. (2024). The</w:t>
      </w:r>
    </w:p>
    <w:p>
      <w:pPr>
        <w:pStyle w:val="BodyText"/>
      </w:pPr>
      <w:r>
        <w:t xml:space="preserve">political-strategic aspects of Germany’s Zeitenwende. In Germany’s Zeitenwende and the consequences for German-Dutch defence cooperation (pp. 3–19). Clingendael Institute. http://www.jstor.org/stable/resrep57918.4</w:t>
      </w:r>
    </w:p>
    <w:bookmarkEnd w:id="77"/>
    <w:bookmarkStart w:id="78" w:name="section-1"/>
    <w:p>
      <w:pPr>
        <w:pStyle w:val="Heading1"/>
      </w:pPr>
    </w:p>
    <w:bookmarkEnd w:id="78"/>
    <w:bookmarkStart w:id="79" w:name="appendix"/>
    <w:p>
      <w:pPr>
        <w:pStyle w:val="Heading1"/>
      </w:pPr>
      <w:r>
        <w:rPr>
          <w:bCs/>
          <w:b/>
        </w:rPr>
        <w:t xml:space="preserve">Appendix</w:t>
      </w:r>
    </w:p>
    <w:p>
      <w:pPr>
        <w:pStyle w:val="FirstParagraph"/>
      </w:pPr>
      <w:r>
        <w:rPr>
          <w:bCs/>
          <w:b/>
        </w:rPr>
        <w:t xml:space="preserve">Appendix A: Quantitative Results</w:t>
      </w:r>
    </w:p>
    <w:p>
      <w:pPr>
        <w:pStyle w:val="BodyText"/>
      </w:pPr>
      <w:r>
        <w:t xml:space="preserve">Table 1: Welch’s T-Test</w:t>
      </w:r>
    </w:p>
    <w:tbl>
      <w:tblPr>
        <w:tblStyle w:val="Table"/>
        <w:tblW w:type="pct" w:w="5000"/>
        <w:tblLook w:firstRow="0" w:lastRow="0" w:firstColumn="0" w:lastColumn="0" w:noHBand="0" w:noVBand="0" w:val="0000"/>
        <w:jc w:val="start"/>
      </w:tblPr>
      <w:tblGrid>
        <w:gridCol w:w="792"/>
        <w:gridCol w:w="792"/>
        <w:gridCol w:w="792"/>
        <w:gridCol w:w="792"/>
        <w:gridCol w:w="792"/>
        <w:gridCol w:w="792"/>
        <w:gridCol w:w="792"/>
        <w:gridCol w:w="792"/>
        <w:gridCol w:w="792"/>
        <w:gridCol w:w="792"/>
      </w:tblGrid>
      <w:tr>
        <w:tc>
          <w:tcPr/>
          <w:p>
            <w:pPr>
              <w:pStyle w:val="Compact"/>
              <w:jc w:val="center"/>
            </w:pPr>
            <w:r>
              <w:t xml:space="preserve">**Metric**</w:t>
            </w:r>
          </w:p>
        </w:tc>
        <w:tc>
          <w:tcPr/>
          <w:p>
            <w:pPr>
              <w:pStyle w:val="Compact"/>
              <w:jc w:val="center"/>
            </w:pPr>
            <w:r>
              <w:t xml:space="preserve">**Pre mean**</w:t>
            </w:r>
          </w:p>
        </w:tc>
        <w:tc>
          <w:tcPr/>
          <w:p>
            <w:pPr>
              <w:pStyle w:val="Compact"/>
              <w:jc w:val="center"/>
            </w:pPr>
            <w:r>
              <w:t xml:space="preserve">**Post mean**</w:t>
            </w:r>
          </w:p>
        </w:tc>
        <w:tc>
          <w:tcPr/>
          <w:p>
            <w:pPr>
              <w:pStyle w:val="Compact"/>
              <w:jc w:val="center"/>
            </w:pPr>
            <w:r>
              <w:t xml:space="preserve">**Delta**</w:t>
            </w:r>
          </w:p>
        </w:tc>
        <w:tc>
          <w:tcPr/>
          <w:p>
            <w:pPr>
              <w:pStyle w:val="Compact"/>
              <w:jc w:val="center"/>
            </w:pPr>
            <w:r>
              <w:t xml:space="preserve">**Delta %**</w:t>
            </w:r>
          </w:p>
        </w:tc>
        <w:tc>
          <w:tcPr/>
          <w:p>
            <w:pPr>
              <w:pStyle w:val="Compact"/>
              <w:jc w:val="center"/>
            </w:pPr>
            <w:r>
              <w:t xml:space="preserve">**t stat**</w:t>
            </w:r>
          </w:p>
        </w:tc>
        <w:tc>
          <w:tcPr/>
          <w:p>
            <w:pPr>
              <w:pStyle w:val="Compact"/>
              <w:jc w:val="center"/>
            </w:pPr>
            <w:r>
              <w:t xml:space="preserve">**p value**</w:t>
            </w:r>
          </w:p>
        </w:tc>
        <w:tc>
          <w:tcPr/>
          <w:p>
            <w:pPr>
              <w:pStyle w:val="Compact"/>
              <w:jc w:val="center"/>
            </w:pPr>
            <w:r>
              <w:t xml:space="preserve">**Sig.**</w:t>
            </w:r>
          </w:p>
        </w:tc>
        <w:tc>
          <w:tcPr/>
          <w:p>
            <w:pPr>
              <w:pStyle w:val="Compact"/>
              <w:jc w:val="center"/>
            </w:pPr>
            <w:r>
              <w:t xml:space="preserve">**N pre**</w:t>
            </w:r>
          </w:p>
        </w:tc>
        <w:tc>
          <w:tcPr/>
          <w:p>
            <w:pPr>
              <w:pStyle w:val="Compact"/>
              <w:jc w:val="center"/>
            </w:pPr>
            <w:r>
              <w:t xml:space="preserve">**N post**</w:t>
            </w:r>
          </w:p>
        </w:tc>
      </w:tr>
      <w:tr>
        <w:tc>
          <w:tcPr/>
          <w:p>
            <w:pPr>
              <w:pStyle w:val="Compact"/>
              <w:jc w:val="center"/>
            </w:pPr>
            <w:r>
              <w:t xml:space="preserve">Def. Rev. Growth YoY (%)</w:t>
            </w:r>
          </w:p>
        </w:tc>
        <w:tc>
          <w:tcPr/>
          <w:p>
            <w:pPr>
              <w:pStyle w:val="Compact"/>
              <w:jc w:val="center"/>
            </w:pPr>
            <w:r>
              <w:t xml:space="preserve">25.24</w:t>
            </w:r>
          </w:p>
        </w:tc>
        <w:tc>
          <w:tcPr/>
          <w:p>
            <w:pPr>
              <w:pStyle w:val="Compact"/>
              <w:jc w:val="center"/>
            </w:pPr>
            <w:r>
              <w:t xml:space="preserve">12.07</w:t>
            </w:r>
          </w:p>
        </w:tc>
        <w:tc>
          <w:tcPr/>
          <w:p>
            <w:pPr>
              <w:pStyle w:val="Compact"/>
              <w:jc w:val="center"/>
            </w:pPr>
            <w:r>
              <w:t xml:space="preserve">\-13.17</w:t>
            </w:r>
          </w:p>
        </w:tc>
        <w:tc>
          <w:tcPr/>
          <w:p>
            <w:pPr>
              <w:pStyle w:val="Compact"/>
              <w:jc w:val="center"/>
            </w:pPr>
            <w:r>
              <w:t xml:space="preserve">\-52.2</w:t>
            </w:r>
          </w:p>
        </w:tc>
        <w:tc>
          <w:tcPr/>
          <w:p>
            <w:pPr>
              <w:pStyle w:val="Compact"/>
              <w:jc w:val="center"/>
            </w:pPr>
            <w:r>
              <w:t xml:space="preserve">0.679</w:t>
            </w:r>
          </w:p>
        </w:tc>
        <w:tc>
          <w:tcPr/>
          <w:p>
            <w:pPr>
              <w:pStyle w:val="Compact"/>
              <w:jc w:val="center"/>
            </w:pPr>
            <w:r>
              <w:t xml:space="preserve">0.5023</w:t>
            </w:r>
          </w:p>
        </w:tc>
        <w:tc>
          <w:tcPr/>
          <w:p>
            <w:pPr>
              <w:pStyle w:val="Compact"/>
            </w:pPr>
          </w:p>
        </w:tc>
        <w:tc>
          <w:tcPr/>
          <w:p>
            <w:pPr>
              <w:pStyle w:val="Compact"/>
              <w:jc w:val="center"/>
            </w:pPr>
            <w:r>
              <w:t xml:space="preserve">30</w:t>
            </w:r>
          </w:p>
        </w:tc>
        <w:tc>
          <w:tcPr/>
          <w:p>
            <w:pPr>
              <w:pStyle w:val="Compact"/>
              <w:jc w:val="center"/>
            </w:pPr>
            <w:r>
              <w:t xml:space="preserve">39</w:t>
            </w:r>
          </w:p>
        </w:tc>
      </w:tr>
      <w:tr>
        <w:tc>
          <w:tcPr/>
          <w:p>
            <w:pPr>
              <w:pStyle w:val="Compact"/>
              <w:jc w:val="center"/>
            </w:pPr>
            <w:r>
              <w:t xml:space="preserve">Def. Order Intake Growth YoY (%)</w:t>
            </w:r>
          </w:p>
        </w:tc>
        <w:tc>
          <w:tcPr/>
          <w:p>
            <w:pPr>
              <w:pStyle w:val="Compact"/>
              <w:jc w:val="center"/>
            </w:pPr>
            <w:r>
              <w:t xml:space="preserve">22.26</w:t>
            </w:r>
          </w:p>
        </w:tc>
        <w:tc>
          <w:tcPr/>
          <w:p>
            <w:pPr>
              <w:pStyle w:val="Compact"/>
              <w:jc w:val="center"/>
            </w:pPr>
            <w:r>
              <w:t xml:space="preserve">41.59</w:t>
            </w:r>
          </w:p>
        </w:tc>
        <w:tc>
          <w:tcPr/>
          <w:p>
            <w:pPr>
              <w:pStyle w:val="Compact"/>
              <w:jc w:val="center"/>
            </w:pPr>
            <w:r>
              <w:t xml:space="preserve">19.33</w:t>
            </w:r>
          </w:p>
        </w:tc>
        <w:tc>
          <w:tcPr/>
          <w:p>
            <w:pPr>
              <w:pStyle w:val="Compact"/>
              <w:jc w:val="center"/>
            </w:pPr>
            <w:r>
              <w:t xml:space="preserve">86.8</w:t>
            </w:r>
          </w:p>
        </w:tc>
        <w:tc>
          <w:tcPr/>
          <w:p>
            <w:pPr>
              <w:pStyle w:val="Compact"/>
              <w:jc w:val="center"/>
            </w:pPr>
            <w:r>
              <w:t xml:space="preserve">\-0.702</w:t>
            </w:r>
          </w:p>
        </w:tc>
        <w:tc>
          <w:tcPr/>
          <w:p>
            <w:pPr>
              <w:pStyle w:val="Compact"/>
              <w:jc w:val="center"/>
            </w:pPr>
            <w:r>
              <w:t xml:space="preserve">0.4853</w:t>
            </w:r>
          </w:p>
        </w:tc>
        <w:tc>
          <w:tcPr/>
          <w:p>
            <w:pPr>
              <w:pStyle w:val="Compact"/>
            </w:pPr>
          </w:p>
        </w:tc>
        <w:tc>
          <w:tcPr/>
          <w:p>
            <w:pPr>
              <w:pStyle w:val="Compact"/>
              <w:jc w:val="center"/>
            </w:pPr>
            <w:r>
              <w:t xml:space="preserve">27</w:t>
            </w:r>
          </w:p>
        </w:tc>
        <w:tc>
          <w:tcPr/>
          <w:p>
            <w:pPr>
              <w:pStyle w:val="Compact"/>
              <w:jc w:val="center"/>
            </w:pPr>
            <w:r>
              <w:t xml:space="preserve">35</w:t>
            </w:r>
          </w:p>
        </w:tc>
      </w:tr>
      <w:tr>
        <w:tc>
          <w:tcPr/>
          <w:p>
            <w:pPr>
              <w:pStyle w:val="Compact"/>
              <w:jc w:val="center"/>
            </w:pPr>
            <w:r>
              <w:t xml:space="preserve">Def. Revenue Share (%)</w:t>
            </w:r>
          </w:p>
        </w:tc>
        <w:tc>
          <w:tcPr/>
          <w:p>
            <w:pPr>
              <w:pStyle w:val="Compact"/>
              <w:jc w:val="center"/>
            </w:pPr>
            <w:r>
              <w:t xml:space="preserve">56.08</w:t>
            </w:r>
          </w:p>
        </w:tc>
        <w:tc>
          <w:tcPr/>
          <w:p>
            <w:pPr>
              <w:pStyle w:val="Compact"/>
              <w:jc w:val="center"/>
            </w:pPr>
            <w:r>
              <w:t xml:space="preserve">58.47</w:t>
            </w:r>
          </w:p>
        </w:tc>
        <w:tc>
          <w:tcPr/>
          <w:p>
            <w:pPr>
              <w:pStyle w:val="Compact"/>
              <w:jc w:val="center"/>
            </w:pPr>
            <w:r>
              <w:t xml:space="preserve">2.38</w:t>
            </w:r>
          </w:p>
        </w:tc>
        <w:tc>
          <w:tcPr/>
          <w:p>
            <w:pPr>
              <w:pStyle w:val="Compact"/>
              <w:jc w:val="center"/>
            </w:pPr>
            <w:r>
              <w:t xml:space="preserve">4.2</w:t>
            </w:r>
          </w:p>
        </w:tc>
        <w:tc>
          <w:tcPr/>
          <w:p>
            <w:pPr>
              <w:pStyle w:val="Compact"/>
              <w:jc w:val="center"/>
            </w:pPr>
            <w:r>
              <w:t xml:space="preserve">\-0.369</w:t>
            </w:r>
          </w:p>
        </w:tc>
        <w:tc>
          <w:tcPr/>
          <w:p>
            <w:pPr>
              <w:pStyle w:val="Compact"/>
              <w:jc w:val="center"/>
            </w:pPr>
            <w:r>
              <w:t xml:space="preserve">0.7129</w:t>
            </w:r>
          </w:p>
        </w:tc>
        <w:tc>
          <w:tcPr/>
          <w:p>
            <w:pPr>
              <w:pStyle w:val="Compact"/>
            </w:pPr>
          </w:p>
        </w:tc>
        <w:tc>
          <w:tcPr/>
          <w:p>
            <w:pPr>
              <w:pStyle w:val="Compact"/>
              <w:jc w:val="center"/>
            </w:pPr>
            <w:r>
              <w:t xml:space="preserve">40</w:t>
            </w:r>
          </w:p>
        </w:tc>
        <w:tc>
          <w:tcPr/>
          <w:p>
            <w:pPr>
              <w:pStyle w:val="Compact"/>
              <w:jc w:val="center"/>
            </w:pPr>
            <w:r>
              <w:t xml:space="preserve">39</w:t>
            </w:r>
          </w:p>
        </w:tc>
      </w:tr>
      <w:tr>
        <w:tc>
          <w:tcPr/>
          <w:p>
            <w:pPr>
              <w:pStyle w:val="Compact"/>
              <w:jc w:val="center"/>
            </w:pPr>
            <w:r>
              <w:t xml:space="preserve">Group EBIT Adj Margin (%)</w:t>
            </w:r>
          </w:p>
        </w:tc>
        <w:tc>
          <w:tcPr/>
          <w:p>
            <w:pPr>
              <w:pStyle w:val="Compact"/>
              <w:jc w:val="center"/>
            </w:pPr>
            <w:r>
              <w:t xml:space="preserve">7.77</w:t>
            </w:r>
          </w:p>
        </w:tc>
        <w:tc>
          <w:tcPr/>
          <w:p>
            <w:pPr>
              <w:pStyle w:val="Compact"/>
              <w:jc w:val="center"/>
            </w:pPr>
            <w:r>
              <w:t xml:space="preserve">10.48</w:t>
            </w:r>
          </w:p>
        </w:tc>
        <w:tc>
          <w:tcPr/>
          <w:p>
            <w:pPr>
              <w:pStyle w:val="Compact"/>
              <w:jc w:val="center"/>
            </w:pPr>
            <w:r>
              <w:t xml:space="preserve">2.72</w:t>
            </w:r>
          </w:p>
        </w:tc>
        <w:tc>
          <w:tcPr/>
          <w:p>
            <w:pPr>
              <w:pStyle w:val="Compact"/>
              <w:jc w:val="center"/>
            </w:pPr>
            <w:r>
              <w:t xml:space="preserve">35</w:t>
            </w:r>
          </w:p>
        </w:tc>
        <w:tc>
          <w:tcPr/>
          <w:p>
            <w:pPr>
              <w:pStyle w:val="Compact"/>
              <w:jc w:val="center"/>
            </w:pPr>
            <w:r>
              <w:t xml:space="preserve">\-2.988</w:t>
            </w:r>
          </w:p>
        </w:tc>
        <w:tc>
          <w:tcPr/>
          <w:p>
            <w:pPr>
              <w:pStyle w:val="Compact"/>
              <w:jc w:val="center"/>
            </w:pPr>
            <w:r>
              <w:t xml:space="preserve">0.0041</w:t>
            </w:r>
          </w:p>
        </w:tc>
        <w:tc>
          <w:tcPr/>
          <w:p>
            <w:pPr>
              <w:pStyle w:val="Compact"/>
              <w:jc w:val="center"/>
            </w:pPr>
            <w:r>
              <w:t xml:space="preserve">\*\*\*</w:t>
            </w:r>
          </w:p>
        </w:tc>
        <w:tc>
          <w:tcPr/>
          <w:p>
            <w:pPr>
              <w:pStyle w:val="Compact"/>
              <w:jc w:val="center"/>
            </w:pPr>
            <w:r>
              <w:t xml:space="preserve">40</w:t>
            </w:r>
          </w:p>
        </w:tc>
        <w:tc>
          <w:tcPr/>
          <w:p>
            <w:pPr>
              <w:pStyle w:val="Compact"/>
              <w:jc w:val="center"/>
            </w:pPr>
            <w:r>
              <w:t xml:space="preserve">39</w:t>
            </w:r>
          </w:p>
        </w:tc>
      </w:tr>
      <w:tr>
        <w:tc>
          <w:tcPr/>
          <w:p>
            <w:pPr>
              <w:pStyle w:val="Compact"/>
              <w:jc w:val="center"/>
            </w:pPr>
            <w:r>
              <w:t xml:space="preserve">Def. EBIT Adj Margin (%)</w:t>
            </w:r>
          </w:p>
        </w:tc>
        <w:tc>
          <w:tcPr/>
          <w:p>
            <w:pPr>
              <w:pStyle w:val="Compact"/>
              <w:jc w:val="center"/>
            </w:pPr>
            <w:r>
              <w:t xml:space="preserve">10.1</w:t>
            </w:r>
          </w:p>
        </w:tc>
        <w:tc>
          <w:tcPr/>
          <w:p>
            <w:pPr>
              <w:pStyle w:val="Compact"/>
              <w:jc w:val="center"/>
            </w:pPr>
            <w:r>
              <w:t xml:space="preserve">10.88</w:t>
            </w:r>
          </w:p>
        </w:tc>
        <w:tc>
          <w:tcPr/>
          <w:p>
            <w:pPr>
              <w:pStyle w:val="Compact"/>
              <w:jc w:val="center"/>
            </w:pPr>
            <w:r>
              <w:t xml:space="preserve">0.78</w:t>
            </w:r>
          </w:p>
        </w:tc>
        <w:tc>
          <w:tcPr/>
          <w:p>
            <w:pPr>
              <w:pStyle w:val="Compact"/>
              <w:jc w:val="center"/>
            </w:pPr>
            <w:r>
              <w:t xml:space="preserve">7.8</w:t>
            </w:r>
          </w:p>
        </w:tc>
        <w:tc>
          <w:tcPr/>
          <w:p>
            <w:pPr>
              <w:pStyle w:val="Compact"/>
              <w:jc w:val="center"/>
            </w:pPr>
            <w:r>
              <w:t xml:space="preserve">\-0.973</w:t>
            </w:r>
          </w:p>
        </w:tc>
        <w:tc>
          <w:tcPr/>
          <w:p>
            <w:pPr>
              <w:pStyle w:val="Compact"/>
              <w:jc w:val="center"/>
            </w:pPr>
            <w:r>
              <w:t xml:space="preserve">0.3345</w:t>
            </w:r>
          </w:p>
        </w:tc>
        <w:tc>
          <w:tcPr/>
          <w:p>
            <w:pPr>
              <w:pStyle w:val="Compact"/>
            </w:pPr>
          </w:p>
        </w:tc>
        <w:tc>
          <w:tcPr/>
          <w:p>
            <w:pPr>
              <w:pStyle w:val="Compact"/>
              <w:jc w:val="center"/>
            </w:pPr>
            <w:r>
              <w:t xml:space="preserve">40</w:t>
            </w:r>
          </w:p>
        </w:tc>
        <w:tc>
          <w:tcPr/>
          <w:p>
            <w:pPr>
              <w:pStyle w:val="Compact"/>
              <w:jc w:val="center"/>
            </w:pPr>
            <w:r>
              <w:t xml:space="preserve">38</w:t>
            </w:r>
          </w:p>
        </w:tc>
      </w:tr>
      <w:tr>
        <w:tc>
          <w:tcPr/>
          <w:p>
            <w:pPr>
              <w:pStyle w:val="Compact"/>
              <w:jc w:val="center"/>
            </w:pPr>
            <w:r>
              <w:t xml:space="preserve">Book-to-Bill Ratio</w:t>
            </w:r>
          </w:p>
        </w:tc>
        <w:tc>
          <w:tcPr/>
          <w:p>
            <w:pPr>
              <w:pStyle w:val="Compact"/>
              <w:jc w:val="center"/>
            </w:pPr>
            <w:r>
              <w:t xml:space="preserve">1.2</w:t>
            </w:r>
          </w:p>
        </w:tc>
        <w:tc>
          <w:tcPr/>
          <w:p>
            <w:pPr>
              <w:pStyle w:val="Compact"/>
              <w:jc w:val="center"/>
            </w:pPr>
            <w:r>
              <w:t xml:space="preserve">1.75</w:t>
            </w:r>
          </w:p>
        </w:tc>
        <w:tc>
          <w:tcPr/>
          <w:p>
            <w:pPr>
              <w:pStyle w:val="Compact"/>
              <w:jc w:val="center"/>
            </w:pPr>
            <w:r>
              <w:t xml:space="preserve">0.55</w:t>
            </w:r>
          </w:p>
        </w:tc>
        <w:tc>
          <w:tcPr/>
          <w:p>
            <w:pPr>
              <w:pStyle w:val="Compact"/>
              <w:jc w:val="center"/>
            </w:pPr>
            <w:r>
              <w:t xml:space="preserve">45.5</w:t>
            </w:r>
          </w:p>
        </w:tc>
        <w:tc>
          <w:tcPr/>
          <w:p>
            <w:pPr>
              <w:pStyle w:val="Compact"/>
              <w:jc w:val="center"/>
            </w:pPr>
            <w:r>
              <w:t xml:space="preserve">\-3.441</w:t>
            </w:r>
          </w:p>
        </w:tc>
        <w:tc>
          <w:tcPr/>
          <w:p>
            <w:pPr>
              <w:pStyle w:val="Compact"/>
              <w:jc w:val="center"/>
            </w:pPr>
            <w:r>
              <w:t xml:space="preserve">0.0013</w:t>
            </w:r>
          </w:p>
        </w:tc>
        <w:tc>
          <w:tcPr/>
          <w:p>
            <w:pPr>
              <w:pStyle w:val="Compact"/>
              <w:jc w:val="center"/>
            </w:pPr>
            <w:r>
              <w:t xml:space="preserve">\*\*\*</w:t>
            </w:r>
          </w:p>
        </w:tc>
        <w:tc>
          <w:tcPr/>
          <w:p>
            <w:pPr>
              <w:pStyle w:val="Compact"/>
              <w:jc w:val="center"/>
            </w:pPr>
            <w:r>
              <w:t xml:space="preserve">36</w:t>
            </w:r>
          </w:p>
        </w:tc>
        <w:tc>
          <w:tcPr/>
          <w:p>
            <w:pPr>
              <w:pStyle w:val="Compact"/>
              <w:jc w:val="center"/>
            </w:pPr>
            <w:r>
              <w:t xml:space="preserve">35</w:t>
            </w:r>
          </w:p>
        </w:tc>
      </w:tr>
    </w:tbl>
    <w:p>
      <w:pPr>
        <w:pStyle w:val="BodyText"/>
      </w:pPr>
      <w:r>
        <w:t xml:space="preserve">* p&lt;0.10 ** p&lt;0.05 *** p&lt;0.01</w:t>
      </w:r>
    </w:p>
    <w:p>
      <w:pPr>
        <w:pStyle w:val="BodyText"/>
      </w:pPr>
      <w:r>
        <w:t xml:space="preserve">Table 2: Chow Structural Break Test – Test A</w:t>
      </w:r>
    </w:p>
    <w:p>
      <w:pPr>
        <w:pStyle w:val="BodyText"/>
      </w:pPr>
      <w:r>
        <w:rPr>
          <w:iCs/>
          <w:i/>
        </w:rPr>
        <w:t xml:space="preserve">Model: Y = a + b·trend | k=2 parameters each side | F-critical(2,4) at 5% ≈ 6.94</w:t>
      </w:r>
    </w:p>
    <w:tbl>
      <w:tblPr>
        <w:tblStyle w:val="Table"/>
        <w:tblW w:type="pct" w:w="5000"/>
        <w:tblLook w:firstRow="0" w:lastRow="0" w:firstColumn="0" w:lastColumn="0" w:noHBand="0" w:noVBand="0" w:val="0000"/>
        <w:jc w:val="start"/>
      </w:tblPr>
      <w:tblGrid>
        <w:gridCol w:w="1131"/>
        <w:gridCol w:w="1131"/>
        <w:gridCol w:w="1131"/>
        <w:gridCol w:w="1131"/>
        <w:gridCol w:w="1131"/>
        <w:gridCol w:w="1131"/>
        <w:gridCol w:w="1131"/>
      </w:tblGrid>
      <w:tr>
        <w:tc>
          <w:tcPr/>
          <w:p>
            <w:pPr>
              <w:pStyle w:val="Compact"/>
              <w:jc w:val="center"/>
            </w:pPr>
            <w:r>
              <w:t xml:space="preserve">**Company**</w:t>
            </w:r>
          </w:p>
        </w:tc>
        <w:tc>
          <w:tcPr/>
          <w:p>
            <w:pPr>
              <w:pStyle w:val="Compact"/>
              <w:jc w:val="center"/>
            </w:pPr>
            <w:r>
              <w:t xml:space="preserve">**Metric**</w:t>
            </w:r>
          </w:p>
        </w:tc>
        <w:tc>
          <w:tcPr/>
          <w:p>
            <w:pPr>
              <w:pStyle w:val="Compact"/>
              <w:jc w:val="center"/>
            </w:pPr>
            <w:r>
              <w:t xml:space="preserve">**N pre**</w:t>
            </w:r>
          </w:p>
        </w:tc>
        <w:tc>
          <w:tcPr/>
          <w:p>
            <w:pPr>
              <w:pStyle w:val="Compact"/>
              <w:jc w:val="center"/>
            </w:pPr>
            <w:r>
              <w:t xml:space="preserve">**N post**</w:t>
            </w:r>
          </w:p>
        </w:tc>
        <w:tc>
          <w:tcPr/>
          <w:p>
            <w:pPr>
              <w:pStyle w:val="Compact"/>
              <w:jc w:val="center"/>
            </w:pPr>
            <w:r>
              <w:t xml:space="preserve">**F stat**</w:t>
            </w:r>
          </w:p>
        </w:tc>
        <w:tc>
          <w:tcPr/>
          <w:p>
            <w:pPr>
              <w:pStyle w:val="Compact"/>
              <w:jc w:val="center"/>
            </w:pPr>
            <w:r>
              <w:t xml:space="preserve">**p value**</w:t>
            </w:r>
          </w:p>
        </w:tc>
        <w:tc>
          <w:tcPr/>
          <w:p>
            <w:pPr>
              <w:pStyle w:val="Compact"/>
              <w:jc w:val="center"/>
            </w:pPr>
            <w:r>
              <w:t xml:space="preserve">**Sig.**</w:t>
            </w:r>
          </w:p>
        </w:tc>
      </w:tr>
      <w:tr>
        <w:tc>
          <w:tcPr/>
          <w:p>
            <w:pPr>
              <w:pStyle w:val="Compact"/>
              <w:jc w:val="center"/>
            </w:pPr>
            <w:r>
              <w:t xml:space="preserve">Airbus</w:t>
            </w:r>
          </w:p>
        </w:tc>
        <w:tc>
          <w:tcPr/>
          <w:p>
            <w:pPr>
              <w:pStyle w:val="Compact"/>
              <w:jc w:val="center"/>
            </w:pPr>
            <w:r>
              <w:t xml:space="preserve">Def. Rev.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1.707</w:t>
            </w:r>
          </w:p>
        </w:tc>
        <w:tc>
          <w:tcPr/>
          <w:p>
            <w:pPr>
              <w:pStyle w:val="Compact"/>
              <w:jc w:val="center"/>
            </w:pPr>
            <w:r>
              <w:t xml:space="preserve">0.3199</w:t>
            </w:r>
          </w:p>
        </w:tc>
        <w:tc>
          <w:tcPr/>
          <w:p>
            <w:pPr>
              <w:pStyle w:val="Compact"/>
            </w:pPr>
          </w:p>
        </w:tc>
      </w:tr>
      <w:tr>
        <w:tc>
          <w:tcPr/>
          <w:p>
            <w:pPr>
              <w:pStyle w:val="Compact"/>
              <w:jc w:val="center"/>
            </w:pPr>
            <w:r>
              <w:t xml:space="preserve">Airbus</w:t>
            </w:r>
          </w:p>
        </w:tc>
        <w:tc>
          <w:tcPr/>
          <w:p>
            <w:pPr>
              <w:pStyle w:val="Compact"/>
              <w:jc w:val="center"/>
            </w:pPr>
            <w:r>
              <w:t xml:space="preserve">Def. Order Intake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0.478</w:t>
            </w:r>
          </w:p>
        </w:tc>
        <w:tc>
          <w:tcPr/>
          <w:p>
            <w:pPr>
              <w:pStyle w:val="Compact"/>
              <w:jc w:val="center"/>
            </w:pPr>
            <w:r>
              <w:t xml:space="preserve">0.6604</w:t>
            </w:r>
          </w:p>
        </w:tc>
        <w:tc>
          <w:tcPr/>
          <w:p>
            <w:pPr>
              <w:pStyle w:val="Compact"/>
            </w:pPr>
          </w:p>
        </w:tc>
      </w:tr>
      <w:tr>
        <w:tc>
          <w:tcPr/>
          <w:p>
            <w:pPr>
              <w:pStyle w:val="Compact"/>
              <w:jc w:val="center"/>
            </w:pPr>
            <w:r>
              <w:t xml:space="preserve">Airbus</w:t>
            </w:r>
          </w:p>
        </w:tc>
        <w:tc>
          <w:tcPr/>
          <w:p>
            <w:pPr>
              <w:pStyle w:val="Compact"/>
              <w:jc w:val="center"/>
            </w:pPr>
            <w:r>
              <w:t xml:space="preserve">Def. Revenue Share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0.502</w:t>
            </w:r>
          </w:p>
        </w:tc>
        <w:tc>
          <w:tcPr/>
          <w:p>
            <w:pPr>
              <w:pStyle w:val="Compact"/>
              <w:jc w:val="center"/>
            </w:pPr>
            <w:r>
              <w:t xml:space="preserve">0.6391</w:t>
            </w:r>
          </w:p>
        </w:tc>
        <w:tc>
          <w:tcPr/>
          <w:p>
            <w:pPr>
              <w:pStyle w:val="Compact"/>
            </w:pPr>
          </w:p>
        </w:tc>
      </w:tr>
      <w:tr>
        <w:tc>
          <w:tcPr/>
          <w:p>
            <w:pPr>
              <w:pStyle w:val="Compact"/>
              <w:jc w:val="center"/>
            </w:pPr>
            <w:r>
              <w:t xml:space="preserve">Airbus</w:t>
            </w:r>
          </w:p>
        </w:tc>
        <w:tc>
          <w:tcPr/>
          <w:p>
            <w:pPr>
              <w:pStyle w:val="Compact"/>
              <w:jc w:val="center"/>
            </w:pPr>
            <w:r>
              <w:t xml:space="preserve">Group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0.239</w:t>
            </w:r>
          </w:p>
        </w:tc>
        <w:tc>
          <w:tcPr/>
          <w:p>
            <w:pPr>
              <w:pStyle w:val="Compact"/>
              <w:jc w:val="center"/>
            </w:pPr>
            <w:r>
              <w:t xml:space="preserve">0.7977</w:t>
            </w:r>
          </w:p>
        </w:tc>
        <w:tc>
          <w:tcPr/>
          <w:p>
            <w:pPr>
              <w:pStyle w:val="Compact"/>
            </w:pPr>
          </w:p>
        </w:tc>
      </w:tr>
      <w:tr>
        <w:tc>
          <w:tcPr/>
          <w:p>
            <w:pPr>
              <w:pStyle w:val="Compact"/>
              <w:jc w:val="center"/>
            </w:pPr>
            <w:r>
              <w:t xml:space="preserve">Airbus</w:t>
            </w:r>
          </w:p>
        </w:tc>
        <w:tc>
          <w:tcPr/>
          <w:p>
            <w:pPr>
              <w:pStyle w:val="Compact"/>
              <w:jc w:val="center"/>
            </w:pPr>
            <w:r>
              <w:t xml:space="preserve">Def.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0.35</w:t>
            </w:r>
          </w:p>
        </w:tc>
        <w:tc>
          <w:tcPr/>
          <w:p>
            <w:pPr>
              <w:pStyle w:val="Compact"/>
              <w:jc w:val="center"/>
            </w:pPr>
            <w:r>
              <w:t xml:space="preserve">0.7241</w:t>
            </w:r>
          </w:p>
        </w:tc>
        <w:tc>
          <w:tcPr/>
          <w:p>
            <w:pPr>
              <w:pStyle w:val="Compact"/>
            </w:pPr>
          </w:p>
        </w:tc>
      </w:tr>
      <w:tr>
        <w:tc>
          <w:tcPr/>
          <w:p>
            <w:pPr>
              <w:pStyle w:val="Compact"/>
              <w:jc w:val="center"/>
            </w:pPr>
            <w:r>
              <w:t xml:space="preserve">Airbus</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5.729</w:t>
            </w:r>
          </w:p>
        </w:tc>
        <w:tc>
          <w:tcPr/>
          <w:p>
            <w:pPr>
              <w:pStyle w:val="Compact"/>
              <w:jc w:val="center"/>
            </w:pPr>
            <w:r>
              <w:t xml:space="preserve">0.067</w:t>
            </w:r>
          </w:p>
        </w:tc>
        <w:tc>
          <w:tcPr/>
          <w:p>
            <w:pPr>
              <w:pStyle w:val="Compact"/>
              <w:jc w:val="center"/>
            </w:pPr>
            <w:r>
              <w:t xml:space="preserve">\*</w:t>
            </w:r>
          </w:p>
        </w:tc>
      </w:tr>
      <w:tr>
        <w:tc>
          <w:tcPr/>
          <w:p>
            <w:pPr>
              <w:pStyle w:val="Compact"/>
              <w:jc w:val="center"/>
            </w:pPr>
            <w:r>
              <w:t xml:space="preserve">BAE Systems</w:t>
            </w:r>
          </w:p>
        </w:tc>
        <w:tc>
          <w:tcPr/>
          <w:p>
            <w:pPr>
              <w:pStyle w:val="Compact"/>
              <w:jc w:val="center"/>
            </w:pPr>
            <w:r>
              <w:t xml:space="preserve">Def. Rev.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1.094</w:t>
            </w:r>
          </w:p>
        </w:tc>
        <w:tc>
          <w:tcPr/>
          <w:p>
            <w:pPr>
              <w:pStyle w:val="Compact"/>
              <w:jc w:val="center"/>
            </w:pPr>
            <w:r>
              <w:t xml:space="preserve">0.4397</w:t>
            </w:r>
          </w:p>
        </w:tc>
        <w:tc>
          <w:tcPr/>
          <w:p>
            <w:pPr>
              <w:pStyle w:val="Compact"/>
            </w:pPr>
          </w:p>
        </w:tc>
      </w:tr>
      <w:tr>
        <w:tc>
          <w:tcPr/>
          <w:p>
            <w:pPr>
              <w:pStyle w:val="Compact"/>
              <w:jc w:val="center"/>
            </w:pPr>
            <w:r>
              <w:t xml:space="preserve">BAE Systems</w:t>
            </w:r>
          </w:p>
        </w:tc>
        <w:tc>
          <w:tcPr/>
          <w:p>
            <w:pPr>
              <w:pStyle w:val="Compact"/>
              <w:jc w:val="center"/>
            </w:pPr>
            <w:r>
              <w:t xml:space="preserve">Def. Order Intake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1.678</w:t>
            </w:r>
          </w:p>
        </w:tc>
        <w:tc>
          <w:tcPr/>
          <w:p>
            <w:pPr>
              <w:pStyle w:val="Compact"/>
              <w:jc w:val="center"/>
            </w:pPr>
            <w:r>
              <w:t xml:space="preserve">0.3242</w:t>
            </w:r>
          </w:p>
        </w:tc>
        <w:tc>
          <w:tcPr/>
          <w:p>
            <w:pPr>
              <w:pStyle w:val="Compact"/>
            </w:pPr>
          </w:p>
        </w:tc>
      </w:tr>
      <w:tr>
        <w:tc>
          <w:tcPr/>
          <w:p>
            <w:pPr>
              <w:pStyle w:val="Compact"/>
              <w:jc w:val="center"/>
            </w:pPr>
            <w:r>
              <w:t xml:space="preserve">BAE Systems</w:t>
            </w:r>
          </w:p>
        </w:tc>
        <w:tc>
          <w:tcPr/>
          <w:p>
            <w:pPr>
              <w:pStyle w:val="Compact"/>
              <w:jc w:val="center"/>
            </w:pPr>
            <w:r>
              <w:t xml:space="preserve">Def. Revenue Share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w:t>
            </w:r>
          </w:p>
        </w:tc>
        <w:tc>
          <w:tcPr/>
          <w:p>
            <w:pPr>
              <w:pStyle w:val="Compact"/>
              <w:jc w:val="center"/>
            </w:pPr>
            <w:r>
              <w:t xml:space="preserve">1</w:t>
            </w:r>
          </w:p>
        </w:tc>
        <w:tc>
          <w:tcPr/>
          <w:p>
            <w:pPr>
              <w:pStyle w:val="Compact"/>
            </w:pPr>
          </w:p>
        </w:tc>
      </w:tr>
      <w:tr>
        <w:tc>
          <w:tcPr/>
          <w:p>
            <w:pPr>
              <w:pStyle w:val="Compact"/>
              <w:jc w:val="center"/>
            </w:pPr>
            <w:r>
              <w:t xml:space="preserve">BAE Systems</w:t>
            </w:r>
          </w:p>
        </w:tc>
        <w:tc>
          <w:tcPr/>
          <w:p>
            <w:pPr>
              <w:pStyle w:val="Compact"/>
              <w:jc w:val="center"/>
            </w:pPr>
            <w:r>
              <w:t xml:space="preserve">Group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6.465</w:t>
            </w:r>
          </w:p>
        </w:tc>
        <w:tc>
          <w:tcPr/>
          <w:p>
            <w:pPr>
              <w:pStyle w:val="Compact"/>
              <w:jc w:val="center"/>
            </w:pPr>
            <w:r>
              <w:t xml:space="preserve">0.0558</w:t>
            </w:r>
          </w:p>
        </w:tc>
        <w:tc>
          <w:tcPr/>
          <w:p>
            <w:pPr>
              <w:pStyle w:val="Compact"/>
              <w:jc w:val="center"/>
            </w:pPr>
            <w:r>
              <w:t xml:space="preserve">\*</w:t>
            </w:r>
          </w:p>
        </w:tc>
      </w:tr>
      <w:tr>
        <w:tc>
          <w:tcPr/>
          <w:p>
            <w:pPr>
              <w:pStyle w:val="Compact"/>
              <w:jc w:val="center"/>
            </w:pPr>
            <w:r>
              <w:t xml:space="preserve">BAE Systems</w:t>
            </w:r>
          </w:p>
        </w:tc>
        <w:tc>
          <w:tcPr/>
          <w:p>
            <w:pPr>
              <w:pStyle w:val="Compact"/>
              <w:jc w:val="center"/>
            </w:pPr>
            <w:r>
              <w:t xml:space="preserve">Def.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6.465</w:t>
            </w:r>
          </w:p>
        </w:tc>
        <w:tc>
          <w:tcPr/>
          <w:p>
            <w:pPr>
              <w:pStyle w:val="Compact"/>
              <w:jc w:val="center"/>
            </w:pPr>
            <w:r>
              <w:t xml:space="preserve">0.0558</w:t>
            </w:r>
          </w:p>
        </w:tc>
        <w:tc>
          <w:tcPr/>
          <w:p>
            <w:pPr>
              <w:pStyle w:val="Compact"/>
              <w:jc w:val="center"/>
            </w:pPr>
            <w:r>
              <w:t xml:space="preserve">\*</w:t>
            </w:r>
          </w:p>
        </w:tc>
      </w:tr>
      <w:tr>
        <w:tc>
          <w:tcPr/>
          <w:p>
            <w:pPr>
              <w:pStyle w:val="Compact"/>
              <w:jc w:val="center"/>
            </w:pPr>
            <w:r>
              <w:t xml:space="preserve">BAE Systems</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18.447</w:t>
            </w:r>
          </w:p>
        </w:tc>
        <w:tc>
          <w:tcPr/>
          <w:p>
            <w:pPr>
              <w:pStyle w:val="Compact"/>
              <w:jc w:val="center"/>
            </w:pPr>
            <w:r>
              <w:t xml:space="preserve">0.0096</w:t>
            </w:r>
          </w:p>
        </w:tc>
        <w:tc>
          <w:tcPr/>
          <w:p>
            <w:pPr>
              <w:pStyle w:val="Compact"/>
              <w:jc w:val="center"/>
            </w:pPr>
            <w:r>
              <w:t xml:space="preserve">\*\*\*</w:t>
            </w:r>
          </w:p>
        </w:tc>
      </w:tr>
      <w:tr>
        <w:tc>
          <w:tcPr/>
          <w:p>
            <w:pPr>
              <w:pStyle w:val="Compact"/>
              <w:jc w:val="center"/>
            </w:pPr>
            <w:r>
              <w:t xml:space="preserve">Dassault Aviation</w:t>
            </w:r>
          </w:p>
        </w:tc>
        <w:tc>
          <w:tcPr/>
          <w:p>
            <w:pPr>
              <w:pStyle w:val="Compact"/>
              <w:jc w:val="center"/>
            </w:pPr>
            <w:r>
              <w:t xml:space="preserve">Def. Rev.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0.445</w:t>
            </w:r>
          </w:p>
        </w:tc>
        <w:tc>
          <w:tcPr/>
          <w:p>
            <w:pPr>
              <w:pStyle w:val="Compact"/>
              <w:jc w:val="center"/>
            </w:pPr>
            <w:r>
              <w:t xml:space="preserve">0.677</w:t>
            </w:r>
          </w:p>
        </w:tc>
        <w:tc>
          <w:tcPr/>
          <w:p>
            <w:pPr>
              <w:pStyle w:val="Compact"/>
            </w:pPr>
          </w:p>
        </w:tc>
      </w:tr>
      <w:tr>
        <w:tc>
          <w:tcPr/>
          <w:p>
            <w:pPr>
              <w:pStyle w:val="Compact"/>
              <w:jc w:val="center"/>
            </w:pPr>
            <w:r>
              <w:t xml:space="preserve">Dassault Aviation</w:t>
            </w:r>
          </w:p>
        </w:tc>
        <w:tc>
          <w:tcPr/>
          <w:p>
            <w:pPr>
              <w:pStyle w:val="Compact"/>
              <w:jc w:val="center"/>
            </w:pPr>
            <w:r>
              <w:t xml:space="preserve">Def. Order Intake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2.712</w:t>
            </w:r>
          </w:p>
        </w:tc>
        <w:tc>
          <w:tcPr/>
          <w:p>
            <w:pPr>
              <w:pStyle w:val="Compact"/>
              <w:jc w:val="center"/>
            </w:pPr>
            <w:r>
              <w:t xml:space="preserve">0.2125</w:t>
            </w:r>
          </w:p>
        </w:tc>
        <w:tc>
          <w:tcPr/>
          <w:p>
            <w:pPr>
              <w:pStyle w:val="Compact"/>
            </w:pPr>
          </w:p>
        </w:tc>
      </w:tr>
      <w:tr>
        <w:tc>
          <w:tcPr/>
          <w:p>
            <w:pPr>
              <w:pStyle w:val="Compact"/>
              <w:jc w:val="center"/>
            </w:pPr>
            <w:r>
              <w:t xml:space="preserve">Dassault Aviation</w:t>
            </w:r>
          </w:p>
        </w:tc>
        <w:tc>
          <w:tcPr/>
          <w:p>
            <w:pPr>
              <w:pStyle w:val="Compact"/>
              <w:jc w:val="center"/>
            </w:pPr>
            <w:r>
              <w:t xml:space="preserve">Def. Revenue Share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1.969</w:t>
            </w:r>
          </w:p>
        </w:tc>
        <w:tc>
          <w:tcPr/>
          <w:p>
            <w:pPr>
              <w:pStyle w:val="Compact"/>
              <w:jc w:val="center"/>
            </w:pPr>
            <w:r>
              <w:t xml:space="preserve">0.2539</w:t>
            </w:r>
          </w:p>
        </w:tc>
        <w:tc>
          <w:tcPr/>
          <w:p>
            <w:pPr>
              <w:pStyle w:val="Compact"/>
            </w:pPr>
          </w:p>
        </w:tc>
      </w:tr>
      <w:tr>
        <w:tc>
          <w:tcPr/>
          <w:p>
            <w:pPr>
              <w:pStyle w:val="Compact"/>
              <w:jc w:val="center"/>
            </w:pPr>
            <w:r>
              <w:t xml:space="preserve">Dassault Aviation</w:t>
            </w:r>
          </w:p>
        </w:tc>
        <w:tc>
          <w:tcPr/>
          <w:p>
            <w:pPr>
              <w:pStyle w:val="Compact"/>
              <w:jc w:val="center"/>
            </w:pPr>
            <w:r>
              <w:t xml:space="preserve">Group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3.112</w:t>
            </w:r>
          </w:p>
        </w:tc>
        <w:tc>
          <w:tcPr/>
          <w:p>
            <w:pPr>
              <w:pStyle w:val="Compact"/>
              <w:jc w:val="center"/>
            </w:pPr>
            <w:r>
              <w:t xml:space="preserve">0.1531</w:t>
            </w:r>
          </w:p>
        </w:tc>
        <w:tc>
          <w:tcPr/>
          <w:p>
            <w:pPr>
              <w:pStyle w:val="Compact"/>
            </w:pPr>
          </w:p>
        </w:tc>
      </w:tr>
      <w:tr>
        <w:tc>
          <w:tcPr/>
          <w:p>
            <w:pPr>
              <w:pStyle w:val="Compact"/>
              <w:jc w:val="center"/>
            </w:pPr>
            <w:r>
              <w:t xml:space="preserve">Dassault Aviation</w:t>
            </w:r>
          </w:p>
        </w:tc>
        <w:tc>
          <w:tcPr/>
          <w:p>
            <w:pPr>
              <w:pStyle w:val="Compact"/>
              <w:jc w:val="center"/>
            </w:pPr>
            <w:r>
              <w:t xml:space="preserve">Def. EBIT Adj Margin (%)</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1.952</w:t>
            </w:r>
          </w:p>
        </w:tc>
        <w:tc>
          <w:tcPr/>
          <w:p>
            <w:pPr>
              <w:pStyle w:val="Compact"/>
              <w:jc w:val="center"/>
            </w:pPr>
            <w:r>
              <w:t xml:space="preserve">0.2864</w:t>
            </w:r>
          </w:p>
        </w:tc>
        <w:tc>
          <w:tcPr/>
          <w:p>
            <w:pPr>
              <w:pStyle w:val="Compact"/>
            </w:pPr>
          </w:p>
        </w:tc>
      </w:tr>
      <w:tr>
        <w:tc>
          <w:tcPr/>
          <w:p>
            <w:pPr>
              <w:pStyle w:val="Compact"/>
              <w:jc w:val="center"/>
            </w:pPr>
            <w:r>
              <w:t xml:space="preserve">Dassault Aviation</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5.994</w:t>
            </w:r>
          </w:p>
        </w:tc>
        <w:tc>
          <w:tcPr/>
          <w:p>
            <w:pPr>
              <w:pStyle w:val="Compact"/>
              <w:jc w:val="center"/>
            </w:pPr>
            <w:r>
              <w:t xml:space="preserve">0.0626</w:t>
            </w:r>
          </w:p>
        </w:tc>
        <w:tc>
          <w:tcPr/>
          <w:p>
            <w:pPr>
              <w:pStyle w:val="Compact"/>
              <w:jc w:val="center"/>
            </w:pPr>
            <w:r>
              <w:t xml:space="preserve">\*</w:t>
            </w:r>
          </w:p>
        </w:tc>
      </w:tr>
      <w:tr>
        <w:tc>
          <w:tcPr/>
          <w:p>
            <w:pPr>
              <w:pStyle w:val="Compact"/>
              <w:jc w:val="center"/>
            </w:pPr>
            <w:r>
              <w:t xml:space="preserve">Indra</w:t>
            </w:r>
          </w:p>
        </w:tc>
        <w:tc>
          <w:tcPr/>
          <w:p>
            <w:pPr>
              <w:pStyle w:val="Compact"/>
              <w:jc w:val="center"/>
            </w:pPr>
            <w:r>
              <w:t xml:space="preserve">Def. Rev.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0.034</w:t>
            </w:r>
          </w:p>
        </w:tc>
        <w:tc>
          <w:tcPr/>
          <w:p>
            <w:pPr>
              <w:pStyle w:val="Compact"/>
              <w:jc w:val="center"/>
            </w:pPr>
            <w:r>
              <w:t xml:space="preserve">0.9673</w:t>
            </w:r>
          </w:p>
        </w:tc>
        <w:tc>
          <w:tcPr/>
          <w:p>
            <w:pPr>
              <w:pStyle w:val="Compact"/>
            </w:pPr>
          </w:p>
        </w:tc>
      </w:tr>
      <w:tr>
        <w:tc>
          <w:tcPr/>
          <w:p>
            <w:pPr>
              <w:pStyle w:val="Compact"/>
              <w:jc w:val="center"/>
            </w:pPr>
            <w:r>
              <w:t xml:space="preserve">Indra</w:t>
            </w:r>
          </w:p>
        </w:tc>
        <w:tc>
          <w:tcPr/>
          <w:p>
            <w:pPr>
              <w:pStyle w:val="Compact"/>
              <w:jc w:val="center"/>
            </w:pPr>
            <w:r>
              <w:t xml:space="preserve">Def. Order Intake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0.841</w:t>
            </w:r>
          </w:p>
        </w:tc>
        <w:tc>
          <w:tcPr/>
          <w:p>
            <w:pPr>
              <w:pStyle w:val="Compact"/>
              <w:jc w:val="center"/>
            </w:pPr>
            <w:r>
              <w:t xml:space="preserve">0.5128</w:t>
            </w:r>
          </w:p>
        </w:tc>
        <w:tc>
          <w:tcPr/>
          <w:p>
            <w:pPr>
              <w:pStyle w:val="Compact"/>
            </w:pPr>
          </w:p>
        </w:tc>
      </w:tr>
      <w:tr>
        <w:tc>
          <w:tcPr/>
          <w:p>
            <w:pPr>
              <w:pStyle w:val="Compact"/>
              <w:jc w:val="center"/>
            </w:pPr>
            <w:r>
              <w:t xml:space="preserve">Indra</w:t>
            </w:r>
          </w:p>
        </w:tc>
        <w:tc>
          <w:tcPr/>
          <w:p>
            <w:pPr>
              <w:pStyle w:val="Compact"/>
              <w:jc w:val="center"/>
            </w:pPr>
            <w:r>
              <w:t xml:space="preserve">Def. Revenue Share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1.075</w:t>
            </w:r>
          </w:p>
        </w:tc>
        <w:tc>
          <w:tcPr/>
          <w:p>
            <w:pPr>
              <w:pStyle w:val="Compact"/>
              <w:jc w:val="center"/>
            </w:pPr>
            <w:r>
              <w:t xml:space="preserve">0.423</w:t>
            </w:r>
          </w:p>
        </w:tc>
        <w:tc>
          <w:tcPr/>
          <w:p>
            <w:pPr>
              <w:pStyle w:val="Compact"/>
            </w:pPr>
          </w:p>
        </w:tc>
      </w:tr>
      <w:tr>
        <w:tc>
          <w:tcPr/>
          <w:p>
            <w:pPr>
              <w:pStyle w:val="Compact"/>
              <w:jc w:val="center"/>
            </w:pPr>
            <w:r>
              <w:t xml:space="preserve">Indra</w:t>
            </w:r>
          </w:p>
        </w:tc>
        <w:tc>
          <w:tcPr/>
          <w:p>
            <w:pPr>
              <w:pStyle w:val="Compact"/>
              <w:jc w:val="center"/>
            </w:pPr>
            <w:r>
              <w:t xml:space="preserve">Group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0.336</w:t>
            </w:r>
          </w:p>
        </w:tc>
        <w:tc>
          <w:tcPr/>
          <w:p>
            <w:pPr>
              <w:pStyle w:val="Compact"/>
              <w:jc w:val="center"/>
            </w:pPr>
            <w:r>
              <w:t xml:space="preserve">0.733</w:t>
            </w:r>
          </w:p>
        </w:tc>
        <w:tc>
          <w:tcPr/>
          <w:p>
            <w:pPr>
              <w:pStyle w:val="Compact"/>
            </w:pPr>
          </w:p>
        </w:tc>
      </w:tr>
      <w:tr>
        <w:tc>
          <w:tcPr/>
          <w:p>
            <w:pPr>
              <w:pStyle w:val="Compact"/>
              <w:jc w:val="center"/>
            </w:pPr>
            <w:r>
              <w:t xml:space="preserve">Indra</w:t>
            </w:r>
          </w:p>
        </w:tc>
        <w:tc>
          <w:tcPr/>
          <w:p>
            <w:pPr>
              <w:pStyle w:val="Compact"/>
              <w:jc w:val="center"/>
            </w:pPr>
            <w:r>
              <w:t xml:space="preserve">Def.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1.235</w:t>
            </w:r>
          </w:p>
        </w:tc>
        <w:tc>
          <w:tcPr/>
          <w:p>
            <w:pPr>
              <w:pStyle w:val="Compact"/>
              <w:jc w:val="center"/>
            </w:pPr>
            <w:r>
              <w:t xml:space="preserve">0.3822</w:t>
            </w:r>
          </w:p>
        </w:tc>
        <w:tc>
          <w:tcPr/>
          <w:p>
            <w:pPr>
              <w:pStyle w:val="Compact"/>
            </w:pPr>
          </w:p>
        </w:tc>
      </w:tr>
      <w:tr>
        <w:tc>
          <w:tcPr/>
          <w:p>
            <w:pPr>
              <w:pStyle w:val="Compact"/>
              <w:jc w:val="center"/>
            </w:pPr>
            <w:r>
              <w:t xml:space="preserve">Indra</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1.118</w:t>
            </w:r>
          </w:p>
        </w:tc>
        <w:tc>
          <w:tcPr/>
          <w:p>
            <w:pPr>
              <w:pStyle w:val="Compact"/>
              <w:jc w:val="center"/>
            </w:pPr>
            <w:r>
              <w:t xml:space="preserve">0.4115</w:t>
            </w:r>
          </w:p>
        </w:tc>
        <w:tc>
          <w:tcPr/>
          <w:p>
            <w:pPr>
              <w:pStyle w:val="Compact"/>
            </w:pPr>
          </w:p>
        </w:tc>
      </w:tr>
      <w:tr>
        <w:tc>
          <w:tcPr/>
          <w:p>
            <w:pPr>
              <w:pStyle w:val="Compact"/>
              <w:jc w:val="center"/>
            </w:pPr>
            <w:r>
              <w:t xml:space="preserve">Leonardo</w:t>
            </w:r>
          </w:p>
        </w:tc>
        <w:tc>
          <w:tcPr/>
          <w:p>
            <w:pPr>
              <w:pStyle w:val="Compact"/>
              <w:jc w:val="center"/>
            </w:pPr>
            <w:r>
              <w:t xml:space="preserve">Def. Rev.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0.57</w:t>
            </w:r>
          </w:p>
        </w:tc>
        <w:tc>
          <w:tcPr/>
          <w:p>
            <w:pPr>
              <w:pStyle w:val="Compact"/>
              <w:jc w:val="center"/>
            </w:pPr>
            <w:r>
              <w:t xml:space="preserve">0.6171</w:t>
            </w:r>
          </w:p>
        </w:tc>
        <w:tc>
          <w:tcPr/>
          <w:p>
            <w:pPr>
              <w:pStyle w:val="Compact"/>
            </w:pPr>
          </w:p>
        </w:tc>
      </w:tr>
      <w:tr>
        <w:tc>
          <w:tcPr/>
          <w:p>
            <w:pPr>
              <w:pStyle w:val="Compact"/>
              <w:jc w:val="center"/>
            </w:pPr>
            <w:r>
              <w:t xml:space="preserve">Leonardo</w:t>
            </w:r>
          </w:p>
        </w:tc>
        <w:tc>
          <w:tcPr/>
          <w:p>
            <w:pPr>
              <w:pStyle w:val="Compact"/>
              <w:jc w:val="center"/>
            </w:pPr>
            <w:r>
              <w:t xml:space="preserve">Def. Order Intake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1.071</w:t>
            </w:r>
          </w:p>
        </w:tc>
        <w:tc>
          <w:tcPr/>
          <w:p>
            <w:pPr>
              <w:pStyle w:val="Compact"/>
              <w:jc w:val="center"/>
            </w:pPr>
            <w:r>
              <w:t xml:space="preserve">0.4456</w:t>
            </w:r>
          </w:p>
        </w:tc>
        <w:tc>
          <w:tcPr/>
          <w:p>
            <w:pPr>
              <w:pStyle w:val="Compact"/>
            </w:pPr>
          </w:p>
        </w:tc>
      </w:tr>
      <w:tr>
        <w:tc>
          <w:tcPr/>
          <w:p>
            <w:pPr>
              <w:pStyle w:val="Compact"/>
              <w:jc w:val="center"/>
            </w:pPr>
            <w:r>
              <w:t xml:space="preserve">Leonardo</w:t>
            </w:r>
          </w:p>
        </w:tc>
        <w:tc>
          <w:tcPr/>
          <w:p>
            <w:pPr>
              <w:pStyle w:val="Compact"/>
              <w:jc w:val="center"/>
            </w:pPr>
            <w:r>
              <w:t xml:space="preserve">Def. Revenue Share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0.488</w:t>
            </w:r>
          </w:p>
        </w:tc>
        <w:tc>
          <w:tcPr/>
          <w:p>
            <w:pPr>
              <w:pStyle w:val="Compact"/>
              <w:jc w:val="center"/>
            </w:pPr>
            <w:r>
              <w:t xml:space="preserve">0.6463</w:t>
            </w:r>
          </w:p>
        </w:tc>
        <w:tc>
          <w:tcPr/>
          <w:p>
            <w:pPr>
              <w:pStyle w:val="Compact"/>
            </w:pPr>
          </w:p>
        </w:tc>
      </w:tr>
      <w:tr>
        <w:tc>
          <w:tcPr/>
          <w:p>
            <w:pPr>
              <w:pStyle w:val="Compact"/>
              <w:jc w:val="center"/>
            </w:pPr>
            <w:r>
              <w:t xml:space="preserve">Leonardo</w:t>
            </w:r>
          </w:p>
        </w:tc>
        <w:tc>
          <w:tcPr/>
          <w:p>
            <w:pPr>
              <w:pStyle w:val="Compact"/>
              <w:jc w:val="center"/>
            </w:pPr>
            <w:r>
              <w:t xml:space="preserve">Group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2.585</w:t>
            </w:r>
          </w:p>
        </w:tc>
        <w:tc>
          <w:tcPr/>
          <w:p>
            <w:pPr>
              <w:pStyle w:val="Compact"/>
              <w:jc w:val="center"/>
            </w:pPr>
            <w:r>
              <w:t xml:space="preserve">0.1903</w:t>
            </w:r>
          </w:p>
        </w:tc>
        <w:tc>
          <w:tcPr/>
          <w:p>
            <w:pPr>
              <w:pStyle w:val="Compact"/>
            </w:pPr>
          </w:p>
        </w:tc>
      </w:tr>
      <w:tr>
        <w:tc>
          <w:tcPr/>
          <w:p>
            <w:pPr>
              <w:pStyle w:val="Compact"/>
              <w:jc w:val="center"/>
            </w:pPr>
            <w:r>
              <w:t xml:space="preserve">Leonardo</w:t>
            </w:r>
          </w:p>
        </w:tc>
        <w:tc>
          <w:tcPr/>
          <w:p>
            <w:pPr>
              <w:pStyle w:val="Compact"/>
              <w:jc w:val="center"/>
            </w:pPr>
            <w:r>
              <w:t xml:space="preserve">Def.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2.587</w:t>
            </w:r>
          </w:p>
        </w:tc>
        <w:tc>
          <w:tcPr/>
          <w:p>
            <w:pPr>
              <w:pStyle w:val="Compact"/>
              <w:jc w:val="center"/>
            </w:pPr>
            <w:r>
              <w:t xml:space="preserve">0.1901</w:t>
            </w:r>
          </w:p>
        </w:tc>
        <w:tc>
          <w:tcPr/>
          <w:p>
            <w:pPr>
              <w:pStyle w:val="Compact"/>
            </w:pPr>
          </w:p>
        </w:tc>
      </w:tr>
      <w:tr>
        <w:tc>
          <w:tcPr/>
          <w:p>
            <w:pPr>
              <w:pStyle w:val="Compact"/>
              <w:jc w:val="center"/>
            </w:pPr>
            <w:r>
              <w:t xml:space="preserve">Leonardo</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5.839</w:t>
            </w:r>
          </w:p>
        </w:tc>
        <w:tc>
          <w:tcPr/>
          <w:p>
            <w:pPr>
              <w:pStyle w:val="Compact"/>
              <w:jc w:val="center"/>
            </w:pPr>
            <w:r>
              <w:t xml:space="preserve">0.0651</w:t>
            </w:r>
          </w:p>
        </w:tc>
        <w:tc>
          <w:tcPr/>
          <w:p>
            <w:pPr>
              <w:pStyle w:val="Compact"/>
              <w:jc w:val="center"/>
            </w:pPr>
            <w:r>
              <w:t xml:space="preserve">\*</w:t>
            </w:r>
          </w:p>
        </w:tc>
      </w:tr>
      <w:tr>
        <w:tc>
          <w:tcPr/>
          <w:p>
            <w:pPr>
              <w:pStyle w:val="Compact"/>
              <w:jc w:val="center"/>
            </w:pPr>
            <w:r>
              <w:t xml:space="preserve">Rheinmetall</w:t>
            </w:r>
          </w:p>
        </w:tc>
        <w:tc>
          <w:tcPr/>
          <w:p>
            <w:pPr>
              <w:pStyle w:val="Compact"/>
              <w:jc w:val="center"/>
            </w:pPr>
            <w:r>
              <w:t xml:space="preserve">Def. Rev. Growth YoY (%)</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1.516</w:t>
            </w:r>
          </w:p>
        </w:tc>
        <w:tc>
          <w:tcPr/>
          <w:p>
            <w:pPr>
              <w:pStyle w:val="Compact"/>
              <w:jc w:val="center"/>
            </w:pPr>
            <w:r>
              <w:t xml:space="preserve">0.3974</w:t>
            </w:r>
          </w:p>
        </w:tc>
        <w:tc>
          <w:tcPr/>
          <w:p>
            <w:pPr>
              <w:pStyle w:val="Compact"/>
            </w:pPr>
          </w:p>
        </w:tc>
      </w:tr>
      <w:tr>
        <w:tc>
          <w:tcPr/>
          <w:p>
            <w:pPr>
              <w:pStyle w:val="Compact"/>
              <w:jc w:val="center"/>
            </w:pPr>
            <w:r>
              <w:t xml:space="preserve">Rheinmetall</w:t>
            </w:r>
          </w:p>
        </w:tc>
        <w:tc>
          <w:tcPr/>
          <w:p>
            <w:pPr>
              <w:pStyle w:val="Compact"/>
              <w:jc w:val="center"/>
            </w:pPr>
            <w:r>
              <w:t xml:space="preserve">Def. Order Intake Growth YoY (%)</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0.194</w:t>
            </w:r>
          </w:p>
        </w:tc>
        <w:tc>
          <w:tcPr/>
          <w:p>
            <w:pPr>
              <w:pStyle w:val="Compact"/>
              <w:jc w:val="center"/>
            </w:pPr>
            <w:r>
              <w:t xml:space="preserve">0.8377</w:t>
            </w:r>
          </w:p>
        </w:tc>
        <w:tc>
          <w:tcPr/>
          <w:p>
            <w:pPr>
              <w:pStyle w:val="Compact"/>
            </w:pPr>
          </w:p>
        </w:tc>
      </w:tr>
      <w:tr>
        <w:tc>
          <w:tcPr/>
          <w:p>
            <w:pPr>
              <w:pStyle w:val="Compact"/>
              <w:jc w:val="center"/>
            </w:pPr>
            <w:r>
              <w:t xml:space="preserve">Rheinmetall</w:t>
            </w:r>
          </w:p>
        </w:tc>
        <w:tc>
          <w:tcPr/>
          <w:p>
            <w:pPr>
              <w:pStyle w:val="Compact"/>
              <w:jc w:val="center"/>
            </w:pPr>
            <w:r>
              <w:t xml:space="preserve">Def. Revenue Share (%)</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1.391</w:t>
            </w:r>
          </w:p>
        </w:tc>
        <w:tc>
          <w:tcPr/>
          <w:p>
            <w:pPr>
              <w:pStyle w:val="Compact"/>
              <w:jc w:val="center"/>
            </w:pPr>
            <w:r>
              <w:t xml:space="preserve">0.3737</w:t>
            </w:r>
          </w:p>
        </w:tc>
        <w:tc>
          <w:tcPr/>
          <w:p>
            <w:pPr>
              <w:pStyle w:val="Compact"/>
            </w:pPr>
          </w:p>
        </w:tc>
      </w:tr>
      <w:tr>
        <w:tc>
          <w:tcPr/>
          <w:p>
            <w:pPr>
              <w:pStyle w:val="Compact"/>
              <w:jc w:val="center"/>
            </w:pPr>
            <w:r>
              <w:t xml:space="preserve">Rheinmetall</w:t>
            </w:r>
          </w:p>
        </w:tc>
        <w:tc>
          <w:tcPr/>
          <w:p>
            <w:pPr>
              <w:pStyle w:val="Compact"/>
              <w:jc w:val="center"/>
            </w:pPr>
            <w:r>
              <w:t xml:space="preserve">Group EBIT Adj Margin (%)</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1.234</w:t>
            </w:r>
          </w:p>
        </w:tc>
        <w:tc>
          <w:tcPr/>
          <w:p>
            <w:pPr>
              <w:pStyle w:val="Compact"/>
              <w:jc w:val="center"/>
            </w:pPr>
            <w:r>
              <w:t xml:space="preserve">0.4065</w:t>
            </w:r>
          </w:p>
        </w:tc>
        <w:tc>
          <w:tcPr/>
          <w:p>
            <w:pPr>
              <w:pStyle w:val="Compact"/>
            </w:pPr>
          </w:p>
        </w:tc>
      </w:tr>
      <w:tr>
        <w:tc>
          <w:tcPr/>
          <w:p>
            <w:pPr>
              <w:pStyle w:val="Compact"/>
              <w:jc w:val="center"/>
            </w:pPr>
            <w:r>
              <w:t xml:space="preserve">Rheinmetall</w:t>
            </w:r>
          </w:p>
        </w:tc>
        <w:tc>
          <w:tcPr/>
          <w:p>
            <w:pPr>
              <w:pStyle w:val="Compact"/>
              <w:jc w:val="center"/>
            </w:pPr>
            <w:r>
              <w:t xml:space="preserve">Def. EBIT Adj Margin (%)</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0.463</w:t>
            </w:r>
          </w:p>
        </w:tc>
        <w:tc>
          <w:tcPr/>
          <w:p>
            <w:pPr>
              <w:pStyle w:val="Compact"/>
              <w:jc w:val="center"/>
            </w:pPr>
            <w:r>
              <w:t xml:space="preserve">0.6679</w:t>
            </w:r>
          </w:p>
        </w:tc>
        <w:tc>
          <w:tcPr/>
          <w:p>
            <w:pPr>
              <w:pStyle w:val="Compact"/>
            </w:pPr>
          </w:p>
        </w:tc>
      </w:tr>
      <w:tr>
        <w:tc>
          <w:tcPr/>
          <w:p>
            <w:pPr>
              <w:pStyle w:val="Compact"/>
              <w:jc w:val="center"/>
            </w:pPr>
            <w:r>
              <w:t xml:space="preserve">Rheinmetall</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2.266</w:t>
            </w:r>
          </w:p>
        </w:tc>
        <w:tc>
          <w:tcPr/>
          <w:p>
            <w:pPr>
              <w:pStyle w:val="Compact"/>
              <w:jc w:val="center"/>
            </w:pPr>
            <w:r>
              <w:t xml:space="preserve">0.2514</w:t>
            </w:r>
          </w:p>
        </w:tc>
        <w:tc>
          <w:tcPr/>
          <w:p>
            <w:pPr>
              <w:pStyle w:val="Compact"/>
            </w:pPr>
          </w:p>
        </w:tc>
      </w:tr>
      <w:tr>
        <w:tc>
          <w:tcPr/>
          <w:p>
            <w:pPr>
              <w:pStyle w:val="Compact"/>
              <w:jc w:val="center"/>
            </w:pPr>
            <w:r>
              <w:t xml:space="preserve">Rolls-Royce</w:t>
            </w:r>
          </w:p>
        </w:tc>
        <w:tc>
          <w:tcPr/>
          <w:p>
            <w:pPr>
              <w:pStyle w:val="Compact"/>
              <w:jc w:val="center"/>
            </w:pPr>
            <w:r>
              <w:t xml:space="preserve">Def. Rev.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4.434</w:t>
            </w:r>
          </w:p>
        </w:tc>
        <w:tc>
          <w:tcPr/>
          <w:p>
            <w:pPr>
              <w:pStyle w:val="Compact"/>
              <w:jc w:val="center"/>
            </w:pPr>
            <w:r>
              <w:t xml:space="preserve">0.1271</w:t>
            </w:r>
          </w:p>
        </w:tc>
        <w:tc>
          <w:tcPr/>
          <w:p>
            <w:pPr>
              <w:pStyle w:val="Compact"/>
            </w:pPr>
          </w:p>
        </w:tc>
      </w:tr>
      <w:tr>
        <w:tc>
          <w:tcPr/>
          <w:p>
            <w:pPr>
              <w:pStyle w:val="Compact"/>
              <w:jc w:val="center"/>
            </w:pPr>
            <w:r>
              <w:t xml:space="preserve">Rolls-Royce</w:t>
            </w:r>
          </w:p>
        </w:tc>
        <w:tc>
          <w:tcPr/>
          <w:p>
            <w:pPr>
              <w:pStyle w:val="Compact"/>
              <w:jc w:val="center"/>
            </w:pPr>
            <w:r>
              <w:t xml:space="preserve">Def. Order Intake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0.887</w:t>
            </w:r>
          </w:p>
        </w:tc>
        <w:tc>
          <w:tcPr/>
          <w:p>
            <w:pPr>
              <w:pStyle w:val="Compact"/>
              <w:jc w:val="center"/>
            </w:pPr>
            <w:r>
              <w:t xml:space="preserve">0.4982</w:t>
            </w:r>
          </w:p>
        </w:tc>
        <w:tc>
          <w:tcPr/>
          <w:p>
            <w:pPr>
              <w:pStyle w:val="Compact"/>
            </w:pPr>
          </w:p>
        </w:tc>
      </w:tr>
      <w:tr>
        <w:tc>
          <w:tcPr/>
          <w:p>
            <w:pPr>
              <w:pStyle w:val="Compact"/>
              <w:jc w:val="center"/>
            </w:pPr>
            <w:r>
              <w:t xml:space="preserve">Rolls-Royce</w:t>
            </w:r>
          </w:p>
        </w:tc>
        <w:tc>
          <w:tcPr/>
          <w:p>
            <w:pPr>
              <w:pStyle w:val="Compact"/>
              <w:jc w:val="center"/>
            </w:pPr>
            <w:r>
              <w:t xml:space="preserve">Def. Revenue Share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16.978</w:t>
            </w:r>
          </w:p>
        </w:tc>
        <w:tc>
          <w:tcPr/>
          <w:p>
            <w:pPr>
              <w:pStyle w:val="Compact"/>
              <w:jc w:val="center"/>
            </w:pPr>
            <w:r>
              <w:t xml:space="preserve">0.0111</w:t>
            </w:r>
          </w:p>
        </w:tc>
        <w:tc>
          <w:tcPr/>
          <w:p>
            <w:pPr>
              <w:pStyle w:val="Compact"/>
              <w:jc w:val="center"/>
            </w:pPr>
            <w:r>
              <w:t xml:space="preserve">\*\*</w:t>
            </w:r>
          </w:p>
        </w:tc>
      </w:tr>
      <w:tr>
        <w:tc>
          <w:tcPr/>
          <w:p>
            <w:pPr>
              <w:pStyle w:val="Compact"/>
              <w:jc w:val="center"/>
            </w:pPr>
            <w:r>
              <w:t xml:space="preserve">Rolls-Royce</w:t>
            </w:r>
          </w:p>
        </w:tc>
        <w:tc>
          <w:tcPr/>
          <w:p>
            <w:pPr>
              <w:pStyle w:val="Compact"/>
              <w:jc w:val="center"/>
            </w:pPr>
            <w:r>
              <w:t xml:space="preserve">Group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0.891</w:t>
            </w:r>
          </w:p>
        </w:tc>
        <w:tc>
          <w:tcPr/>
          <w:p>
            <w:pPr>
              <w:pStyle w:val="Compact"/>
              <w:jc w:val="center"/>
            </w:pPr>
            <w:r>
              <w:t xml:space="preserve">0.4785</w:t>
            </w:r>
          </w:p>
        </w:tc>
        <w:tc>
          <w:tcPr/>
          <w:p>
            <w:pPr>
              <w:pStyle w:val="Compact"/>
            </w:pPr>
          </w:p>
        </w:tc>
      </w:tr>
      <w:tr>
        <w:tc>
          <w:tcPr/>
          <w:p>
            <w:pPr>
              <w:pStyle w:val="Compact"/>
              <w:jc w:val="center"/>
            </w:pPr>
            <w:r>
              <w:t xml:space="preserve">Rolls-Royce</w:t>
            </w:r>
          </w:p>
        </w:tc>
        <w:tc>
          <w:tcPr/>
          <w:p>
            <w:pPr>
              <w:pStyle w:val="Compact"/>
              <w:jc w:val="center"/>
            </w:pPr>
            <w:r>
              <w:t xml:space="preserve">Def.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3.965</w:t>
            </w:r>
          </w:p>
        </w:tc>
        <w:tc>
          <w:tcPr/>
          <w:p>
            <w:pPr>
              <w:pStyle w:val="Compact"/>
              <w:jc w:val="center"/>
            </w:pPr>
            <w:r>
              <w:t xml:space="preserve">0.1124</w:t>
            </w:r>
          </w:p>
        </w:tc>
        <w:tc>
          <w:tcPr/>
          <w:p>
            <w:pPr>
              <w:pStyle w:val="Compact"/>
            </w:pPr>
          </w:p>
        </w:tc>
      </w:tr>
      <w:tr>
        <w:tc>
          <w:tcPr/>
          <w:p>
            <w:pPr>
              <w:pStyle w:val="Compact"/>
              <w:jc w:val="center"/>
            </w:pPr>
            <w:r>
              <w:t xml:space="preserve">Rolls-Royce</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0.666</w:t>
            </w:r>
          </w:p>
        </w:tc>
        <w:tc>
          <w:tcPr/>
          <w:p>
            <w:pPr>
              <w:pStyle w:val="Compact"/>
              <w:jc w:val="center"/>
            </w:pPr>
            <w:r>
              <w:t xml:space="preserve">0.5628</w:t>
            </w:r>
          </w:p>
        </w:tc>
        <w:tc>
          <w:tcPr/>
          <w:p>
            <w:pPr>
              <w:pStyle w:val="Compact"/>
            </w:pPr>
          </w:p>
        </w:tc>
      </w:tr>
      <w:tr>
        <w:tc>
          <w:tcPr/>
          <w:p>
            <w:pPr>
              <w:pStyle w:val="Compact"/>
              <w:jc w:val="center"/>
            </w:pPr>
            <w:r>
              <w:t xml:space="preserve">Saab</w:t>
            </w:r>
          </w:p>
        </w:tc>
        <w:tc>
          <w:tcPr/>
          <w:p>
            <w:pPr>
              <w:pStyle w:val="Compact"/>
              <w:jc w:val="center"/>
            </w:pPr>
            <w:r>
              <w:t xml:space="preserve">Def. Rev.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0.298</w:t>
            </w:r>
          </w:p>
        </w:tc>
        <w:tc>
          <w:tcPr/>
          <w:p>
            <w:pPr>
              <w:pStyle w:val="Compact"/>
              <w:jc w:val="center"/>
            </w:pPr>
            <w:r>
              <w:t xml:space="preserve">0.7621</w:t>
            </w:r>
          </w:p>
        </w:tc>
        <w:tc>
          <w:tcPr/>
          <w:p>
            <w:pPr>
              <w:pStyle w:val="Compact"/>
            </w:pPr>
          </w:p>
        </w:tc>
      </w:tr>
      <w:tr>
        <w:tc>
          <w:tcPr/>
          <w:p>
            <w:pPr>
              <w:pStyle w:val="Compact"/>
              <w:jc w:val="center"/>
            </w:pPr>
            <w:r>
              <w:t xml:space="preserve">Saab</w:t>
            </w:r>
          </w:p>
        </w:tc>
        <w:tc>
          <w:tcPr/>
          <w:p>
            <w:pPr>
              <w:pStyle w:val="Compact"/>
              <w:jc w:val="center"/>
            </w:pPr>
            <w:r>
              <w:t xml:space="preserve">Def. Order Intake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0.024</w:t>
            </w:r>
          </w:p>
        </w:tc>
        <w:tc>
          <w:tcPr/>
          <w:p>
            <w:pPr>
              <w:pStyle w:val="Compact"/>
              <w:jc w:val="center"/>
            </w:pPr>
            <w:r>
              <w:t xml:space="preserve">0.9763</w:t>
            </w:r>
          </w:p>
        </w:tc>
        <w:tc>
          <w:tcPr/>
          <w:p>
            <w:pPr>
              <w:pStyle w:val="Compact"/>
            </w:pPr>
          </w:p>
        </w:tc>
      </w:tr>
      <w:tr>
        <w:tc>
          <w:tcPr/>
          <w:p>
            <w:pPr>
              <w:pStyle w:val="Compact"/>
              <w:jc w:val="center"/>
            </w:pPr>
            <w:r>
              <w:t xml:space="preserve">Saab</w:t>
            </w:r>
          </w:p>
        </w:tc>
        <w:tc>
          <w:tcPr/>
          <w:p>
            <w:pPr>
              <w:pStyle w:val="Compact"/>
              <w:jc w:val="center"/>
            </w:pPr>
            <w:r>
              <w:t xml:space="preserve">Def. Revenue Share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3.14</w:t>
            </w:r>
          </w:p>
        </w:tc>
        <w:tc>
          <w:tcPr/>
          <w:p>
            <w:pPr>
              <w:pStyle w:val="Compact"/>
              <w:jc w:val="center"/>
            </w:pPr>
            <w:r>
              <w:t xml:space="preserve">0.1514</w:t>
            </w:r>
          </w:p>
        </w:tc>
        <w:tc>
          <w:tcPr/>
          <w:p>
            <w:pPr>
              <w:pStyle w:val="Compact"/>
            </w:pPr>
          </w:p>
        </w:tc>
      </w:tr>
      <w:tr>
        <w:tc>
          <w:tcPr/>
          <w:p>
            <w:pPr>
              <w:pStyle w:val="Compact"/>
              <w:jc w:val="center"/>
            </w:pPr>
            <w:r>
              <w:t xml:space="preserve">Saab</w:t>
            </w:r>
          </w:p>
        </w:tc>
        <w:tc>
          <w:tcPr/>
          <w:p>
            <w:pPr>
              <w:pStyle w:val="Compact"/>
              <w:jc w:val="center"/>
            </w:pPr>
            <w:r>
              <w:t xml:space="preserve">Group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0.629</w:t>
            </w:r>
          </w:p>
        </w:tc>
        <w:tc>
          <w:tcPr/>
          <w:p>
            <w:pPr>
              <w:pStyle w:val="Compact"/>
              <w:jc w:val="center"/>
            </w:pPr>
            <w:r>
              <w:t xml:space="preserve">0.5785</w:t>
            </w:r>
          </w:p>
        </w:tc>
        <w:tc>
          <w:tcPr/>
          <w:p>
            <w:pPr>
              <w:pStyle w:val="Compact"/>
            </w:pPr>
          </w:p>
        </w:tc>
      </w:tr>
      <w:tr>
        <w:tc>
          <w:tcPr/>
          <w:p>
            <w:pPr>
              <w:pStyle w:val="Compact"/>
              <w:jc w:val="center"/>
            </w:pPr>
            <w:r>
              <w:t xml:space="preserve">Saab</w:t>
            </w:r>
          </w:p>
        </w:tc>
        <w:tc>
          <w:tcPr/>
          <w:p>
            <w:pPr>
              <w:pStyle w:val="Compact"/>
              <w:jc w:val="center"/>
            </w:pPr>
            <w:r>
              <w:t xml:space="preserve">Def.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0.648</w:t>
            </w:r>
          </w:p>
        </w:tc>
        <w:tc>
          <w:tcPr/>
          <w:p>
            <w:pPr>
              <w:pStyle w:val="Compact"/>
              <w:jc w:val="center"/>
            </w:pPr>
            <w:r>
              <w:t xml:space="preserve">0.5702</w:t>
            </w:r>
          </w:p>
        </w:tc>
        <w:tc>
          <w:tcPr/>
          <w:p>
            <w:pPr>
              <w:pStyle w:val="Compact"/>
            </w:pPr>
          </w:p>
        </w:tc>
      </w:tr>
      <w:tr>
        <w:tc>
          <w:tcPr/>
          <w:p>
            <w:pPr>
              <w:pStyle w:val="Compact"/>
              <w:jc w:val="center"/>
            </w:pPr>
            <w:r>
              <w:t xml:space="preserve">Saab</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0.152</w:t>
            </w:r>
          </w:p>
        </w:tc>
        <w:tc>
          <w:tcPr/>
          <w:p>
            <w:pPr>
              <w:pStyle w:val="Compact"/>
              <w:jc w:val="center"/>
            </w:pPr>
            <w:r>
              <w:t xml:space="preserve">0.8634</w:t>
            </w:r>
          </w:p>
        </w:tc>
        <w:tc>
          <w:tcPr/>
          <w:p>
            <w:pPr>
              <w:pStyle w:val="Compact"/>
            </w:pPr>
          </w:p>
        </w:tc>
      </w:tr>
      <w:tr>
        <w:tc>
          <w:tcPr/>
          <w:p>
            <w:pPr>
              <w:pStyle w:val="Compact"/>
              <w:jc w:val="center"/>
            </w:pPr>
            <w:r>
              <w:t xml:space="preserve">Safran</w:t>
            </w:r>
          </w:p>
        </w:tc>
        <w:tc>
          <w:tcPr/>
          <w:p>
            <w:pPr>
              <w:pStyle w:val="Compact"/>
              <w:jc w:val="center"/>
            </w:pPr>
            <w:r>
              <w:t xml:space="preserve">Def. Rev.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3.021</w:t>
            </w:r>
          </w:p>
        </w:tc>
        <w:tc>
          <w:tcPr/>
          <w:p>
            <w:pPr>
              <w:pStyle w:val="Compact"/>
              <w:jc w:val="center"/>
            </w:pPr>
            <w:r>
              <w:t xml:space="preserve">0.1911</w:t>
            </w:r>
          </w:p>
        </w:tc>
        <w:tc>
          <w:tcPr/>
          <w:p>
            <w:pPr>
              <w:pStyle w:val="Compact"/>
            </w:pPr>
          </w:p>
        </w:tc>
      </w:tr>
      <w:tr>
        <w:tc>
          <w:tcPr/>
          <w:p>
            <w:pPr>
              <w:pStyle w:val="Compact"/>
              <w:jc w:val="center"/>
            </w:pPr>
            <w:r>
              <w:t xml:space="preserve">Safran</w:t>
            </w:r>
          </w:p>
        </w:tc>
        <w:tc>
          <w:tcPr/>
          <w:p>
            <w:pPr>
              <w:pStyle w:val="Compact"/>
              <w:jc w:val="center"/>
            </w:pPr>
            <w:r>
              <w:t xml:space="preserve">Def. Revenue Share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2.945</w:t>
            </w:r>
          </w:p>
        </w:tc>
        <w:tc>
          <w:tcPr/>
          <w:p>
            <w:pPr>
              <w:pStyle w:val="Compact"/>
              <w:jc w:val="center"/>
            </w:pPr>
            <w:r>
              <w:t xml:space="preserve">0.1636</w:t>
            </w:r>
          </w:p>
        </w:tc>
        <w:tc>
          <w:tcPr/>
          <w:p>
            <w:pPr>
              <w:pStyle w:val="Compact"/>
            </w:pPr>
          </w:p>
        </w:tc>
      </w:tr>
      <w:tr>
        <w:tc>
          <w:tcPr/>
          <w:p>
            <w:pPr>
              <w:pStyle w:val="Compact"/>
              <w:jc w:val="center"/>
            </w:pPr>
            <w:r>
              <w:t xml:space="preserve">Safran</w:t>
            </w:r>
          </w:p>
        </w:tc>
        <w:tc>
          <w:tcPr/>
          <w:p>
            <w:pPr>
              <w:pStyle w:val="Compact"/>
              <w:jc w:val="center"/>
            </w:pPr>
            <w:r>
              <w:t xml:space="preserve">Group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4.01</w:t>
            </w:r>
          </w:p>
        </w:tc>
        <w:tc>
          <w:tcPr/>
          <w:p>
            <w:pPr>
              <w:pStyle w:val="Compact"/>
              <w:jc w:val="center"/>
            </w:pPr>
            <w:r>
              <w:t xml:space="preserve">0.1108</w:t>
            </w:r>
          </w:p>
        </w:tc>
        <w:tc>
          <w:tcPr/>
          <w:p>
            <w:pPr>
              <w:pStyle w:val="Compact"/>
            </w:pPr>
          </w:p>
        </w:tc>
      </w:tr>
      <w:tr>
        <w:tc>
          <w:tcPr/>
          <w:p>
            <w:pPr>
              <w:pStyle w:val="Compact"/>
              <w:jc w:val="center"/>
            </w:pPr>
            <w:r>
              <w:t xml:space="preserve">Safran</w:t>
            </w:r>
          </w:p>
        </w:tc>
        <w:tc>
          <w:tcPr/>
          <w:p>
            <w:pPr>
              <w:pStyle w:val="Compact"/>
              <w:jc w:val="center"/>
            </w:pPr>
            <w:r>
              <w:t xml:space="preserve">Def.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0.024</w:t>
            </w:r>
          </w:p>
        </w:tc>
        <w:tc>
          <w:tcPr/>
          <w:p>
            <w:pPr>
              <w:pStyle w:val="Compact"/>
              <w:jc w:val="center"/>
            </w:pPr>
            <w:r>
              <w:t xml:space="preserve">0.9762</w:t>
            </w:r>
          </w:p>
        </w:tc>
        <w:tc>
          <w:tcPr/>
          <w:p>
            <w:pPr>
              <w:pStyle w:val="Compact"/>
            </w:pPr>
          </w:p>
        </w:tc>
      </w:tr>
      <w:tr>
        <w:tc>
          <w:tcPr/>
          <w:p>
            <w:pPr>
              <w:pStyle w:val="Compact"/>
              <w:jc w:val="center"/>
            </w:pPr>
            <w:r>
              <w:t xml:space="preserve">Thales</w:t>
            </w:r>
          </w:p>
        </w:tc>
        <w:tc>
          <w:tcPr/>
          <w:p>
            <w:pPr>
              <w:pStyle w:val="Compact"/>
              <w:jc w:val="center"/>
            </w:pPr>
            <w:r>
              <w:t xml:space="preserve">Def. Rev.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0.011</w:t>
            </w:r>
          </w:p>
        </w:tc>
        <w:tc>
          <w:tcPr/>
          <w:p>
            <w:pPr>
              <w:pStyle w:val="Compact"/>
              <w:jc w:val="center"/>
            </w:pPr>
            <w:r>
              <w:t xml:space="preserve">0.989</w:t>
            </w:r>
          </w:p>
        </w:tc>
        <w:tc>
          <w:tcPr/>
          <w:p>
            <w:pPr>
              <w:pStyle w:val="Compact"/>
            </w:pPr>
          </w:p>
        </w:tc>
      </w:tr>
      <w:tr>
        <w:tc>
          <w:tcPr/>
          <w:p>
            <w:pPr>
              <w:pStyle w:val="Compact"/>
              <w:jc w:val="center"/>
            </w:pPr>
            <w:r>
              <w:t xml:space="preserve">Thales</w:t>
            </w:r>
          </w:p>
        </w:tc>
        <w:tc>
          <w:tcPr/>
          <w:p>
            <w:pPr>
              <w:pStyle w:val="Compact"/>
              <w:jc w:val="center"/>
            </w:pPr>
            <w:r>
              <w:t xml:space="preserve">Def. Order Intake Growth YoY (%)</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0.868</w:t>
            </w:r>
          </w:p>
        </w:tc>
        <w:tc>
          <w:tcPr/>
          <w:p>
            <w:pPr>
              <w:pStyle w:val="Compact"/>
              <w:jc w:val="center"/>
            </w:pPr>
            <w:r>
              <w:t xml:space="preserve">0.5043</w:t>
            </w:r>
          </w:p>
        </w:tc>
        <w:tc>
          <w:tcPr/>
          <w:p>
            <w:pPr>
              <w:pStyle w:val="Compact"/>
            </w:pPr>
          </w:p>
        </w:tc>
      </w:tr>
      <w:tr>
        <w:tc>
          <w:tcPr/>
          <w:p>
            <w:pPr>
              <w:pStyle w:val="Compact"/>
              <w:jc w:val="center"/>
            </w:pPr>
            <w:r>
              <w:t xml:space="preserve">Thales</w:t>
            </w:r>
          </w:p>
        </w:tc>
        <w:tc>
          <w:tcPr/>
          <w:p>
            <w:pPr>
              <w:pStyle w:val="Compact"/>
              <w:jc w:val="center"/>
            </w:pPr>
            <w:r>
              <w:t xml:space="preserve">Def. Revenue Share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0.004</w:t>
            </w:r>
          </w:p>
        </w:tc>
        <w:tc>
          <w:tcPr/>
          <w:p>
            <w:pPr>
              <w:pStyle w:val="Compact"/>
              <w:jc w:val="center"/>
            </w:pPr>
            <w:r>
              <w:t xml:space="preserve">0.9959</w:t>
            </w:r>
          </w:p>
        </w:tc>
        <w:tc>
          <w:tcPr/>
          <w:p>
            <w:pPr>
              <w:pStyle w:val="Compact"/>
            </w:pPr>
          </w:p>
        </w:tc>
      </w:tr>
      <w:tr>
        <w:tc>
          <w:tcPr/>
          <w:p>
            <w:pPr>
              <w:pStyle w:val="Compact"/>
              <w:jc w:val="center"/>
            </w:pPr>
            <w:r>
              <w:t xml:space="preserve">Thales</w:t>
            </w:r>
          </w:p>
        </w:tc>
        <w:tc>
          <w:tcPr/>
          <w:p>
            <w:pPr>
              <w:pStyle w:val="Compact"/>
              <w:jc w:val="center"/>
            </w:pPr>
            <w:r>
              <w:t xml:space="preserve">Group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1.464</w:t>
            </w:r>
          </w:p>
        </w:tc>
        <w:tc>
          <w:tcPr/>
          <w:p>
            <w:pPr>
              <w:pStyle w:val="Compact"/>
              <w:jc w:val="center"/>
            </w:pPr>
            <w:r>
              <w:t xml:space="preserve">0.3334</w:t>
            </w:r>
          </w:p>
        </w:tc>
        <w:tc>
          <w:tcPr/>
          <w:p>
            <w:pPr>
              <w:pStyle w:val="Compact"/>
            </w:pPr>
          </w:p>
        </w:tc>
      </w:tr>
      <w:tr>
        <w:tc>
          <w:tcPr/>
          <w:p>
            <w:pPr>
              <w:pStyle w:val="Compact"/>
              <w:jc w:val="center"/>
            </w:pPr>
            <w:r>
              <w:t xml:space="preserve">Thales</w:t>
            </w:r>
          </w:p>
        </w:tc>
        <w:tc>
          <w:tcPr/>
          <w:p>
            <w:pPr>
              <w:pStyle w:val="Compact"/>
              <w:jc w:val="center"/>
            </w:pPr>
            <w:r>
              <w:t xml:space="preserve">Def. EBIT Adj Margin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0.178</w:t>
            </w:r>
          </w:p>
        </w:tc>
        <w:tc>
          <w:tcPr/>
          <w:p>
            <w:pPr>
              <w:pStyle w:val="Compact"/>
              <w:jc w:val="center"/>
            </w:pPr>
            <w:r>
              <w:t xml:space="preserve">0.8434</w:t>
            </w:r>
          </w:p>
        </w:tc>
        <w:tc>
          <w:tcPr/>
          <w:p>
            <w:pPr>
              <w:pStyle w:val="Compact"/>
            </w:pPr>
          </w:p>
        </w:tc>
      </w:tr>
      <w:tr>
        <w:tc>
          <w:tcPr/>
          <w:p>
            <w:pPr>
              <w:pStyle w:val="Compact"/>
              <w:jc w:val="center"/>
            </w:pPr>
            <w:r>
              <w:t xml:space="preserve">Thales</w:t>
            </w:r>
          </w:p>
        </w:tc>
        <w:tc>
          <w:tcPr/>
          <w:p>
            <w:pPr>
              <w:pStyle w:val="Compact"/>
              <w:jc w:val="center"/>
            </w:pPr>
            <w:r>
              <w:t xml:space="preserve">Book-to-Bill Ratio</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162.64</w:t>
            </w:r>
          </w:p>
        </w:tc>
        <w:tc>
          <w:tcPr/>
          <w:p>
            <w:pPr>
              <w:pStyle w:val="Compact"/>
              <w:jc w:val="center"/>
            </w:pPr>
            <w:r>
              <w:t xml:space="preserve">0.0001</w:t>
            </w:r>
          </w:p>
        </w:tc>
        <w:tc>
          <w:tcPr/>
          <w:p>
            <w:pPr>
              <w:pStyle w:val="Compact"/>
              <w:jc w:val="center"/>
            </w:pPr>
            <w:r>
              <w:t xml:space="preserve">\*\*\*</w:t>
            </w:r>
          </w:p>
        </w:tc>
      </w:tr>
    </w:tbl>
    <w:p>
      <w:pPr>
        <w:pStyle w:val="BodyText"/>
      </w:pPr>
      <w:r>
        <w:rPr>
          <w:iCs/>
          <w:i/>
        </w:rPr>
        <w:t xml:space="preserve">* p&lt;0.10 ** p&lt;0.05 *** p&lt;0.01 | Significant (p&lt;0.05): 3 of 58 testable pairs</w:t>
      </w:r>
    </w:p>
    <w:p>
      <w:pPr>
        <w:pStyle w:val="BodyText"/>
      </w:pPr>
      <w:r>
        <w:rPr>
          <w:iCs/>
          <w:i/>
        </w:rPr>
        <w:t xml:space="preserve">Power caveat: F-critical(2,4) at 5% ≈ 6.94 with only ~4+4 observations. Most non-significant results reflect insufficient power, not absence of break.</w:t>
      </w:r>
    </w:p>
    <w:p>
      <w:pPr>
        <w:pStyle w:val="BodyText"/>
      </w:pPr>
      <w:r>
        <w:t xml:space="preserve">Table 3: Chow Structural Break Test – Test B</w:t>
      </w:r>
    </w:p>
    <w:tbl>
      <w:tblPr>
        <w:tblStyle w:val="Table"/>
        <w:tblW w:type="pct" w:w="5000"/>
        <w:tblLook w:firstRow="0" w:lastRow="0" w:firstColumn="0" w:lastColumn="0" w:noHBand="0" w:noVBand="0" w:val="0000"/>
        <w:jc w:val="start"/>
      </w:tblPr>
      <w:tblGrid>
        <w:gridCol w:w="1320"/>
        <w:gridCol w:w="1320"/>
        <w:gridCol w:w="1320"/>
        <w:gridCol w:w="1320"/>
        <w:gridCol w:w="1320"/>
        <w:gridCol w:w="1320"/>
      </w:tblGrid>
      <w:tr>
        <w:tc>
          <w:tcPr/>
          <w:p>
            <w:pPr>
              <w:pStyle w:val="Compact"/>
              <w:jc w:val="center"/>
            </w:pPr>
            <w:r>
              <w:t xml:space="preserve">**Metric**</w:t>
            </w:r>
          </w:p>
        </w:tc>
        <w:tc>
          <w:tcPr/>
          <w:p>
            <w:pPr>
              <w:pStyle w:val="Compact"/>
              <w:jc w:val="center"/>
            </w:pPr>
            <w:r>
              <w:t xml:space="preserve">**N pre**</w:t>
            </w:r>
          </w:p>
        </w:tc>
        <w:tc>
          <w:tcPr/>
          <w:p>
            <w:pPr>
              <w:pStyle w:val="Compact"/>
              <w:jc w:val="center"/>
            </w:pPr>
            <w:r>
              <w:t xml:space="preserve">**N post**</w:t>
            </w:r>
          </w:p>
        </w:tc>
        <w:tc>
          <w:tcPr/>
          <w:p>
            <w:pPr>
              <w:pStyle w:val="Compact"/>
              <w:jc w:val="center"/>
            </w:pPr>
            <w:r>
              <w:t xml:space="preserve">**F stat**</w:t>
            </w:r>
          </w:p>
        </w:tc>
        <w:tc>
          <w:tcPr/>
          <w:p>
            <w:pPr>
              <w:pStyle w:val="Compact"/>
              <w:jc w:val="center"/>
            </w:pPr>
            <w:r>
              <w:t xml:space="preserve">**p value**</w:t>
            </w:r>
          </w:p>
        </w:tc>
        <w:tc>
          <w:tcPr/>
          <w:p>
            <w:pPr>
              <w:pStyle w:val="Compact"/>
              <w:jc w:val="center"/>
            </w:pPr>
            <w:r>
              <w:t xml:space="preserve">**Sig.**</w:t>
            </w:r>
          </w:p>
        </w:tc>
      </w:tr>
      <w:tr>
        <w:tc>
          <w:tcPr/>
          <w:p>
            <w:pPr>
              <w:pStyle w:val="Compact"/>
              <w:jc w:val="center"/>
            </w:pPr>
            <w:r>
              <w:t xml:space="preserve">Def. Rev. Growth YoY (%)</w:t>
            </w:r>
          </w:p>
        </w:tc>
        <w:tc>
          <w:tcPr/>
          <w:p>
            <w:pPr>
              <w:pStyle w:val="Compact"/>
              <w:jc w:val="center"/>
            </w:pPr>
            <w:r>
              <w:t xml:space="preserve">30</w:t>
            </w:r>
          </w:p>
        </w:tc>
        <w:tc>
          <w:tcPr/>
          <w:p>
            <w:pPr>
              <w:pStyle w:val="Compact"/>
              <w:jc w:val="center"/>
            </w:pPr>
            <w:r>
              <w:t xml:space="preserve">39</w:t>
            </w:r>
          </w:p>
        </w:tc>
        <w:tc>
          <w:tcPr/>
          <w:p>
            <w:pPr>
              <w:pStyle w:val="Compact"/>
              <w:jc w:val="center"/>
            </w:pPr>
            <w:r>
              <w:t xml:space="preserve">2.187</w:t>
            </w:r>
          </w:p>
        </w:tc>
        <w:tc>
          <w:tcPr/>
          <w:p>
            <w:pPr>
              <w:pStyle w:val="Compact"/>
              <w:jc w:val="center"/>
            </w:pPr>
            <w:r>
              <w:t xml:space="preserve">0.1204</w:t>
            </w:r>
          </w:p>
        </w:tc>
        <w:tc>
          <w:tcPr/>
          <w:p>
            <w:pPr>
              <w:pStyle w:val="Compact"/>
            </w:pPr>
          </w:p>
        </w:tc>
      </w:tr>
      <w:tr>
        <w:tc>
          <w:tcPr/>
          <w:p>
            <w:pPr>
              <w:pStyle w:val="Compact"/>
              <w:jc w:val="center"/>
            </w:pPr>
            <w:r>
              <w:t xml:space="preserve">Def. Order Intake Growth YoY (%)</w:t>
            </w:r>
          </w:p>
        </w:tc>
        <w:tc>
          <w:tcPr/>
          <w:p>
            <w:pPr>
              <w:pStyle w:val="Compact"/>
              <w:jc w:val="center"/>
            </w:pPr>
            <w:r>
              <w:t xml:space="preserve">27</w:t>
            </w:r>
          </w:p>
        </w:tc>
        <w:tc>
          <w:tcPr/>
          <w:p>
            <w:pPr>
              <w:pStyle w:val="Compact"/>
              <w:jc w:val="center"/>
            </w:pPr>
            <w:r>
              <w:t xml:space="preserve">35</w:t>
            </w:r>
          </w:p>
        </w:tc>
        <w:tc>
          <w:tcPr/>
          <w:p>
            <w:pPr>
              <w:pStyle w:val="Compact"/>
              <w:jc w:val="center"/>
            </w:pPr>
            <w:r>
              <w:t xml:space="preserve">0.235</w:t>
            </w:r>
          </w:p>
        </w:tc>
        <w:tc>
          <w:tcPr/>
          <w:p>
            <w:pPr>
              <w:pStyle w:val="Compact"/>
              <w:jc w:val="center"/>
            </w:pPr>
            <w:r>
              <w:t xml:space="preserve">0.7911</w:t>
            </w:r>
          </w:p>
        </w:tc>
        <w:tc>
          <w:tcPr/>
          <w:p>
            <w:pPr>
              <w:pStyle w:val="Compact"/>
            </w:pPr>
          </w:p>
        </w:tc>
      </w:tr>
      <w:tr>
        <w:tc>
          <w:tcPr/>
          <w:p>
            <w:pPr>
              <w:pStyle w:val="Compact"/>
              <w:jc w:val="center"/>
            </w:pPr>
            <w:r>
              <w:t xml:space="preserve">Def. Revenue Share (%)</w:t>
            </w:r>
          </w:p>
        </w:tc>
        <w:tc>
          <w:tcPr/>
          <w:p>
            <w:pPr>
              <w:pStyle w:val="Compact"/>
              <w:jc w:val="center"/>
            </w:pPr>
            <w:r>
              <w:t xml:space="preserve">40</w:t>
            </w:r>
          </w:p>
        </w:tc>
        <w:tc>
          <w:tcPr/>
          <w:p>
            <w:pPr>
              <w:pStyle w:val="Compact"/>
              <w:jc w:val="center"/>
            </w:pPr>
            <w:r>
              <w:t xml:space="preserve">39</w:t>
            </w:r>
          </w:p>
        </w:tc>
        <w:tc>
          <w:tcPr/>
          <w:p>
            <w:pPr>
              <w:pStyle w:val="Compact"/>
              <w:jc w:val="center"/>
            </w:pPr>
            <w:r>
              <w:t xml:space="preserve">4.877</w:t>
            </w:r>
          </w:p>
        </w:tc>
        <w:tc>
          <w:tcPr/>
          <w:p>
            <w:pPr>
              <w:pStyle w:val="Compact"/>
              <w:jc w:val="center"/>
            </w:pPr>
            <w:r>
              <w:t xml:space="preserve">0.0102</w:t>
            </w:r>
          </w:p>
        </w:tc>
        <w:tc>
          <w:tcPr/>
          <w:p>
            <w:pPr>
              <w:pStyle w:val="Compact"/>
              <w:jc w:val="center"/>
            </w:pPr>
            <w:r>
              <w:t xml:space="preserve">\*\*</w:t>
            </w:r>
          </w:p>
        </w:tc>
      </w:tr>
      <w:tr>
        <w:tc>
          <w:tcPr/>
          <w:p>
            <w:pPr>
              <w:pStyle w:val="Compact"/>
              <w:jc w:val="center"/>
            </w:pPr>
            <w:r>
              <w:t xml:space="preserve">Group EBIT Adj Margin (%)</w:t>
            </w:r>
          </w:p>
        </w:tc>
        <w:tc>
          <w:tcPr/>
          <w:p>
            <w:pPr>
              <w:pStyle w:val="Compact"/>
              <w:jc w:val="center"/>
            </w:pPr>
            <w:r>
              <w:t xml:space="preserve">40</w:t>
            </w:r>
          </w:p>
        </w:tc>
        <w:tc>
          <w:tcPr/>
          <w:p>
            <w:pPr>
              <w:pStyle w:val="Compact"/>
              <w:jc w:val="center"/>
            </w:pPr>
            <w:r>
              <w:t xml:space="preserve">39</w:t>
            </w:r>
          </w:p>
        </w:tc>
        <w:tc>
          <w:tcPr/>
          <w:p>
            <w:pPr>
              <w:pStyle w:val="Compact"/>
              <w:jc w:val="center"/>
            </w:pPr>
            <w:r>
              <w:t xml:space="preserve">4.859</w:t>
            </w:r>
          </w:p>
        </w:tc>
        <w:tc>
          <w:tcPr/>
          <w:p>
            <w:pPr>
              <w:pStyle w:val="Compact"/>
              <w:jc w:val="center"/>
            </w:pPr>
            <w:r>
              <w:t xml:space="preserve">0.0104</w:t>
            </w:r>
          </w:p>
        </w:tc>
        <w:tc>
          <w:tcPr/>
          <w:p>
            <w:pPr>
              <w:pStyle w:val="Compact"/>
              <w:jc w:val="center"/>
            </w:pPr>
            <w:r>
              <w:t xml:space="preserve">\*\*</w:t>
            </w:r>
          </w:p>
        </w:tc>
      </w:tr>
      <w:tr>
        <w:tc>
          <w:tcPr/>
          <w:p>
            <w:pPr>
              <w:pStyle w:val="Compact"/>
              <w:jc w:val="center"/>
            </w:pPr>
            <w:r>
              <w:t xml:space="preserve">Def. EBIT Adj Margin (%)</w:t>
            </w:r>
          </w:p>
        </w:tc>
        <w:tc>
          <w:tcPr/>
          <w:p>
            <w:pPr>
              <w:pStyle w:val="Compact"/>
              <w:jc w:val="center"/>
            </w:pPr>
            <w:r>
              <w:t xml:space="preserve">40</w:t>
            </w:r>
          </w:p>
        </w:tc>
        <w:tc>
          <w:tcPr/>
          <w:p>
            <w:pPr>
              <w:pStyle w:val="Compact"/>
              <w:jc w:val="center"/>
            </w:pPr>
            <w:r>
              <w:t xml:space="preserve">38</w:t>
            </w:r>
          </w:p>
        </w:tc>
        <w:tc>
          <w:tcPr/>
          <w:p>
            <w:pPr>
              <w:pStyle w:val="Compact"/>
              <w:jc w:val="center"/>
            </w:pPr>
            <w:r>
              <w:t xml:space="preserve">2.495</w:t>
            </w:r>
          </w:p>
        </w:tc>
        <w:tc>
          <w:tcPr/>
          <w:p>
            <w:pPr>
              <w:pStyle w:val="Compact"/>
              <w:jc w:val="center"/>
            </w:pPr>
            <w:r>
              <w:t xml:space="preserve">0.0894</w:t>
            </w:r>
          </w:p>
        </w:tc>
        <w:tc>
          <w:tcPr/>
          <w:p>
            <w:pPr>
              <w:pStyle w:val="Compact"/>
              <w:jc w:val="center"/>
            </w:pPr>
            <w:r>
              <w:t xml:space="preserve">\*</w:t>
            </w:r>
          </w:p>
        </w:tc>
      </w:tr>
      <w:tr>
        <w:tc>
          <w:tcPr/>
          <w:p>
            <w:pPr>
              <w:pStyle w:val="Compact"/>
              <w:jc w:val="center"/>
            </w:pPr>
            <w:r>
              <w:t xml:space="preserve">Book-to-Bill Ratio</w:t>
            </w:r>
          </w:p>
        </w:tc>
        <w:tc>
          <w:tcPr/>
          <w:p>
            <w:pPr>
              <w:pStyle w:val="Compact"/>
              <w:jc w:val="center"/>
            </w:pPr>
            <w:r>
              <w:t xml:space="preserve">36</w:t>
            </w:r>
          </w:p>
        </w:tc>
        <w:tc>
          <w:tcPr/>
          <w:p>
            <w:pPr>
              <w:pStyle w:val="Compact"/>
              <w:jc w:val="center"/>
            </w:pPr>
            <w:r>
              <w:t xml:space="preserve">35</w:t>
            </w:r>
          </w:p>
        </w:tc>
        <w:tc>
          <w:tcPr/>
          <w:p>
            <w:pPr>
              <w:pStyle w:val="Compact"/>
              <w:jc w:val="center"/>
            </w:pPr>
            <w:r>
              <w:t xml:space="preserve">0.682</w:t>
            </w:r>
          </w:p>
        </w:tc>
        <w:tc>
          <w:tcPr/>
          <w:p>
            <w:pPr>
              <w:pStyle w:val="Compact"/>
              <w:jc w:val="center"/>
            </w:pPr>
            <w:r>
              <w:t xml:space="preserve">0.5089</w:t>
            </w:r>
          </w:p>
        </w:tc>
        <w:tc>
          <w:tcPr/>
          <w:p>
            <w:pPr>
              <w:pStyle w:val="Compact"/>
            </w:pPr>
          </w:p>
        </w:tc>
      </w:tr>
    </w:tbl>
    <w:p>
      <w:pPr>
        <w:pStyle w:val="BodyText"/>
      </w:pPr>
      <w:r>
        <w:rPr>
          <w:iCs/>
          <w:i/>
        </w:rPr>
        <w:t xml:space="preserve">* p&lt;0.10 ** p&lt;0.05 *** p&lt;0.01 | F-critical(2,~65) at 5% ≈ 3.14</w:t>
      </w:r>
    </w:p>
    <w:p>
      <w:pPr>
        <w:pStyle w:val="BodyText"/>
      </w:pPr>
      <w:r>
        <w:rPr>
          <w:iCs/>
          <w:i/>
        </w:rPr>
        <w:t xml:space="preserve">Confirmed breaks (p&lt;0.05): 2/6 — Def. Revenue Share (%), Group EBIT Adj Margin (%)</w:t>
      </w:r>
    </w:p>
    <w:p>
      <w:pPr>
        <w:pStyle w:val="BodyText"/>
      </w:pPr>
      <w:r>
        <w:t xml:space="preserve">Table 4: Panel Fixed-Effects Regression (with estimator HC3 SE)</w:t>
      </w:r>
    </w:p>
    <w:tbl>
      <w:tblPr>
        <w:tblStyle w:val="Table"/>
        <w:tblW w:type="pct" w:w="5000"/>
        <w:tblLook w:firstRow="0" w:lastRow="0" w:firstColumn="0" w:lastColumn="0" w:noHBand="0" w:noVBand="0" w:val="0000"/>
        <w:jc w:val="start"/>
      </w:tblPr>
      <w:tblGrid>
        <w:gridCol w:w="792"/>
        <w:gridCol w:w="792"/>
        <w:gridCol w:w="792"/>
        <w:gridCol w:w="792"/>
        <w:gridCol w:w="792"/>
        <w:gridCol w:w="792"/>
        <w:gridCol w:w="792"/>
        <w:gridCol w:w="792"/>
        <w:gridCol w:w="792"/>
        <w:gridCol w:w="792"/>
      </w:tblGrid>
      <w:tr>
        <w:tc>
          <w:tcPr/>
          <w:p>
            <w:pPr>
              <w:pStyle w:val="Compact"/>
              <w:jc w:val="center"/>
            </w:pPr>
            <w:r>
              <w:t xml:space="preserve">**Metric**</w:t>
            </w:r>
          </w:p>
        </w:tc>
        <w:tc>
          <w:tcPr/>
          <w:p>
            <w:pPr>
              <w:pStyle w:val="Compact"/>
              <w:jc w:val="center"/>
            </w:pPr>
            <w:r>
              <w:t xml:space="preserve">**N**</w:t>
            </w:r>
          </w:p>
        </w:tc>
        <w:tc>
          <w:tcPr/>
          <w:p>
            <w:pPr>
              <w:pStyle w:val="Compact"/>
              <w:jc w:val="center"/>
            </w:pPr>
            <w:r>
              <w:t xml:space="preserve">**R² within**</w:t>
            </w:r>
          </w:p>
        </w:tc>
        <w:tc>
          <w:tcPr/>
          <w:p>
            <w:pPr>
              <w:pStyle w:val="Compact"/>
              <w:jc w:val="center"/>
            </w:pPr>
            <w:r>
              <w:t xml:space="preserve">**B POST**</w:t>
            </w:r>
          </w:p>
        </w:tc>
        <w:tc>
          <w:tcPr/>
          <w:p>
            <w:pPr>
              <w:pStyle w:val="Compact"/>
              <w:jc w:val="center"/>
            </w:pPr>
            <w:r>
              <w:t xml:space="preserve">**p POST**</w:t>
            </w:r>
          </w:p>
        </w:tc>
        <w:tc>
          <w:tcPr/>
          <w:p>
            <w:pPr>
              <w:pStyle w:val="Compact"/>
              <w:jc w:val="center"/>
            </w:pPr>
            <w:r>
              <w:t xml:space="preserve">**sig POST**</w:t>
            </w:r>
          </w:p>
        </w:tc>
        <w:tc>
          <w:tcPr/>
          <w:p>
            <w:pPr>
              <w:pStyle w:val="Compact"/>
              <w:jc w:val="center"/>
            </w:pPr>
            <w:r>
              <w:t xml:space="preserve">**B trend**</w:t>
            </w:r>
          </w:p>
        </w:tc>
        <w:tc>
          <w:tcPr/>
          <w:p>
            <w:pPr>
              <w:pStyle w:val="Compact"/>
              <w:jc w:val="center"/>
            </w:pPr>
            <w:r>
              <w:t xml:space="preserve">**p trend**</w:t>
            </w:r>
          </w:p>
        </w:tc>
        <w:tc>
          <w:tcPr/>
          <w:p>
            <w:pPr>
              <w:pStyle w:val="Compact"/>
              <w:jc w:val="center"/>
            </w:pPr>
            <w:r>
              <w:t xml:space="preserve">**sig trend**</w:t>
            </w:r>
          </w:p>
        </w:tc>
        <w:tc>
          <w:tcPr/>
          <w:p>
            <w:pPr>
              <w:pStyle w:val="Compact"/>
              <w:jc w:val="center"/>
            </w:pPr>
            <w:r>
              <w:t xml:space="preserve">**DW**</w:t>
            </w:r>
          </w:p>
        </w:tc>
      </w:tr>
      <w:tr>
        <w:tc>
          <w:tcPr/>
          <w:p>
            <w:pPr>
              <w:pStyle w:val="Compact"/>
              <w:jc w:val="center"/>
            </w:pPr>
            <w:r>
              <w:t xml:space="preserve">Def. Rev. Growth YoY (%)</w:t>
            </w:r>
          </w:p>
        </w:tc>
        <w:tc>
          <w:tcPr/>
          <w:p>
            <w:pPr>
              <w:pStyle w:val="Compact"/>
              <w:jc w:val="center"/>
            </w:pPr>
            <w:r>
              <w:t xml:space="preserve">69</w:t>
            </w:r>
          </w:p>
        </w:tc>
        <w:tc>
          <w:tcPr/>
          <w:p>
            <w:pPr>
              <w:pStyle w:val="Compact"/>
              <w:jc w:val="center"/>
            </w:pPr>
            <w:r>
              <w:t xml:space="preserve">0.023</w:t>
            </w:r>
          </w:p>
        </w:tc>
        <w:tc>
          <w:tcPr/>
          <w:p>
            <w:pPr>
              <w:pStyle w:val="Compact"/>
              <w:jc w:val="center"/>
            </w:pPr>
            <w:r>
              <w:t xml:space="preserve">12.855</w:t>
            </w:r>
          </w:p>
        </w:tc>
        <w:tc>
          <w:tcPr/>
          <w:p>
            <w:pPr>
              <w:pStyle w:val="Compact"/>
              <w:jc w:val="center"/>
            </w:pPr>
            <w:r>
              <w:t xml:space="preserve">0.4746</w:t>
            </w:r>
          </w:p>
        </w:tc>
        <w:tc>
          <w:tcPr/>
          <w:p>
            <w:pPr>
              <w:pStyle w:val="Compact"/>
            </w:pPr>
          </w:p>
        </w:tc>
        <w:tc>
          <w:tcPr/>
          <w:p>
            <w:pPr>
              <w:pStyle w:val="Compact"/>
              <w:jc w:val="center"/>
            </w:pPr>
            <w:r>
              <w:t xml:space="preserve">\-7.536</w:t>
            </w:r>
          </w:p>
        </w:tc>
        <w:tc>
          <w:tcPr/>
          <w:p>
            <w:pPr>
              <w:pStyle w:val="Compact"/>
              <w:jc w:val="center"/>
            </w:pPr>
            <w:r>
              <w:t xml:space="preserve">0.3640</w:t>
            </w:r>
          </w:p>
        </w:tc>
        <w:tc>
          <w:tcPr/>
          <w:p>
            <w:pPr>
              <w:pStyle w:val="Compact"/>
            </w:pPr>
          </w:p>
        </w:tc>
        <w:tc>
          <w:tcPr/>
          <w:p>
            <w:pPr>
              <w:pStyle w:val="Compact"/>
              <w:jc w:val="center"/>
            </w:pPr>
            <w:r>
              <w:t xml:space="preserve">2.11</w:t>
            </w:r>
          </w:p>
        </w:tc>
      </w:tr>
      <w:tr>
        <w:tc>
          <w:tcPr/>
          <w:p>
            <w:pPr>
              <w:pStyle w:val="Compact"/>
              <w:jc w:val="center"/>
            </w:pPr>
            <w:r>
              <w:t xml:space="preserve">Def. Order Intake Growth YoY (%)</w:t>
            </w:r>
          </w:p>
        </w:tc>
        <w:tc>
          <w:tcPr/>
          <w:p>
            <w:pPr>
              <w:pStyle w:val="Compact"/>
              <w:jc w:val="center"/>
            </w:pPr>
            <w:r>
              <w:t xml:space="preserve">62</w:t>
            </w:r>
          </w:p>
        </w:tc>
        <w:tc>
          <w:tcPr/>
          <w:p>
            <w:pPr>
              <w:pStyle w:val="Compact"/>
              <w:jc w:val="center"/>
            </w:pPr>
            <w:r>
              <w:t xml:space="preserve">0.031</w:t>
            </w:r>
          </w:p>
        </w:tc>
        <w:tc>
          <w:tcPr/>
          <w:p>
            <w:pPr>
              <w:pStyle w:val="Compact"/>
              <w:jc w:val="center"/>
            </w:pPr>
            <w:r>
              <w:t xml:space="preserve">\-35.688</w:t>
            </w:r>
          </w:p>
        </w:tc>
        <w:tc>
          <w:tcPr/>
          <w:p>
            <w:pPr>
              <w:pStyle w:val="Compact"/>
              <w:jc w:val="center"/>
            </w:pPr>
            <w:r>
              <w:t xml:space="preserve">0.5527</w:t>
            </w:r>
          </w:p>
        </w:tc>
        <w:tc>
          <w:tcPr/>
          <w:p>
            <w:pPr>
              <w:pStyle w:val="Compact"/>
            </w:pPr>
          </w:p>
        </w:tc>
        <w:tc>
          <w:tcPr/>
          <w:p>
            <w:pPr>
              <w:pStyle w:val="Compact"/>
              <w:jc w:val="center"/>
            </w:pPr>
            <w:r>
              <w:t xml:space="preserve">15.906</w:t>
            </w:r>
          </w:p>
        </w:tc>
        <w:tc>
          <w:tcPr/>
          <w:p>
            <w:pPr>
              <w:pStyle w:val="Compact"/>
              <w:jc w:val="center"/>
            </w:pPr>
            <w:r>
              <w:t xml:space="preserve">0.3701</w:t>
            </w:r>
          </w:p>
        </w:tc>
        <w:tc>
          <w:tcPr/>
          <w:p>
            <w:pPr>
              <w:pStyle w:val="Compact"/>
            </w:pPr>
          </w:p>
        </w:tc>
        <w:tc>
          <w:tcPr/>
          <w:p>
            <w:pPr>
              <w:pStyle w:val="Compact"/>
              <w:jc w:val="center"/>
            </w:pPr>
            <w:r>
              <w:t xml:space="preserve">2.27</w:t>
            </w:r>
          </w:p>
        </w:tc>
      </w:tr>
      <w:tr>
        <w:tc>
          <w:tcPr/>
          <w:p>
            <w:pPr>
              <w:pStyle w:val="Compact"/>
              <w:jc w:val="center"/>
            </w:pPr>
            <w:r>
              <w:t xml:space="preserve">Def. Revenue Share (%)</w:t>
            </w:r>
          </w:p>
        </w:tc>
        <w:tc>
          <w:tcPr/>
          <w:p>
            <w:pPr>
              <w:pStyle w:val="Compact"/>
              <w:jc w:val="center"/>
            </w:pPr>
            <w:r>
              <w:t xml:space="preserve">79</w:t>
            </w:r>
          </w:p>
        </w:tc>
        <w:tc>
          <w:tcPr/>
          <w:p>
            <w:pPr>
              <w:pStyle w:val="Compact"/>
              <w:jc w:val="center"/>
            </w:pPr>
            <w:r>
              <w:t xml:space="preserve">0.114</w:t>
            </w:r>
          </w:p>
        </w:tc>
        <w:tc>
          <w:tcPr/>
          <w:p>
            <w:pPr>
              <w:pStyle w:val="Compact"/>
              <w:jc w:val="center"/>
            </w:pPr>
            <w:r>
              <w:t xml:space="preserve">\-2.512</w:t>
            </w:r>
          </w:p>
        </w:tc>
        <w:tc>
          <w:tcPr/>
          <w:p>
            <w:pPr>
              <w:pStyle w:val="Compact"/>
              <w:jc w:val="center"/>
            </w:pPr>
            <w:r>
              <w:t xml:space="preserve">0.2217</w:t>
            </w:r>
          </w:p>
        </w:tc>
        <w:tc>
          <w:tcPr/>
          <w:p>
            <w:pPr>
              <w:pStyle w:val="Compact"/>
            </w:pPr>
          </w:p>
        </w:tc>
        <w:tc>
          <w:tcPr/>
          <w:p>
            <w:pPr>
              <w:pStyle w:val="Compact"/>
              <w:jc w:val="center"/>
            </w:pPr>
            <w:r>
              <w:t xml:space="preserve">1.318</w:t>
            </w:r>
          </w:p>
        </w:tc>
        <w:tc>
          <w:tcPr/>
          <w:p>
            <w:pPr>
              <w:pStyle w:val="Compact"/>
              <w:jc w:val="center"/>
            </w:pPr>
            <w:r>
              <w:t xml:space="preserve">0.0432</w:t>
            </w:r>
          </w:p>
        </w:tc>
        <w:tc>
          <w:tcPr/>
          <w:p>
            <w:pPr>
              <w:pStyle w:val="Compact"/>
              <w:jc w:val="center"/>
            </w:pPr>
            <w:r>
              <w:t xml:space="preserve">\*\*</w:t>
            </w:r>
          </w:p>
        </w:tc>
        <w:tc>
          <w:tcPr/>
          <w:p>
            <w:pPr>
              <w:pStyle w:val="Compact"/>
              <w:jc w:val="center"/>
            </w:pPr>
            <w:r>
              <w:t xml:space="preserve">1.40</w:t>
            </w:r>
          </w:p>
        </w:tc>
      </w:tr>
      <w:tr>
        <w:tc>
          <w:tcPr/>
          <w:p>
            <w:pPr>
              <w:pStyle w:val="Compact"/>
              <w:jc w:val="center"/>
            </w:pPr>
            <w:r>
              <w:t xml:space="preserve">Group EBIT Adj Margin (%)</w:t>
            </w:r>
          </w:p>
        </w:tc>
        <w:tc>
          <w:tcPr/>
          <w:p>
            <w:pPr>
              <w:pStyle w:val="Compact"/>
              <w:jc w:val="center"/>
            </w:pPr>
            <w:r>
              <w:t xml:space="preserve">79</w:t>
            </w:r>
          </w:p>
        </w:tc>
        <w:tc>
          <w:tcPr/>
          <w:p>
            <w:pPr>
              <w:pStyle w:val="Compact"/>
              <w:jc w:val="center"/>
            </w:pPr>
            <w:r>
              <w:t xml:space="preserve">0.150</w:t>
            </w:r>
          </w:p>
        </w:tc>
        <w:tc>
          <w:tcPr/>
          <w:p>
            <w:pPr>
              <w:pStyle w:val="Compact"/>
              <w:jc w:val="center"/>
            </w:pPr>
            <w:r>
              <w:t xml:space="preserve">2.688</w:t>
            </w:r>
          </w:p>
        </w:tc>
        <w:tc>
          <w:tcPr/>
          <w:p>
            <w:pPr>
              <w:pStyle w:val="Compact"/>
              <w:jc w:val="center"/>
            </w:pPr>
            <w:r>
              <w:t xml:space="preserve">0.0372</w:t>
            </w:r>
          </w:p>
        </w:tc>
        <w:tc>
          <w:tcPr/>
          <w:p>
            <w:pPr>
              <w:pStyle w:val="Compact"/>
              <w:jc w:val="center"/>
            </w:pPr>
            <w:r>
              <w:t xml:space="preserve">\*\*</w:t>
            </w:r>
          </w:p>
        </w:tc>
        <w:tc>
          <w:tcPr/>
          <w:p>
            <w:pPr>
              <w:pStyle w:val="Compact"/>
              <w:jc w:val="center"/>
            </w:pPr>
            <w:r>
              <w:t xml:space="preserve">0.019</w:t>
            </w:r>
          </w:p>
        </w:tc>
        <w:tc>
          <w:tcPr/>
          <w:p>
            <w:pPr>
              <w:pStyle w:val="Compact"/>
              <w:jc w:val="center"/>
            </w:pPr>
            <w:r>
              <w:t xml:space="preserve">0.9424</w:t>
            </w:r>
          </w:p>
        </w:tc>
        <w:tc>
          <w:tcPr/>
          <w:p>
            <w:pPr>
              <w:pStyle w:val="Compact"/>
            </w:pPr>
          </w:p>
        </w:tc>
        <w:tc>
          <w:tcPr/>
          <w:p>
            <w:pPr>
              <w:pStyle w:val="Compact"/>
              <w:jc w:val="center"/>
            </w:pPr>
            <w:r>
              <w:t xml:space="preserve">1.76</w:t>
            </w:r>
          </w:p>
        </w:tc>
      </w:tr>
      <w:tr>
        <w:tc>
          <w:tcPr/>
          <w:p>
            <w:pPr>
              <w:pStyle w:val="Compact"/>
              <w:jc w:val="center"/>
            </w:pPr>
            <w:r>
              <w:t xml:space="preserve">Def. EBIT Adj Margin (%)</w:t>
            </w:r>
          </w:p>
        </w:tc>
        <w:tc>
          <w:tcPr/>
          <w:p>
            <w:pPr>
              <w:pStyle w:val="Compact"/>
              <w:jc w:val="center"/>
            </w:pPr>
            <w:r>
              <w:t xml:space="preserve">78</w:t>
            </w:r>
          </w:p>
        </w:tc>
        <w:tc>
          <w:tcPr/>
          <w:p>
            <w:pPr>
              <w:pStyle w:val="Compact"/>
              <w:jc w:val="center"/>
            </w:pPr>
            <w:r>
              <w:t xml:space="preserve">0.031</w:t>
            </w:r>
          </w:p>
        </w:tc>
        <w:tc>
          <w:tcPr/>
          <w:p>
            <w:pPr>
              <w:pStyle w:val="Compact"/>
              <w:jc w:val="center"/>
            </w:pPr>
            <w:r>
              <w:t xml:space="preserve">0.602</w:t>
            </w:r>
          </w:p>
        </w:tc>
        <w:tc>
          <w:tcPr/>
          <w:p>
            <w:pPr>
              <w:pStyle w:val="Compact"/>
              <w:jc w:val="center"/>
            </w:pPr>
            <w:r>
              <w:t xml:space="preserve">0.4195</w:t>
            </w:r>
          </w:p>
        </w:tc>
        <w:tc>
          <w:tcPr/>
          <w:p>
            <w:pPr>
              <w:pStyle w:val="Compact"/>
            </w:pPr>
          </w:p>
        </w:tc>
        <w:tc>
          <w:tcPr/>
          <w:p>
            <w:pPr>
              <w:pStyle w:val="Compact"/>
              <w:jc w:val="center"/>
            </w:pPr>
            <w:r>
              <w:t xml:space="preserve">0.048</w:t>
            </w:r>
          </w:p>
        </w:tc>
        <w:tc>
          <w:tcPr/>
          <w:p>
            <w:pPr>
              <w:pStyle w:val="Compact"/>
              <w:jc w:val="center"/>
            </w:pPr>
            <w:r>
              <w:t xml:space="preserve">0.8107</w:t>
            </w:r>
          </w:p>
        </w:tc>
        <w:tc>
          <w:tcPr/>
          <w:p>
            <w:pPr>
              <w:pStyle w:val="Compact"/>
            </w:pPr>
          </w:p>
        </w:tc>
        <w:tc>
          <w:tcPr/>
          <w:p>
            <w:pPr>
              <w:pStyle w:val="Compact"/>
              <w:jc w:val="center"/>
            </w:pPr>
            <w:r>
              <w:t xml:space="preserve">1.37</w:t>
            </w:r>
          </w:p>
        </w:tc>
      </w:tr>
      <w:tr>
        <w:tc>
          <w:tcPr/>
          <w:p>
            <w:pPr>
              <w:pStyle w:val="Compact"/>
              <w:jc w:val="center"/>
            </w:pPr>
            <w:r>
              <w:t xml:space="preserve">Book-to-Bill Ratio</w:t>
            </w:r>
          </w:p>
        </w:tc>
        <w:tc>
          <w:tcPr/>
          <w:p>
            <w:pPr>
              <w:pStyle w:val="Compact"/>
              <w:jc w:val="center"/>
            </w:pPr>
            <w:r>
              <w:t xml:space="preserve">71</w:t>
            </w:r>
          </w:p>
        </w:tc>
        <w:tc>
          <w:tcPr/>
          <w:p>
            <w:pPr>
              <w:pStyle w:val="Compact"/>
              <w:jc w:val="center"/>
            </w:pPr>
            <w:r>
              <w:t xml:space="preserve">0.178</w:t>
            </w:r>
          </w:p>
        </w:tc>
        <w:tc>
          <w:tcPr/>
          <w:p>
            <w:pPr>
              <w:pStyle w:val="Compact"/>
              <w:jc w:val="center"/>
            </w:pPr>
            <w:r>
              <w:t xml:space="preserve">0.318</w:t>
            </w:r>
          </w:p>
        </w:tc>
        <w:tc>
          <w:tcPr/>
          <w:p>
            <w:pPr>
              <w:pStyle w:val="Compact"/>
              <w:jc w:val="center"/>
            </w:pPr>
            <w:r>
              <w:t xml:space="preserve">0.2612</w:t>
            </w:r>
          </w:p>
        </w:tc>
        <w:tc>
          <w:tcPr/>
          <w:p>
            <w:pPr>
              <w:pStyle w:val="Compact"/>
            </w:pPr>
          </w:p>
        </w:tc>
        <w:tc>
          <w:tcPr/>
          <w:p>
            <w:pPr>
              <w:pStyle w:val="Compact"/>
              <w:jc w:val="center"/>
            </w:pPr>
            <w:r>
              <w:t xml:space="preserve">0.060</w:t>
            </w:r>
          </w:p>
        </w:tc>
        <w:tc>
          <w:tcPr/>
          <w:p>
            <w:pPr>
              <w:pStyle w:val="Compact"/>
              <w:jc w:val="center"/>
            </w:pPr>
            <w:r>
              <w:t xml:space="preserve">0.4611</w:t>
            </w:r>
          </w:p>
        </w:tc>
        <w:tc>
          <w:tcPr/>
          <w:p>
            <w:pPr>
              <w:pStyle w:val="Compact"/>
            </w:pPr>
          </w:p>
        </w:tc>
        <w:tc>
          <w:tcPr/>
          <w:p>
            <w:pPr>
              <w:pStyle w:val="Compact"/>
              <w:jc w:val="center"/>
            </w:pPr>
            <w:r>
              <w:t xml:space="preserve">2.12</w:t>
            </w:r>
          </w:p>
        </w:tc>
      </w:tr>
    </w:tbl>
    <w:p>
      <w:pPr>
        <w:pStyle w:val="BodyText"/>
      </w:pPr>
      <w:r>
        <w:rPr>
          <w:iCs/>
          <w:i/>
        </w:rPr>
        <w:t xml:space="preserve">* p&lt;0.10 ** p&lt;0.05 *** p&lt;0.01</w:t>
      </w:r>
    </w:p>
    <w:p>
      <w:pPr>
        <w:pStyle w:val="BodyText"/>
      </w:pPr>
      <w:r>
        <w:rPr>
          <w:iCs/>
          <w:i/>
        </w:rPr>
        <w:t xml:space="preserve">DW ~2.0 = no autocorrelation | DW &lt;1.5 = positive serial correlation (in bold)</w:t>
      </w:r>
    </w:p>
    <w:p>
      <w:pPr>
        <w:pStyle w:val="BodyText"/>
      </w:pPr>
      <w:r>
        <w:rPr>
          <w:bCs/>
          <w:b/>
        </w:rPr>
        <w:t xml:space="preserve">Appendix B: Reports’ Sources</w:t>
      </w:r>
    </w:p>
    <w:p>
      <w:pPr>
        <w:pStyle w:val="BodyText"/>
      </w:pPr>
      <w:r>
        <w:t xml:space="preserve">Table 5: Airbus Sources</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**Year**</w:t>
            </w:r>
          </w:p>
        </w:tc>
        <w:tc>
          <w:tcPr/>
          <w:p>
            <w:pPr>
              <w:pStyle w:val="Compact"/>
              <w:jc w:val="center"/>
            </w:pPr>
            <w:r>
              <w:t xml:space="preserve">**Document title**</w:t>
            </w:r>
          </w:p>
        </w:tc>
        <w:tc>
          <w:tcPr/>
          <w:p>
            <w:pPr>
              <w:pStyle w:val="Compact"/>
              <w:jc w:val="center"/>
            </w:pPr>
            <w:r>
              <w:t xml:space="preserve">**Source**</w:t>
            </w:r>
          </w:p>
        </w:tc>
      </w:tr>
      <w:tr>
        <w:tc>
          <w:tcPr/>
          <w:p>
            <w:pPr>
              <w:pStyle w:val="Compact"/>
              <w:jc w:val="center"/>
            </w:pPr>
            <w:r>
              <w:t xml:space="preserve">2018</w:t>
            </w:r>
          </w:p>
        </w:tc>
        <w:tc>
          <w:tcPr/>
          <w:p>
            <w:pPr>
              <w:pStyle w:val="Compact"/>
              <w:jc w:val="center"/>
            </w:pPr>
            <w:r>
              <w:t xml:space="preserve">Airbus Annual Report 2018</w:t>
            </w:r>
          </w:p>
        </w:tc>
        <w:tc>
          <w:tcPr/>
          <w:p>
            <w:pPr>
              <w:pStyle w:val="Compact"/>
              <w:jc w:val="center"/>
            </w:pPr>
            <w:r>
              <w:t xml:space="preserve">airbus.com/en/investors/financial-results-and-annual-reports/annual-reports</w:t>
            </w:r>
          </w:p>
        </w:tc>
      </w:tr>
      <w:tr>
        <w:tc>
          <w:tcPr/>
          <w:p>
            <w:pPr>
              <w:pStyle w:val="Compact"/>
              <w:jc w:val="center"/>
            </w:pPr>
            <w:r>
              <w:t xml:space="preserve">2019</w:t>
            </w:r>
          </w:p>
        </w:tc>
        <w:tc>
          <w:tcPr/>
          <w:p>
            <w:pPr>
              <w:pStyle w:val="Compact"/>
              <w:jc w:val="center"/>
            </w:pPr>
            <w:r>
              <w:t xml:space="preserve">Airbus Annual Report 2019</w:t>
            </w:r>
          </w:p>
        </w:tc>
        <w:tc>
          <w:tcPr/>
          <w:p>
            <w:pPr>
              <w:pStyle w:val="Compact"/>
              <w:jc w:val="center"/>
            </w:pPr>
            <w:r>
              <w:t xml:space="preserve">airbus.com/en/investors/financial-results-and-annual-reports/annual-reports</w:t>
            </w:r>
          </w:p>
        </w:tc>
      </w:tr>
      <w:tr>
        <w:tc>
          <w:tcPr/>
          <w:p>
            <w:pPr>
              <w:pStyle w:val="Compact"/>
              <w:jc w:val="center"/>
            </w:pPr>
            <w:r>
              <w:t xml:space="preserve">2020</w:t>
            </w:r>
          </w:p>
        </w:tc>
        <w:tc>
          <w:tcPr/>
          <w:p>
            <w:pPr>
              <w:pStyle w:val="Compact"/>
              <w:jc w:val="center"/>
            </w:pPr>
            <w:r>
              <w:t xml:space="preserve">Airbus Annual Report 2020</w:t>
            </w:r>
          </w:p>
        </w:tc>
        <w:tc>
          <w:tcPr/>
          <w:p>
            <w:pPr>
              <w:pStyle w:val="Compact"/>
              <w:jc w:val="center"/>
            </w:pPr>
            <w:r>
              <w:t xml:space="preserve">airbus.com/en/investors/financial-results-and-annual-reports/annual-reports</w:t>
            </w:r>
          </w:p>
        </w:tc>
      </w:tr>
      <w:tr>
        <w:tc>
          <w:tcPr/>
          <w:p>
            <w:pPr>
              <w:pStyle w:val="Compact"/>
              <w:jc w:val="center"/>
            </w:pPr>
            <w:r>
              <w:t xml:space="preserve">2021</w:t>
            </w:r>
          </w:p>
        </w:tc>
        <w:tc>
          <w:tcPr/>
          <w:p>
            <w:pPr>
              <w:pStyle w:val="Compact"/>
              <w:jc w:val="center"/>
            </w:pPr>
            <w:r>
              <w:t xml:space="preserve">Airbus Annual Report 2021</w:t>
            </w:r>
          </w:p>
        </w:tc>
        <w:tc>
          <w:tcPr/>
          <w:p>
            <w:pPr>
              <w:pStyle w:val="Compact"/>
              <w:jc w:val="center"/>
            </w:pPr>
            <w:r>
              <w:t xml:space="preserve">airbus.com/en/investors/financial-results-and-annual-reports/annual-reports</w:t>
            </w:r>
          </w:p>
        </w:tc>
      </w:tr>
      <w:tr>
        <w:tc>
          <w:tcPr/>
          <w:p>
            <w:pPr>
              <w:pStyle w:val="Compact"/>
              <w:jc w:val="center"/>
            </w:pPr>
            <w:r>
              <w:t xml:space="preserve">2022</w:t>
            </w:r>
          </w:p>
        </w:tc>
        <w:tc>
          <w:tcPr/>
          <w:p>
            <w:pPr>
              <w:pStyle w:val="Compact"/>
              <w:jc w:val="center"/>
            </w:pPr>
            <w:r>
              <w:t xml:space="preserve">Airbus Annual Report 2022</w:t>
            </w:r>
          </w:p>
        </w:tc>
        <w:tc>
          <w:tcPr/>
          <w:p>
            <w:pPr>
              <w:pStyle w:val="Compact"/>
              <w:jc w:val="center"/>
            </w:pPr>
            <w:r>
              <w:t xml:space="preserve">airbus.com/en/investors/financial-results-and-annual-reports/annual-reports</w:t>
            </w:r>
          </w:p>
        </w:tc>
      </w:tr>
      <w:tr>
        <w:tc>
          <w:tcPr/>
          <w:p>
            <w:pPr>
              <w:pStyle w:val="Compact"/>
              <w:jc w:val="center"/>
            </w:pPr>
            <w:r>
              <w:t xml:space="preserve">2023</w:t>
            </w:r>
          </w:p>
        </w:tc>
        <w:tc>
          <w:tcPr/>
          <w:p>
            <w:pPr>
              <w:pStyle w:val="Compact"/>
              <w:jc w:val="center"/>
            </w:pPr>
            <w:r>
              <w:t xml:space="preserve">Airbus Annual Report 2023</w:t>
            </w:r>
          </w:p>
        </w:tc>
        <w:tc>
          <w:tcPr/>
          <w:p>
            <w:pPr>
              <w:pStyle w:val="Compact"/>
              <w:jc w:val="center"/>
            </w:pPr>
            <w:r>
              <w:t xml:space="preserve">airbus.com/en/investors/financial-results-and-annual-reports/annual-reports</w:t>
            </w:r>
          </w:p>
        </w:tc>
      </w:tr>
      <w:tr>
        <w:tc>
          <w:tcPr/>
          <w:p>
            <w:pPr>
              <w:pStyle w:val="Compact"/>
              <w:jc w:val="center"/>
            </w:pPr>
            <w:r>
              <w:t xml:space="preserve">2024</w:t>
            </w:r>
          </w:p>
        </w:tc>
        <w:tc>
          <w:tcPr/>
          <w:p>
            <w:pPr>
              <w:pStyle w:val="Compact"/>
              <w:jc w:val="center"/>
            </w:pPr>
            <w:r>
              <w:t xml:space="preserve">Airbus Annual Report 2024</w:t>
            </w:r>
          </w:p>
        </w:tc>
        <w:tc>
          <w:tcPr/>
          <w:p>
            <w:pPr>
              <w:pStyle w:val="Compact"/>
              <w:jc w:val="center"/>
            </w:pPr>
            <w:r>
              <w:t xml:space="preserve">airbus.com/en/investors/financial-results-and-annual-reports/annual-reports</w:t>
            </w:r>
          </w:p>
        </w:tc>
      </w:tr>
      <w:tr>
        <w:tc>
          <w:tcPr/>
          <w:p>
            <w:pPr>
              <w:pStyle w:val="Compact"/>
              <w:jc w:val="center"/>
            </w:pPr>
            <w:r>
              <w:t xml:space="preserve">2025</w:t>
            </w:r>
          </w:p>
        </w:tc>
        <w:tc>
          <w:tcPr/>
          <w:p>
            <w:pPr>
              <w:pStyle w:val="Compact"/>
              <w:jc w:val="center"/>
            </w:pPr>
            <w:r>
              <w:t xml:space="preserve">Airbus Full-Year Results 2025 (Preliminary)</w:t>
            </w:r>
          </w:p>
        </w:tc>
        <w:tc>
          <w:tcPr/>
          <w:p>
            <w:pPr>
              <w:pStyle w:val="Compact"/>
              <w:jc w:val="center"/>
            </w:pPr>
            <w:r>
              <w:t xml:space="preserve">airbus.com/en/investors/financial-results-and-annual-reports/annual-reports</w:t>
            </w:r>
          </w:p>
        </w:tc>
      </w:tr>
    </w:tbl>
    <w:p>
      <w:pPr>
        <w:pStyle w:val="BodyText"/>
      </w:pPr>
      <w:r>
        <w:t xml:space="preserve">Table 6: BAE Systems plc Sources</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**Year**</w:t>
            </w:r>
          </w:p>
        </w:tc>
        <w:tc>
          <w:tcPr/>
          <w:p>
            <w:pPr>
              <w:pStyle w:val="Compact"/>
              <w:jc w:val="center"/>
            </w:pPr>
            <w:r>
              <w:t xml:space="preserve">**Document title**</w:t>
            </w:r>
          </w:p>
        </w:tc>
        <w:tc>
          <w:tcPr/>
          <w:p>
            <w:pPr>
              <w:pStyle w:val="Compact"/>
              <w:jc w:val="center"/>
            </w:pPr>
            <w:r>
              <w:t xml:space="preserve">**Where to find it**</w:t>
            </w:r>
          </w:p>
        </w:tc>
      </w:tr>
      <w:tr>
        <w:tc>
          <w:tcPr/>
          <w:p>
            <w:pPr>
              <w:pStyle w:val="Compact"/>
              <w:jc w:val="center"/>
            </w:pPr>
            <w:r>
              <w:t xml:space="preserve">2018</w:t>
            </w:r>
          </w:p>
        </w:tc>
        <w:tc>
          <w:tcPr/>
          <w:p>
            <w:pPr>
              <w:pStyle w:val="Compact"/>
              <w:jc w:val="center"/>
            </w:pPr>
            <w:r>
              <w:t xml:space="preserve">BAE Systems Annual Report and Accounts 2018</w:t>
            </w:r>
          </w:p>
        </w:tc>
        <w:tc>
          <w:tcPr/>
          <w:p>
            <w:pPr>
              <w:pStyle w:val="Compact"/>
              <w:jc w:val="center"/>
            </w:pPr>
            <w:r>
              <w:t xml:space="preserve">investors.baesystems.com/results-reports-and-presentations/annual-reports</w:t>
            </w:r>
          </w:p>
        </w:tc>
      </w:tr>
      <w:tr>
        <w:tc>
          <w:tcPr/>
          <w:p>
            <w:pPr>
              <w:pStyle w:val="Compact"/>
              <w:jc w:val="center"/>
            </w:pPr>
            <w:r>
              <w:t xml:space="preserve">2019</w:t>
            </w:r>
          </w:p>
        </w:tc>
        <w:tc>
          <w:tcPr/>
          <w:p>
            <w:pPr>
              <w:pStyle w:val="Compact"/>
              <w:jc w:val="center"/>
            </w:pPr>
            <w:r>
              <w:t xml:space="preserve">BAE Systems Annual Report and Accounts 2019</w:t>
            </w:r>
          </w:p>
        </w:tc>
        <w:tc>
          <w:tcPr/>
          <w:p>
            <w:pPr>
              <w:pStyle w:val="Compact"/>
              <w:jc w:val="center"/>
            </w:pPr>
            <w:r>
              <w:t xml:space="preserve">investors.baesystems.com/results-reports-and-presentations/annual-reports</w:t>
            </w:r>
          </w:p>
        </w:tc>
      </w:tr>
      <w:tr>
        <w:tc>
          <w:tcPr/>
          <w:p>
            <w:pPr>
              <w:pStyle w:val="Compact"/>
              <w:jc w:val="center"/>
            </w:pPr>
            <w:r>
              <w:t xml:space="preserve">2020</w:t>
            </w:r>
          </w:p>
        </w:tc>
        <w:tc>
          <w:tcPr/>
          <w:p>
            <w:pPr>
              <w:pStyle w:val="Compact"/>
              <w:jc w:val="center"/>
            </w:pPr>
            <w:r>
              <w:t xml:space="preserve">BAE Systems Annual Report and Accounts 2020</w:t>
            </w:r>
          </w:p>
        </w:tc>
        <w:tc>
          <w:tcPr/>
          <w:p>
            <w:pPr>
              <w:pStyle w:val="Compact"/>
              <w:jc w:val="center"/>
            </w:pPr>
            <w:r>
              <w:t xml:space="preserve">investors.baesystems.com/results-reports-and-presentations/annual-reports</w:t>
            </w:r>
          </w:p>
        </w:tc>
      </w:tr>
      <w:tr>
        <w:tc>
          <w:tcPr/>
          <w:p>
            <w:pPr>
              <w:pStyle w:val="Compact"/>
              <w:jc w:val="center"/>
            </w:pPr>
            <w:r>
              <w:t xml:space="preserve">2021</w:t>
            </w:r>
          </w:p>
        </w:tc>
        <w:tc>
          <w:tcPr/>
          <w:p>
            <w:pPr>
              <w:pStyle w:val="Compact"/>
              <w:jc w:val="center"/>
            </w:pPr>
            <w:r>
              <w:t xml:space="preserve">BAE Systems Annual Report and Accounts 2021</w:t>
            </w:r>
          </w:p>
        </w:tc>
        <w:tc>
          <w:tcPr/>
          <w:p>
            <w:pPr>
              <w:pStyle w:val="Compact"/>
              <w:jc w:val="center"/>
            </w:pPr>
            <w:r>
              <w:t xml:space="preserve">investors.baesystems.com/results-reports-and-presentations/annual-reports</w:t>
            </w:r>
          </w:p>
        </w:tc>
      </w:tr>
      <w:tr>
        <w:tc>
          <w:tcPr/>
          <w:p>
            <w:pPr>
              <w:pStyle w:val="Compact"/>
              <w:jc w:val="center"/>
            </w:pPr>
            <w:r>
              <w:t xml:space="preserve">2022</w:t>
            </w:r>
          </w:p>
        </w:tc>
        <w:tc>
          <w:tcPr/>
          <w:p>
            <w:pPr>
              <w:pStyle w:val="Compact"/>
              <w:jc w:val="center"/>
            </w:pPr>
            <w:r>
              <w:t xml:space="preserve">BAE Systems Annual Report and Accounts 2022</w:t>
            </w:r>
          </w:p>
        </w:tc>
        <w:tc>
          <w:tcPr/>
          <w:p>
            <w:pPr>
              <w:pStyle w:val="Compact"/>
              <w:jc w:val="center"/>
            </w:pPr>
            <w:r>
              <w:t xml:space="preserve">investors.baesystems.com/results-reports-and-presentations/annual-reports</w:t>
            </w:r>
          </w:p>
        </w:tc>
      </w:tr>
      <w:tr>
        <w:tc>
          <w:tcPr/>
          <w:p>
            <w:pPr>
              <w:pStyle w:val="Compact"/>
              <w:jc w:val="center"/>
            </w:pPr>
            <w:r>
              <w:t xml:space="preserve">2023</w:t>
            </w:r>
          </w:p>
        </w:tc>
        <w:tc>
          <w:tcPr/>
          <w:p>
            <w:pPr>
              <w:pStyle w:val="Compact"/>
              <w:jc w:val="center"/>
            </w:pPr>
            <w:r>
              <w:t xml:space="preserve">BAE Systems Annual Report and Accounts 2023</w:t>
            </w:r>
          </w:p>
        </w:tc>
        <w:tc>
          <w:tcPr/>
          <w:p>
            <w:pPr>
              <w:pStyle w:val="Compact"/>
              <w:jc w:val="center"/>
            </w:pPr>
            <w:r>
              <w:t xml:space="preserve">investors.baesystems.com/results-reports-and-presentations/annual-reports</w:t>
            </w:r>
          </w:p>
        </w:tc>
      </w:tr>
      <w:tr>
        <w:tc>
          <w:tcPr/>
          <w:p>
            <w:pPr>
              <w:pStyle w:val="Compact"/>
              <w:jc w:val="center"/>
            </w:pPr>
            <w:r>
              <w:t xml:space="preserve">2024</w:t>
            </w:r>
          </w:p>
        </w:tc>
        <w:tc>
          <w:tcPr/>
          <w:p>
            <w:pPr>
              <w:pStyle w:val="Compact"/>
              <w:jc w:val="center"/>
            </w:pPr>
            <w:r>
              <w:t xml:space="preserve">BAE Systems Annual Report and Accounts 2024</w:t>
            </w:r>
          </w:p>
        </w:tc>
        <w:tc>
          <w:tcPr/>
          <w:p>
            <w:pPr>
              <w:pStyle w:val="Compact"/>
              <w:jc w:val="center"/>
            </w:pPr>
            <w:r>
              <w:t xml:space="preserve">investors.baesystems.com/results-reports-and-presentations/annual-reports</w:t>
            </w:r>
          </w:p>
        </w:tc>
      </w:tr>
      <w:tr>
        <w:tc>
          <w:tcPr/>
          <w:p>
            <w:pPr>
              <w:pStyle w:val="Compact"/>
              <w:jc w:val="center"/>
            </w:pPr>
            <w:r>
              <w:t xml:space="preserve">2025</w:t>
            </w:r>
          </w:p>
        </w:tc>
        <w:tc>
          <w:tcPr/>
          <w:p>
            <w:pPr>
              <w:pStyle w:val="Compact"/>
              <w:jc w:val="center"/>
            </w:pPr>
            <w:r>
              <w:t xml:space="preserve">BAE Systems Preliminary Full-Year Results 2025</w:t>
            </w:r>
          </w:p>
        </w:tc>
        <w:tc>
          <w:tcPr/>
          <w:p>
            <w:pPr>
              <w:pStyle w:val="Compact"/>
              <w:jc w:val="center"/>
            </w:pPr>
            <w:r>
              <w:t xml:space="preserve">investors.baesystems.com/results-reports-and-presentations/annual-reports</w:t>
            </w:r>
          </w:p>
        </w:tc>
      </w:tr>
    </w:tbl>
    <w:p>
      <w:pPr>
        <w:pStyle w:val="BodyText"/>
      </w:pPr>
      <w:r>
        <w:t xml:space="preserve">Table 7: Dassault Aviation SA Sources</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**Year**</w:t>
            </w:r>
          </w:p>
        </w:tc>
        <w:tc>
          <w:tcPr/>
          <w:p>
            <w:pPr>
              <w:pStyle w:val="Compact"/>
              <w:jc w:val="center"/>
            </w:pPr>
            <w:r>
              <w:t xml:space="preserve">**Document title**</w:t>
            </w:r>
          </w:p>
        </w:tc>
        <w:tc>
          <w:tcPr/>
          <w:p>
            <w:pPr>
              <w:pStyle w:val="Compact"/>
              <w:jc w:val="center"/>
            </w:pPr>
            <w:r>
              <w:t xml:space="preserve">**Where to find it**</w:t>
            </w:r>
          </w:p>
        </w:tc>
      </w:tr>
      <w:tr>
        <w:tc>
          <w:tcPr/>
          <w:p>
            <w:pPr>
              <w:pStyle w:val="Compact"/>
              <w:jc w:val="center"/>
            </w:pPr>
            <w:r>
              <w:t xml:space="preserve">2018</w:t>
            </w:r>
          </w:p>
        </w:tc>
        <w:tc>
          <w:tcPr/>
          <w:p>
            <w:pPr>
              <w:pStyle w:val="Compact"/>
              <w:jc w:val="center"/>
            </w:pPr>
            <w:r>
              <w:t xml:space="preserve">Dassault Aviation Annual Report 2018</w:t>
            </w:r>
          </w:p>
        </w:tc>
        <w:tc>
          <w:tcPr/>
          <w:p>
            <w:pPr>
              <w:pStyle w:val="Compact"/>
              <w:jc w:val="center"/>
            </w:pPr>
            <w:r>
              <w:t xml:space="preserve">dassault-aviation.com/en/group/finance/financial-results/</w:t>
            </w:r>
          </w:p>
        </w:tc>
      </w:tr>
      <w:tr>
        <w:tc>
          <w:tcPr/>
          <w:p>
            <w:pPr>
              <w:pStyle w:val="Compact"/>
              <w:jc w:val="center"/>
            </w:pPr>
            <w:r>
              <w:t xml:space="preserve">2019</w:t>
            </w:r>
          </w:p>
        </w:tc>
        <w:tc>
          <w:tcPr/>
          <w:p>
            <w:pPr>
              <w:pStyle w:val="Compact"/>
              <w:jc w:val="center"/>
            </w:pPr>
            <w:r>
              <w:t xml:space="preserve">Dassault Aviation Annual Report 2019</w:t>
            </w:r>
          </w:p>
        </w:tc>
        <w:tc>
          <w:tcPr/>
          <w:p>
            <w:pPr>
              <w:pStyle w:val="Compact"/>
              <w:jc w:val="center"/>
            </w:pPr>
            <w:r>
              <w:t xml:space="preserve">dassault-aviation.com/en/group/finance/financial-results/</w:t>
            </w:r>
          </w:p>
        </w:tc>
      </w:tr>
      <w:tr>
        <w:tc>
          <w:tcPr/>
          <w:p>
            <w:pPr>
              <w:pStyle w:val="Compact"/>
              <w:jc w:val="center"/>
            </w:pPr>
            <w:r>
              <w:t xml:space="preserve">2020</w:t>
            </w:r>
          </w:p>
        </w:tc>
        <w:tc>
          <w:tcPr/>
          <w:p>
            <w:pPr>
              <w:pStyle w:val="Compact"/>
              <w:jc w:val="center"/>
            </w:pPr>
            <w:r>
              <w:t xml:space="preserve">Dassault Aviation Annual Report 2020</w:t>
            </w:r>
          </w:p>
        </w:tc>
        <w:tc>
          <w:tcPr/>
          <w:p>
            <w:pPr>
              <w:pStyle w:val="Compact"/>
              <w:jc w:val="center"/>
            </w:pPr>
            <w:r>
              <w:t xml:space="preserve">dassault-aviation.com/en/group/finance/financial-results/</w:t>
            </w:r>
          </w:p>
        </w:tc>
      </w:tr>
      <w:tr>
        <w:tc>
          <w:tcPr/>
          <w:p>
            <w:pPr>
              <w:pStyle w:val="Compact"/>
              <w:jc w:val="center"/>
            </w:pPr>
            <w:r>
              <w:t xml:space="preserve">2021</w:t>
            </w:r>
          </w:p>
        </w:tc>
        <w:tc>
          <w:tcPr/>
          <w:p>
            <w:pPr>
              <w:pStyle w:val="Compact"/>
              <w:jc w:val="center"/>
            </w:pPr>
            <w:r>
              <w:t xml:space="preserve">Dassault Aviation Annual Report 2021</w:t>
            </w:r>
          </w:p>
        </w:tc>
        <w:tc>
          <w:tcPr/>
          <w:p>
            <w:pPr>
              <w:pStyle w:val="Compact"/>
              <w:jc w:val="center"/>
            </w:pPr>
            <w:r>
              <w:t xml:space="preserve">dassault-aviation.com/en/group/finance/financial-results/</w:t>
            </w:r>
          </w:p>
        </w:tc>
      </w:tr>
      <w:tr>
        <w:tc>
          <w:tcPr/>
          <w:p>
            <w:pPr>
              <w:pStyle w:val="Compact"/>
              <w:jc w:val="center"/>
            </w:pPr>
            <w:r>
              <w:t xml:space="preserve">2022</w:t>
            </w:r>
          </w:p>
        </w:tc>
        <w:tc>
          <w:tcPr/>
          <w:p>
            <w:pPr>
              <w:pStyle w:val="Compact"/>
              <w:jc w:val="center"/>
            </w:pPr>
            <w:r>
              <w:t xml:space="preserve">Dassault Aviation Annual Report 2022</w:t>
            </w:r>
          </w:p>
        </w:tc>
        <w:tc>
          <w:tcPr/>
          <w:p>
            <w:pPr>
              <w:pStyle w:val="Compact"/>
              <w:jc w:val="center"/>
            </w:pPr>
            <w:r>
              <w:t xml:space="preserve">dassault-aviation.com/en/group/finance/financial-results/</w:t>
            </w:r>
          </w:p>
        </w:tc>
      </w:tr>
      <w:tr>
        <w:tc>
          <w:tcPr/>
          <w:p>
            <w:pPr>
              <w:pStyle w:val="Compact"/>
              <w:jc w:val="center"/>
            </w:pPr>
            <w:r>
              <w:t xml:space="preserve">2023</w:t>
            </w:r>
          </w:p>
        </w:tc>
        <w:tc>
          <w:tcPr/>
          <w:p>
            <w:pPr>
              <w:pStyle w:val="Compact"/>
              <w:jc w:val="center"/>
            </w:pPr>
            <w:r>
              <w:t xml:space="preserve">Dassault Aviation Annual Report 2023</w:t>
            </w:r>
          </w:p>
        </w:tc>
        <w:tc>
          <w:tcPr/>
          <w:p>
            <w:pPr>
              <w:pStyle w:val="Compact"/>
              <w:jc w:val="center"/>
            </w:pPr>
            <w:r>
              <w:t xml:space="preserve">dassault-aviation.com/en/group/finance/financial-results/</w:t>
            </w:r>
          </w:p>
        </w:tc>
      </w:tr>
      <w:tr>
        <w:tc>
          <w:tcPr/>
          <w:p>
            <w:pPr>
              <w:pStyle w:val="Compact"/>
              <w:jc w:val="center"/>
            </w:pPr>
            <w:r>
              <w:t xml:space="preserve">2024</w:t>
            </w:r>
          </w:p>
        </w:tc>
        <w:tc>
          <w:tcPr/>
          <w:p>
            <w:pPr>
              <w:pStyle w:val="Compact"/>
              <w:jc w:val="center"/>
            </w:pPr>
            <w:r>
              <w:t xml:space="preserve">Dassault Aviation Annual Report 2024</w:t>
            </w:r>
          </w:p>
        </w:tc>
        <w:tc>
          <w:tcPr/>
          <w:p>
            <w:pPr>
              <w:pStyle w:val="Compact"/>
              <w:jc w:val="center"/>
            </w:pPr>
            <w:r>
              <w:t xml:space="preserve">dassault-aviation.com/en/group/finance/financial-results/</w:t>
            </w:r>
          </w:p>
        </w:tc>
      </w:tr>
      <w:tr>
        <w:tc>
          <w:tcPr/>
          <w:p>
            <w:pPr>
              <w:pStyle w:val="Compact"/>
              <w:jc w:val="center"/>
            </w:pPr>
            <w:r>
              <w:t xml:space="preserve">2025</w:t>
            </w:r>
          </w:p>
        </w:tc>
        <w:tc>
          <w:tcPr/>
          <w:p>
            <w:pPr>
              <w:pStyle w:val="Compact"/>
              <w:jc w:val="center"/>
            </w:pPr>
            <w:r>
              <w:t xml:space="preserve">Dassault Aviation Annual Report 2025</w:t>
            </w:r>
          </w:p>
        </w:tc>
        <w:tc>
          <w:tcPr/>
          <w:p>
            <w:pPr>
              <w:pStyle w:val="Compact"/>
              <w:jc w:val="center"/>
            </w:pPr>
            <w:r>
              <w:t xml:space="preserve">&lt;https://www.dassault-aviation.com/wp-content/blogs.dir/2/files/2026/04/AR_2025_VA_BD.pdf&gt;</w:t>
            </w:r>
          </w:p>
        </w:tc>
      </w:tr>
    </w:tbl>
    <w:p>
      <w:pPr>
        <w:pStyle w:val="BodyText"/>
      </w:pPr>
      <w:r>
        <w:t xml:space="preserve">Table 8: Indra Siystemas SA Sources</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**Year**</w:t>
            </w:r>
          </w:p>
        </w:tc>
        <w:tc>
          <w:tcPr/>
          <w:p>
            <w:pPr>
              <w:pStyle w:val="Compact"/>
              <w:jc w:val="center"/>
            </w:pPr>
            <w:r>
              <w:t xml:space="preserve">**Document title**</w:t>
            </w:r>
          </w:p>
        </w:tc>
        <w:tc>
          <w:tcPr/>
          <w:p>
            <w:pPr>
              <w:pStyle w:val="Compact"/>
              <w:jc w:val="center"/>
            </w:pPr>
            <w:r>
              <w:t xml:space="preserve">**Where to find it**</w:t>
            </w:r>
          </w:p>
        </w:tc>
      </w:tr>
      <w:tr>
        <w:tc>
          <w:tcPr/>
          <w:p>
            <w:pPr>
              <w:pStyle w:val="Compact"/>
              <w:jc w:val="center"/>
            </w:pPr>
            <w:r>
              <w:t xml:space="preserve">2018</w:t>
            </w:r>
          </w:p>
        </w:tc>
        <w:tc>
          <w:tcPr/>
          <w:p>
            <w:pPr>
              <w:pStyle w:val="Compact"/>
              <w:jc w:val="center"/>
            </w:pPr>
            <w:r>
              <w:t xml:space="preserve">Indra Annual Report 2018</w:t>
            </w:r>
          </w:p>
        </w:tc>
        <w:tc>
          <w:tcPr/>
          <w:p>
            <w:pPr>
              <w:pStyle w:val="Compact"/>
              <w:jc w:val="center"/>
            </w:pPr>
            <w:r>
              <w:t xml:space="preserve">indra.com/en/investors/information-for-shareholders-and-investors/annual-report</w:t>
            </w:r>
          </w:p>
        </w:tc>
      </w:tr>
      <w:tr>
        <w:tc>
          <w:tcPr/>
          <w:p>
            <w:pPr>
              <w:pStyle w:val="Compact"/>
              <w:jc w:val="center"/>
            </w:pPr>
            <w:r>
              <w:t xml:space="preserve">2019</w:t>
            </w:r>
          </w:p>
        </w:tc>
        <w:tc>
          <w:tcPr/>
          <w:p>
            <w:pPr>
              <w:pStyle w:val="Compact"/>
              <w:jc w:val="center"/>
            </w:pPr>
            <w:r>
              <w:t xml:space="preserve">Indra Annual Report 2019</w:t>
            </w:r>
          </w:p>
        </w:tc>
        <w:tc>
          <w:tcPr/>
          <w:p>
            <w:pPr>
              <w:pStyle w:val="Compact"/>
              <w:jc w:val="center"/>
            </w:pPr>
            <w:r>
              <w:t xml:space="preserve">indra.com/en/investors/information-for-shareholders-and-investors/annual-report</w:t>
            </w:r>
          </w:p>
        </w:tc>
      </w:tr>
      <w:tr>
        <w:tc>
          <w:tcPr/>
          <w:p>
            <w:pPr>
              <w:pStyle w:val="Compact"/>
              <w:jc w:val="center"/>
            </w:pPr>
            <w:r>
              <w:t xml:space="preserve">2020</w:t>
            </w:r>
          </w:p>
        </w:tc>
        <w:tc>
          <w:tcPr/>
          <w:p>
            <w:pPr>
              <w:pStyle w:val="Compact"/>
              <w:jc w:val="center"/>
            </w:pPr>
            <w:r>
              <w:t xml:space="preserve">Indra Annual Report 2020</w:t>
            </w:r>
          </w:p>
        </w:tc>
        <w:tc>
          <w:tcPr/>
          <w:p>
            <w:pPr>
              <w:pStyle w:val="Compact"/>
              <w:jc w:val="center"/>
            </w:pPr>
            <w:r>
              <w:t xml:space="preserve">indra.com/en/investors/information-for-shareholders-and-investors/annual-report</w:t>
            </w:r>
          </w:p>
        </w:tc>
      </w:tr>
      <w:tr>
        <w:tc>
          <w:tcPr/>
          <w:p>
            <w:pPr>
              <w:pStyle w:val="Compact"/>
              <w:jc w:val="center"/>
            </w:pPr>
            <w:r>
              <w:t xml:space="preserve">2021</w:t>
            </w:r>
          </w:p>
        </w:tc>
        <w:tc>
          <w:tcPr/>
          <w:p>
            <w:pPr>
              <w:pStyle w:val="Compact"/>
              <w:jc w:val="center"/>
            </w:pPr>
            <w:r>
              <w:t xml:space="preserve">Indra Annual Report 2021</w:t>
            </w:r>
          </w:p>
        </w:tc>
        <w:tc>
          <w:tcPr/>
          <w:p>
            <w:pPr>
              <w:pStyle w:val="Compact"/>
              <w:jc w:val="center"/>
            </w:pPr>
            <w:r>
              <w:t xml:space="preserve">indra.com/en/investors/information-for-shareholders-and-investors/annual-report</w:t>
            </w:r>
          </w:p>
        </w:tc>
      </w:tr>
      <w:tr>
        <w:tc>
          <w:tcPr/>
          <w:p>
            <w:pPr>
              <w:pStyle w:val="Compact"/>
              <w:jc w:val="center"/>
            </w:pPr>
            <w:r>
              <w:t xml:space="preserve">2022</w:t>
            </w:r>
          </w:p>
        </w:tc>
        <w:tc>
          <w:tcPr/>
          <w:p>
            <w:pPr>
              <w:pStyle w:val="Compact"/>
              <w:jc w:val="center"/>
            </w:pPr>
            <w:r>
              <w:t xml:space="preserve">Indra Annual Report 2022</w:t>
            </w:r>
          </w:p>
        </w:tc>
        <w:tc>
          <w:tcPr/>
          <w:p>
            <w:pPr>
              <w:pStyle w:val="Compact"/>
              <w:jc w:val="center"/>
            </w:pPr>
            <w:r>
              <w:t xml:space="preserve">indra.com/en/investors/information-for-shareholders-and-investors/annual-report</w:t>
            </w:r>
          </w:p>
        </w:tc>
      </w:tr>
      <w:tr>
        <w:tc>
          <w:tcPr/>
          <w:p>
            <w:pPr>
              <w:pStyle w:val="Compact"/>
              <w:jc w:val="center"/>
            </w:pPr>
            <w:r>
              <w:t xml:space="preserve">2023</w:t>
            </w:r>
          </w:p>
        </w:tc>
        <w:tc>
          <w:tcPr/>
          <w:p>
            <w:pPr>
              <w:pStyle w:val="Compact"/>
              <w:jc w:val="center"/>
            </w:pPr>
            <w:r>
              <w:t xml:space="preserve">Indra Annual Report 2023</w:t>
            </w:r>
          </w:p>
        </w:tc>
        <w:tc>
          <w:tcPr/>
          <w:p>
            <w:pPr>
              <w:pStyle w:val="Compact"/>
              <w:jc w:val="center"/>
            </w:pPr>
            <w:r>
              <w:t xml:space="preserve">indra.com/en/investors/information-for-shareholders-and-investors/annual-report</w:t>
            </w:r>
          </w:p>
        </w:tc>
      </w:tr>
      <w:tr>
        <w:tc>
          <w:tcPr/>
          <w:p>
            <w:pPr>
              <w:pStyle w:val="Compact"/>
              <w:jc w:val="center"/>
            </w:pPr>
            <w:r>
              <w:t xml:space="preserve">2024</w:t>
            </w:r>
          </w:p>
        </w:tc>
        <w:tc>
          <w:tcPr/>
          <w:p>
            <w:pPr>
              <w:pStyle w:val="Compact"/>
              <w:jc w:val="center"/>
            </w:pPr>
            <w:r>
              <w:t xml:space="preserve">Indra Annual Report 2024</w:t>
            </w:r>
          </w:p>
        </w:tc>
        <w:tc>
          <w:tcPr/>
          <w:p>
            <w:pPr>
              <w:pStyle w:val="Compact"/>
              <w:jc w:val="center"/>
            </w:pPr>
            <w:r>
              <w:t xml:space="preserve">indra.com/en/investors/information-for-shareholders-and-investors/annual-report</w:t>
            </w:r>
          </w:p>
        </w:tc>
      </w:tr>
      <w:tr>
        <w:tc>
          <w:tcPr/>
          <w:p>
            <w:pPr>
              <w:pStyle w:val="Compact"/>
              <w:jc w:val="center"/>
            </w:pPr>
            <w:r>
              <w:t xml:space="preserve">2025</w:t>
            </w:r>
          </w:p>
        </w:tc>
        <w:tc>
          <w:tcPr/>
          <w:p>
            <w:pPr>
              <w:pStyle w:val="Compact"/>
              <w:jc w:val="center"/>
            </w:pPr>
            <w:r>
              <w:t xml:space="preserve">Indra Annual Report 2025</w:t>
            </w:r>
          </w:p>
        </w:tc>
        <w:tc>
          <w:tcPr/>
          <w:p>
            <w:pPr>
              <w:pStyle w:val="Compact"/>
              <w:jc w:val="center"/>
            </w:pPr>
            <w:r>
              <w:t xml:space="preserve">&lt;https://www.indragroup.com/cms-content/2026/02/260225-PR-Indra-Group-Results-2025.pdf&gt;</w:t>
            </w:r>
          </w:p>
        </w:tc>
      </w:tr>
    </w:tbl>
    <w:p>
      <w:pPr>
        <w:pStyle w:val="BodyText"/>
      </w:pPr>
      <w:r>
        <w:t xml:space="preserve">Table 9: Leonardo Sources</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**Year**</w:t>
            </w:r>
          </w:p>
        </w:tc>
        <w:tc>
          <w:tcPr/>
          <w:p>
            <w:pPr>
              <w:pStyle w:val="Compact"/>
              <w:jc w:val="center"/>
            </w:pPr>
            <w:r>
              <w:t xml:space="preserve">**Document title**</w:t>
            </w:r>
          </w:p>
        </w:tc>
        <w:tc>
          <w:tcPr/>
          <w:p>
            <w:pPr>
              <w:pStyle w:val="Compact"/>
              <w:jc w:val="center"/>
            </w:pPr>
            <w:r>
              <w:t xml:space="preserve">**Where to find it**</w:t>
            </w:r>
          </w:p>
        </w:tc>
      </w:tr>
      <w:tr>
        <w:tc>
          <w:tcPr/>
          <w:p>
            <w:pPr>
              <w:pStyle w:val="Compact"/>
              <w:jc w:val="center"/>
            </w:pPr>
            <w:r>
              <w:t xml:space="preserve">2018</w:t>
            </w:r>
          </w:p>
        </w:tc>
        <w:tc>
          <w:tcPr/>
          <w:p>
            <w:pPr>
              <w:pStyle w:val="Compact"/>
              <w:jc w:val="center"/>
            </w:pPr>
            <w:r>
              <w:t xml:space="preserve">Leonardo Annual Report 2018</w:t>
            </w:r>
          </w:p>
        </w:tc>
        <w:tc>
          <w:tcPr/>
          <w:p>
            <w:pPr>
              <w:pStyle w:val="Compact"/>
              <w:jc w:val="center"/>
            </w:pPr>
            <w:r>
              <w:t xml:space="preserve">leonardocompany.com/en/investors/financial-reports/annual-reports</w:t>
            </w:r>
          </w:p>
        </w:tc>
      </w:tr>
      <w:tr>
        <w:tc>
          <w:tcPr/>
          <w:p>
            <w:pPr>
              <w:pStyle w:val="Compact"/>
              <w:jc w:val="center"/>
            </w:pPr>
            <w:r>
              <w:t xml:space="preserve">2019</w:t>
            </w:r>
          </w:p>
        </w:tc>
        <w:tc>
          <w:tcPr/>
          <w:p>
            <w:pPr>
              <w:pStyle w:val="Compact"/>
              <w:jc w:val="center"/>
            </w:pPr>
            <w:r>
              <w:t xml:space="preserve">Leonardo Annual Report 2019</w:t>
            </w:r>
          </w:p>
        </w:tc>
        <w:tc>
          <w:tcPr/>
          <w:p>
            <w:pPr>
              <w:pStyle w:val="Compact"/>
              <w:jc w:val="center"/>
            </w:pPr>
            <w:r>
              <w:t xml:space="preserve">leonardocompany.com/en/investors/financial-reports/annual-reports</w:t>
            </w:r>
          </w:p>
        </w:tc>
      </w:tr>
      <w:tr>
        <w:tc>
          <w:tcPr/>
          <w:p>
            <w:pPr>
              <w:pStyle w:val="Compact"/>
              <w:jc w:val="center"/>
            </w:pPr>
            <w:r>
              <w:t xml:space="preserve">2020</w:t>
            </w:r>
          </w:p>
        </w:tc>
        <w:tc>
          <w:tcPr/>
          <w:p>
            <w:pPr>
              <w:pStyle w:val="Compact"/>
              <w:jc w:val="center"/>
            </w:pPr>
            <w:r>
              <w:t xml:space="preserve">Leonardo Annual Report 2020</w:t>
            </w:r>
          </w:p>
        </w:tc>
        <w:tc>
          <w:tcPr/>
          <w:p>
            <w:pPr>
              <w:pStyle w:val="Compact"/>
              <w:jc w:val="center"/>
            </w:pPr>
            <w:r>
              <w:t xml:space="preserve">leonardocompany.com/en/investors/financial-reports/annual-reports</w:t>
            </w:r>
          </w:p>
        </w:tc>
      </w:tr>
      <w:tr>
        <w:tc>
          <w:tcPr/>
          <w:p>
            <w:pPr>
              <w:pStyle w:val="Compact"/>
              <w:jc w:val="center"/>
            </w:pPr>
            <w:r>
              <w:t xml:space="preserve">2021</w:t>
            </w:r>
          </w:p>
        </w:tc>
        <w:tc>
          <w:tcPr/>
          <w:p>
            <w:pPr>
              <w:pStyle w:val="Compact"/>
              <w:jc w:val="center"/>
            </w:pPr>
            <w:r>
              <w:t xml:space="preserve">Leonardo Annual Report 2021</w:t>
            </w:r>
          </w:p>
        </w:tc>
        <w:tc>
          <w:tcPr/>
          <w:p>
            <w:pPr>
              <w:pStyle w:val="Compact"/>
              <w:jc w:val="center"/>
            </w:pPr>
            <w:r>
              <w:t xml:space="preserve">leonardocompany.com/en/investors/financial-reports/annual-reports</w:t>
            </w:r>
          </w:p>
        </w:tc>
      </w:tr>
      <w:tr>
        <w:tc>
          <w:tcPr/>
          <w:p>
            <w:pPr>
              <w:pStyle w:val="Compact"/>
              <w:jc w:val="center"/>
            </w:pPr>
            <w:r>
              <w:t xml:space="preserve">2022</w:t>
            </w:r>
          </w:p>
        </w:tc>
        <w:tc>
          <w:tcPr/>
          <w:p>
            <w:pPr>
              <w:pStyle w:val="Compact"/>
              <w:jc w:val="center"/>
            </w:pPr>
            <w:r>
              <w:t xml:space="preserve">Leonardo Annual Report 2022</w:t>
            </w:r>
          </w:p>
        </w:tc>
        <w:tc>
          <w:tcPr/>
          <w:p>
            <w:pPr>
              <w:pStyle w:val="Compact"/>
              <w:jc w:val="center"/>
            </w:pPr>
            <w:r>
              <w:t xml:space="preserve">leonardocompany.com/en/investors/financial-reports/annual-reports</w:t>
            </w:r>
          </w:p>
        </w:tc>
      </w:tr>
      <w:tr>
        <w:tc>
          <w:tcPr/>
          <w:p>
            <w:pPr>
              <w:pStyle w:val="Compact"/>
              <w:jc w:val="center"/>
            </w:pPr>
            <w:r>
              <w:t xml:space="preserve">2023</w:t>
            </w:r>
          </w:p>
        </w:tc>
        <w:tc>
          <w:tcPr/>
          <w:p>
            <w:pPr>
              <w:pStyle w:val="Compact"/>
              <w:jc w:val="center"/>
            </w:pPr>
            <w:r>
              <w:t xml:space="preserve">Leonardo Annual Report 2023</w:t>
            </w:r>
          </w:p>
        </w:tc>
        <w:tc>
          <w:tcPr/>
          <w:p>
            <w:pPr>
              <w:pStyle w:val="Compact"/>
              <w:jc w:val="center"/>
            </w:pPr>
            <w:r>
              <w:t xml:space="preserve">leonardocompany.com/en/investors/financial-reports/annual-reports</w:t>
            </w:r>
          </w:p>
        </w:tc>
      </w:tr>
      <w:tr>
        <w:tc>
          <w:tcPr/>
          <w:p>
            <w:pPr>
              <w:pStyle w:val="Compact"/>
              <w:jc w:val="center"/>
            </w:pPr>
            <w:r>
              <w:t xml:space="preserve">2024</w:t>
            </w:r>
          </w:p>
        </w:tc>
        <w:tc>
          <w:tcPr/>
          <w:p>
            <w:pPr>
              <w:pStyle w:val="Compact"/>
              <w:jc w:val="center"/>
            </w:pPr>
            <w:r>
              <w:t xml:space="preserve">Leonardo Annual Report 2024</w:t>
            </w:r>
          </w:p>
        </w:tc>
        <w:tc>
          <w:tcPr/>
          <w:p>
            <w:pPr>
              <w:pStyle w:val="Compact"/>
              <w:jc w:val="center"/>
            </w:pPr>
            <w:r>
              <w:t xml:space="preserve">leonardocompany.com/en/investors/financial-reports/annual-reports</w:t>
            </w:r>
          </w:p>
        </w:tc>
      </w:tr>
      <w:tr>
        <w:tc>
          <w:tcPr/>
          <w:p>
            <w:pPr>
              <w:pStyle w:val="Compact"/>
              <w:jc w:val="center"/>
            </w:pPr>
            <w:r>
              <w:t xml:space="preserve">2025</w:t>
            </w:r>
          </w:p>
        </w:tc>
        <w:tc>
          <w:tcPr/>
          <w:p>
            <w:pPr>
              <w:pStyle w:val="Compact"/>
              <w:jc w:val="center"/>
            </w:pPr>
            <w:r>
              <w:t xml:space="preserve">Leonardo Preliminary Full-Year Results 2025</w:t>
            </w:r>
          </w:p>
        </w:tc>
        <w:tc>
          <w:tcPr/>
          <w:p>
            <w:pPr>
              <w:pStyle w:val="Compact"/>
              <w:jc w:val="center"/>
            </w:pPr>
            <w:r>
              <w:t xml:space="preserve">leonardocompany.com/en/investors/financial-reports/annual-reports</w:t>
            </w:r>
          </w:p>
        </w:tc>
      </w:tr>
    </w:tbl>
    <w:p>
      <w:pPr>
        <w:pStyle w:val="BodyText"/>
      </w:pPr>
      <w:r>
        <w:t xml:space="preserve">Table 10: Rheinmetall Sources</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**Year**</w:t>
            </w:r>
          </w:p>
        </w:tc>
        <w:tc>
          <w:tcPr/>
          <w:p>
            <w:pPr>
              <w:pStyle w:val="Compact"/>
              <w:jc w:val="center"/>
            </w:pPr>
            <w:r>
              <w:t xml:space="preserve">**Document title**</w:t>
            </w:r>
          </w:p>
        </w:tc>
        <w:tc>
          <w:tcPr/>
          <w:p>
            <w:pPr>
              <w:pStyle w:val="Compact"/>
              <w:jc w:val="center"/>
            </w:pPr>
            <w:r>
              <w:t xml:space="preserve">**Where to find it**</w:t>
            </w:r>
          </w:p>
        </w:tc>
      </w:tr>
      <w:tr>
        <w:tc>
          <w:tcPr/>
          <w:p>
            <w:pPr>
              <w:pStyle w:val="Compact"/>
              <w:jc w:val="center"/>
            </w:pPr>
            <w:r>
              <w:t xml:space="preserve">2018</w:t>
            </w:r>
          </w:p>
        </w:tc>
        <w:tc>
          <w:tcPr/>
          <w:p>
            <w:pPr>
              <w:pStyle w:val="Compact"/>
              <w:jc w:val="center"/>
            </w:pPr>
            <w:r>
              <w:t xml:space="preserve">Rheinmetall Annual Report 2018</w:t>
            </w:r>
          </w:p>
        </w:tc>
        <w:tc>
          <w:tcPr/>
          <w:p>
            <w:pPr>
              <w:pStyle w:val="Compact"/>
              <w:jc w:val="center"/>
            </w:pPr>
            <w:r>
              <w:t xml:space="preserve">rheinmetall.com/en/rheinmetall\_ag/investor\_relations\_1/reports\_publications\_1/annual\_reports\_1/index.php</w:t>
            </w:r>
          </w:p>
        </w:tc>
      </w:tr>
      <w:tr>
        <w:tc>
          <w:tcPr/>
          <w:p>
            <w:pPr>
              <w:pStyle w:val="Compact"/>
              <w:jc w:val="center"/>
            </w:pPr>
            <w:r>
              <w:t xml:space="preserve">2019</w:t>
            </w:r>
          </w:p>
        </w:tc>
        <w:tc>
          <w:tcPr/>
          <w:p>
            <w:pPr>
              <w:pStyle w:val="Compact"/>
              <w:jc w:val="center"/>
            </w:pPr>
            <w:r>
              <w:t xml:space="preserve">Rheinmetall Annual Report 2019</w:t>
            </w:r>
          </w:p>
        </w:tc>
        <w:tc>
          <w:tcPr/>
          <w:p>
            <w:pPr>
              <w:pStyle w:val="Compact"/>
              <w:jc w:val="center"/>
            </w:pPr>
            <w:r>
              <w:t xml:space="preserve">rheinmetall.com/en/rheinmetall\_ag/investor\_relations\_1/reports\_publications\_1/annual\_reports\_1/index.php</w:t>
            </w:r>
          </w:p>
        </w:tc>
      </w:tr>
      <w:tr>
        <w:tc>
          <w:tcPr/>
          <w:p>
            <w:pPr>
              <w:pStyle w:val="Compact"/>
              <w:jc w:val="center"/>
            </w:pPr>
            <w:r>
              <w:t xml:space="preserve">2020</w:t>
            </w:r>
          </w:p>
        </w:tc>
        <w:tc>
          <w:tcPr/>
          <w:p>
            <w:pPr>
              <w:pStyle w:val="Compact"/>
              <w:jc w:val="center"/>
            </w:pPr>
            <w:r>
              <w:t xml:space="preserve">Rheinmetall Annual Report 2020</w:t>
            </w:r>
          </w:p>
        </w:tc>
        <w:tc>
          <w:tcPr/>
          <w:p>
            <w:pPr>
              <w:pStyle w:val="Compact"/>
              <w:jc w:val="center"/>
            </w:pPr>
            <w:r>
              <w:t xml:space="preserve">rheinmetall.com/en/rheinmetall\_ag/investor\_relations\_1/reports\_publications\_1/annual\_reports\_1/index.php</w:t>
            </w:r>
          </w:p>
        </w:tc>
      </w:tr>
      <w:tr>
        <w:tc>
          <w:tcPr/>
          <w:p>
            <w:pPr>
              <w:pStyle w:val="Compact"/>
              <w:jc w:val="center"/>
            </w:pPr>
            <w:r>
              <w:t xml:space="preserve">2021</w:t>
            </w:r>
          </w:p>
        </w:tc>
        <w:tc>
          <w:tcPr/>
          <w:p>
            <w:pPr>
              <w:pStyle w:val="Compact"/>
              <w:jc w:val="center"/>
            </w:pPr>
            <w:r>
              <w:t xml:space="preserve">Rheinmetall Annual Report 2021</w:t>
            </w:r>
          </w:p>
        </w:tc>
        <w:tc>
          <w:tcPr/>
          <w:p>
            <w:pPr>
              <w:pStyle w:val="Compact"/>
              <w:jc w:val="center"/>
            </w:pPr>
            <w:r>
              <w:t xml:space="preserve">rheinmetall.com/en/rheinmetall\_ag/investor\_relations\_1/reports\_publications\_1/annual\_reports\_1/index.php</w:t>
            </w:r>
          </w:p>
        </w:tc>
      </w:tr>
      <w:tr>
        <w:tc>
          <w:tcPr/>
          <w:p>
            <w:pPr>
              <w:pStyle w:val="Compact"/>
              <w:jc w:val="center"/>
            </w:pPr>
            <w:r>
              <w:t xml:space="preserve">2022</w:t>
            </w:r>
          </w:p>
        </w:tc>
        <w:tc>
          <w:tcPr/>
          <w:p>
            <w:pPr>
              <w:pStyle w:val="Compact"/>
              <w:jc w:val="center"/>
            </w:pPr>
            <w:r>
              <w:t xml:space="preserve">Rheinmetall Annual Report 2022</w:t>
            </w:r>
          </w:p>
        </w:tc>
        <w:tc>
          <w:tcPr/>
          <w:p>
            <w:pPr>
              <w:pStyle w:val="Compact"/>
              <w:jc w:val="center"/>
            </w:pPr>
            <w:r>
              <w:t xml:space="preserve">rheinmetall.com/en/rheinmetall\_ag/investor\_relations\_1/reports\_publications\_1/annual\_reports\_1/index.php</w:t>
            </w:r>
          </w:p>
        </w:tc>
      </w:tr>
      <w:tr>
        <w:tc>
          <w:tcPr/>
          <w:p>
            <w:pPr>
              <w:pStyle w:val="Compact"/>
              <w:jc w:val="center"/>
            </w:pPr>
            <w:r>
              <w:t xml:space="preserve">2023</w:t>
            </w:r>
          </w:p>
        </w:tc>
        <w:tc>
          <w:tcPr/>
          <w:p>
            <w:pPr>
              <w:pStyle w:val="Compact"/>
              <w:jc w:val="center"/>
            </w:pPr>
            <w:r>
              <w:t xml:space="preserve">Rheinmetall Annual Report 2023</w:t>
            </w:r>
          </w:p>
        </w:tc>
        <w:tc>
          <w:tcPr/>
          <w:p>
            <w:pPr>
              <w:pStyle w:val="Compact"/>
              <w:jc w:val="center"/>
            </w:pPr>
            <w:r>
              <w:t xml:space="preserve">rheinmetall.com/en/rheinmetall\_ag/investor\_relations\_1/reports\_publications\_1/annual\_reports\_1/index.php</w:t>
            </w:r>
          </w:p>
        </w:tc>
      </w:tr>
      <w:tr>
        <w:tc>
          <w:tcPr/>
          <w:p>
            <w:pPr>
              <w:pStyle w:val="Compact"/>
              <w:jc w:val="center"/>
            </w:pPr>
            <w:r>
              <w:t xml:space="preserve">2024</w:t>
            </w:r>
          </w:p>
        </w:tc>
        <w:tc>
          <w:tcPr/>
          <w:p>
            <w:pPr>
              <w:pStyle w:val="Compact"/>
              <w:jc w:val="center"/>
            </w:pPr>
            <w:r>
              <w:t xml:space="preserve">Rheinmetall Annual Report 2024</w:t>
            </w:r>
          </w:p>
        </w:tc>
        <w:tc>
          <w:tcPr/>
          <w:p>
            <w:pPr>
              <w:pStyle w:val="Compact"/>
              <w:jc w:val="center"/>
            </w:pPr>
            <w:r>
              <w:t xml:space="preserve">rheinmetall.com/en/rheinmetall\_ag/investor\_relations\_1/reports\_publications\_1/annual\_reports\_1/index.php</w:t>
            </w:r>
          </w:p>
        </w:tc>
      </w:tr>
      <w:tr>
        <w:tc>
          <w:tcPr/>
          <w:p>
            <w:pPr>
              <w:pStyle w:val="Compact"/>
              <w:jc w:val="center"/>
            </w:pPr>
            <w:r>
              <w:t xml:space="preserve">2025</w:t>
            </w:r>
          </w:p>
        </w:tc>
        <w:tc>
          <w:tcPr/>
          <w:p>
            <w:pPr>
              <w:pStyle w:val="Compact"/>
              <w:jc w:val="center"/>
            </w:pPr>
            <w:r>
              <w:t xml:space="preserve">Rheinmetall Annual Report 2025</w:t>
            </w:r>
          </w:p>
        </w:tc>
        <w:tc>
          <w:tcPr/>
          <w:p>
            <w:pPr>
              <w:pStyle w:val="Compact"/>
              <w:jc w:val="center"/>
            </w:pPr>
            <w:r>
              <w:t xml:space="preserve">[RHEINMETALL AG – ANNUAL REPORT 2025](https://www.rheinmetall.com/Rheinmetall%20Group/Investor%20Relations/Ver%C3%B6ffentlichungen/Pr%C3%A4sentationen%20und%20Berichte/2026/GB/Rheinmetall-Annual-Report-2025.pdf)</w:t>
            </w:r>
          </w:p>
        </w:tc>
      </w:tr>
    </w:tbl>
    <w:p>
      <w:pPr>
        <w:pStyle w:val="BodyText"/>
      </w:pPr>
      <w:r>
        <w:t xml:space="preserve">Table 11: Rolls-Royce Holdings plc Sources</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**Year**</w:t>
            </w:r>
          </w:p>
        </w:tc>
        <w:tc>
          <w:tcPr/>
          <w:p>
            <w:pPr>
              <w:pStyle w:val="Compact"/>
              <w:jc w:val="center"/>
            </w:pPr>
            <w:r>
              <w:t xml:space="preserve">**Document title**</w:t>
            </w:r>
          </w:p>
        </w:tc>
        <w:tc>
          <w:tcPr/>
          <w:p>
            <w:pPr>
              <w:pStyle w:val="Compact"/>
              <w:jc w:val="center"/>
            </w:pPr>
            <w:r>
              <w:t xml:space="preserve">**Where to find it**</w:t>
            </w:r>
          </w:p>
        </w:tc>
      </w:tr>
      <w:tr>
        <w:tc>
          <w:tcPr/>
          <w:p>
            <w:pPr>
              <w:pStyle w:val="Compact"/>
              <w:jc w:val="center"/>
            </w:pPr>
            <w:r>
              <w:t xml:space="preserve">2018</w:t>
            </w:r>
          </w:p>
        </w:tc>
        <w:tc>
          <w:tcPr/>
          <w:p>
            <w:pPr>
              <w:pStyle w:val="Compact"/>
              <w:jc w:val="center"/>
            </w:pPr>
            <w:r>
              <w:t xml:space="preserve">Rolls-Royce Annual Report 2018</w:t>
            </w:r>
          </w:p>
        </w:tc>
        <w:tc>
          <w:tcPr/>
          <w:p>
            <w:pPr>
              <w:pStyle w:val="Compact"/>
              <w:jc w:val="center"/>
            </w:pPr>
            <w:r>
              <w:t xml:space="preserve">rolls-royce.com/investors/results-reports-and-presentations/annual-reports.aspx</w:t>
            </w:r>
          </w:p>
        </w:tc>
      </w:tr>
      <w:tr>
        <w:tc>
          <w:tcPr/>
          <w:p>
            <w:pPr>
              <w:pStyle w:val="Compact"/>
              <w:jc w:val="center"/>
            </w:pPr>
            <w:r>
              <w:t xml:space="preserve">2019</w:t>
            </w:r>
          </w:p>
        </w:tc>
        <w:tc>
          <w:tcPr/>
          <w:p>
            <w:pPr>
              <w:pStyle w:val="Compact"/>
              <w:jc w:val="center"/>
            </w:pPr>
            <w:r>
              <w:t xml:space="preserve">Rolls-Royce Annual Report 2019</w:t>
            </w:r>
          </w:p>
        </w:tc>
        <w:tc>
          <w:tcPr/>
          <w:p>
            <w:pPr>
              <w:pStyle w:val="Compact"/>
              <w:jc w:val="center"/>
            </w:pPr>
            <w:r>
              <w:t xml:space="preserve">rolls-royce.com/investors/results-reports-and-presentations/annual-reports.aspx</w:t>
            </w:r>
          </w:p>
        </w:tc>
      </w:tr>
      <w:tr>
        <w:tc>
          <w:tcPr/>
          <w:p>
            <w:pPr>
              <w:pStyle w:val="Compact"/>
              <w:jc w:val="center"/>
            </w:pPr>
            <w:r>
              <w:t xml:space="preserve">2020</w:t>
            </w:r>
          </w:p>
        </w:tc>
        <w:tc>
          <w:tcPr/>
          <w:p>
            <w:pPr>
              <w:pStyle w:val="Compact"/>
              <w:jc w:val="center"/>
            </w:pPr>
            <w:r>
              <w:t xml:space="preserve">Rolls-Royce Annual Report 2020</w:t>
            </w:r>
          </w:p>
        </w:tc>
        <w:tc>
          <w:tcPr/>
          <w:p>
            <w:pPr>
              <w:pStyle w:val="Compact"/>
              <w:jc w:val="center"/>
            </w:pPr>
            <w:r>
              <w:t xml:space="preserve">rolls-royce.com/investors/results-reports-and-presentations/annual-reports.aspx</w:t>
            </w:r>
          </w:p>
        </w:tc>
      </w:tr>
      <w:tr>
        <w:tc>
          <w:tcPr/>
          <w:p>
            <w:pPr>
              <w:pStyle w:val="Compact"/>
              <w:jc w:val="center"/>
            </w:pPr>
            <w:r>
              <w:t xml:space="preserve">2021</w:t>
            </w:r>
          </w:p>
        </w:tc>
        <w:tc>
          <w:tcPr/>
          <w:p>
            <w:pPr>
              <w:pStyle w:val="Compact"/>
              <w:jc w:val="center"/>
            </w:pPr>
            <w:r>
              <w:t xml:space="preserve">Rolls-Royce Annual Report 2021</w:t>
            </w:r>
          </w:p>
        </w:tc>
        <w:tc>
          <w:tcPr/>
          <w:p>
            <w:pPr>
              <w:pStyle w:val="Compact"/>
              <w:jc w:val="center"/>
            </w:pPr>
            <w:r>
              <w:t xml:space="preserve">rolls-royce.com/investors/results-reports-and-presentations/annual-reports.aspx</w:t>
            </w:r>
          </w:p>
        </w:tc>
      </w:tr>
      <w:tr>
        <w:tc>
          <w:tcPr/>
          <w:p>
            <w:pPr>
              <w:pStyle w:val="Compact"/>
              <w:jc w:val="center"/>
            </w:pPr>
            <w:r>
              <w:t xml:space="preserve">2022</w:t>
            </w:r>
          </w:p>
        </w:tc>
        <w:tc>
          <w:tcPr/>
          <w:p>
            <w:pPr>
              <w:pStyle w:val="Compact"/>
              <w:jc w:val="center"/>
            </w:pPr>
            <w:r>
              <w:t xml:space="preserve">Rolls-Royce Annual Report 2022</w:t>
            </w:r>
          </w:p>
        </w:tc>
        <w:tc>
          <w:tcPr/>
          <w:p>
            <w:pPr>
              <w:pStyle w:val="Compact"/>
              <w:jc w:val="center"/>
            </w:pPr>
            <w:r>
              <w:t xml:space="preserve">rolls-royce.com/investors/results-reports-and-presentations/annual-reports.aspx</w:t>
            </w:r>
          </w:p>
        </w:tc>
      </w:tr>
      <w:tr>
        <w:tc>
          <w:tcPr/>
          <w:p>
            <w:pPr>
              <w:pStyle w:val="Compact"/>
              <w:jc w:val="center"/>
            </w:pPr>
            <w:r>
              <w:t xml:space="preserve">2023</w:t>
            </w:r>
          </w:p>
        </w:tc>
        <w:tc>
          <w:tcPr/>
          <w:p>
            <w:pPr>
              <w:pStyle w:val="Compact"/>
              <w:jc w:val="center"/>
            </w:pPr>
            <w:r>
              <w:t xml:space="preserve">Rolls-Royce Annual Report 2023</w:t>
            </w:r>
          </w:p>
        </w:tc>
        <w:tc>
          <w:tcPr/>
          <w:p>
            <w:pPr>
              <w:pStyle w:val="Compact"/>
              <w:jc w:val="center"/>
            </w:pPr>
            <w:r>
              <w:t xml:space="preserve">rolls-royce.com/investors/results-reports-and-presentations/annual-reports.aspx</w:t>
            </w:r>
          </w:p>
        </w:tc>
      </w:tr>
      <w:tr>
        <w:tc>
          <w:tcPr/>
          <w:p>
            <w:pPr>
              <w:pStyle w:val="Compact"/>
              <w:jc w:val="center"/>
            </w:pPr>
            <w:r>
              <w:t xml:space="preserve">2024</w:t>
            </w:r>
          </w:p>
        </w:tc>
        <w:tc>
          <w:tcPr/>
          <w:p>
            <w:pPr>
              <w:pStyle w:val="Compact"/>
              <w:jc w:val="center"/>
            </w:pPr>
            <w:r>
              <w:t xml:space="preserve">Rolls-Royce Annual Report 2024</w:t>
            </w:r>
          </w:p>
        </w:tc>
        <w:tc>
          <w:tcPr/>
          <w:p>
            <w:pPr>
              <w:pStyle w:val="Compact"/>
              <w:jc w:val="center"/>
            </w:pPr>
            <w:r>
              <w:t xml:space="preserve">rolls-royce.com/investors/results-reports-and-presentations/annual-reports.aspx</w:t>
            </w:r>
          </w:p>
        </w:tc>
      </w:tr>
      <w:tr>
        <w:tc>
          <w:tcPr/>
          <w:p>
            <w:pPr>
              <w:pStyle w:val="Compact"/>
              <w:jc w:val="center"/>
            </w:pPr>
            <w:r>
              <w:t xml:space="preserve">2025</w:t>
            </w:r>
          </w:p>
        </w:tc>
        <w:tc>
          <w:tcPr/>
          <w:p>
            <w:pPr>
              <w:pStyle w:val="Compact"/>
              <w:jc w:val="center"/>
            </w:pPr>
            <w:r>
              <w:t xml:space="preserve">Rolls-Royce Preliminary Full-Year Results 2025</w:t>
            </w:r>
          </w:p>
        </w:tc>
        <w:tc>
          <w:tcPr/>
          <w:p>
            <w:pPr>
              <w:pStyle w:val="Compact"/>
              <w:jc w:val="center"/>
            </w:pPr>
            <w:r>
              <w:t xml:space="preserve">rolls-royce.com/investors/results-reports-and-presentations/annual-reports.aspx</w:t>
            </w:r>
          </w:p>
        </w:tc>
      </w:tr>
    </w:tbl>
    <w:p>
      <w:pPr>
        <w:pStyle w:val="BodyText"/>
      </w:pPr>
      <w:r>
        <w:t xml:space="preserve">Table 12: Saab AB Sources</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**Year**</w:t>
            </w:r>
          </w:p>
        </w:tc>
        <w:tc>
          <w:tcPr/>
          <w:p>
            <w:pPr>
              <w:pStyle w:val="Compact"/>
              <w:jc w:val="center"/>
            </w:pPr>
            <w:r>
              <w:t xml:space="preserve">**Document title**</w:t>
            </w:r>
          </w:p>
        </w:tc>
        <w:tc>
          <w:tcPr/>
          <w:p>
            <w:pPr>
              <w:pStyle w:val="Compact"/>
              <w:jc w:val="center"/>
            </w:pPr>
            <w:r>
              <w:t xml:space="preserve">**Where to find it**</w:t>
            </w:r>
          </w:p>
        </w:tc>
      </w:tr>
      <w:tr>
        <w:tc>
          <w:tcPr/>
          <w:p>
            <w:pPr>
              <w:pStyle w:val="Compact"/>
              <w:jc w:val="center"/>
            </w:pPr>
            <w:r>
              <w:t xml:space="preserve">2018</w:t>
            </w:r>
          </w:p>
        </w:tc>
        <w:tc>
          <w:tcPr/>
          <w:p>
            <w:pPr>
              <w:pStyle w:val="Compact"/>
              <w:jc w:val="center"/>
            </w:pPr>
            <w:r>
              <w:t xml:space="preserve">Saab Annual Report 2018 (Arsredovisning)</w:t>
            </w:r>
          </w:p>
        </w:tc>
        <w:tc>
          <w:tcPr/>
          <w:p>
            <w:pPr>
              <w:pStyle w:val="Compact"/>
              <w:jc w:val="center"/>
            </w:pPr>
            <w:r>
              <w:t xml:space="preserve">saabgroup.com/investor-relations/reports-and-presentations/annual-reports/</w:t>
            </w:r>
          </w:p>
        </w:tc>
      </w:tr>
      <w:tr>
        <w:tc>
          <w:tcPr/>
          <w:p>
            <w:pPr>
              <w:pStyle w:val="Compact"/>
              <w:jc w:val="center"/>
            </w:pPr>
            <w:r>
              <w:t xml:space="preserve">2019</w:t>
            </w:r>
          </w:p>
        </w:tc>
        <w:tc>
          <w:tcPr/>
          <w:p>
            <w:pPr>
              <w:pStyle w:val="Compact"/>
              <w:jc w:val="center"/>
            </w:pPr>
            <w:r>
              <w:t xml:space="preserve">Saab Annual Report 2019 (Arsredovisning)</w:t>
            </w:r>
          </w:p>
        </w:tc>
        <w:tc>
          <w:tcPr/>
          <w:p>
            <w:pPr>
              <w:pStyle w:val="Compact"/>
              <w:jc w:val="center"/>
            </w:pPr>
            <w:r>
              <w:t xml:space="preserve">saabgroup.com/investor-relations/reports-and-presentations/annual-reports/</w:t>
            </w:r>
          </w:p>
        </w:tc>
      </w:tr>
      <w:tr>
        <w:tc>
          <w:tcPr/>
          <w:p>
            <w:pPr>
              <w:pStyle w:val="Compact"/>
              <w:jc w:val="center"/>
            </w:pPr>
            <w:r>
              <w:t xml:space="preserve">2020</w:t>
            </w:r>
          </w:p>
        </w:tc>
        <w:tc>
          <w:tcPr/>
          <w:p>
            <w:pPr>
              <w:pStyle w:val="Compact"/>
              <w:jc w:val="center"/>
            </w:pPr>
            <w:r>
              <w:t xml:space="preserve">Saab Annual Report 2020 (Arsredovisning)</w:t>
            </w:r>
          </w:p>
        </w:tc>
        <w:tc>
          <w:tcPr/>
          <w:p>
            <w:pPr>
              <w:pStyle w:val="Compact"/>
              <w:jc w:val="center"/>
            </w:pPr>
            <w:r>
              <w:t xml:space="preserve">saabgroup.com/investor-relations/reports-and-presentations/annual-reports/</w:t>
            </w:r>
          </w:p>
        </w:tc>
      </w:tr>
      <w:tr>
        <w:tc>
          <w:tcPr/>
          <w:p>
            <w:pPr>
              <w:pStyle w:val="Compact"/>
              <w:jc w:val="center"/>
            </w:pPr>
            <w:r>
              <w:t xml:space="preserve">2021</w:t>
            </w:r>
          </w:p>
        </w:tc>
        <w:tc>
          <w:tcPr/>
          <w:p>
            <w:pPr>
              <w:pStyle w:val="Compact"/>
              <w:jc w:val="center"/>
            </w:pPr>
            <w:r>
              <w:t xml:space="preserve">Saab Annual Report 2021 (Arsredovisning)</w:t>
            </w:r>
          </w:p>
        </w:tc>
        <w:tc>
          <w:tcPr/>
          <w:p>
            <w:pPr>
              <w:pStyle w:val="Compact"/>
              <w:jc w:val="center"/>
            </w:pPr>
            <w:r>
              <w:t xml:space="preserve">saabgroup.com/investor-relations/reports-and-presentations/annual-reports/</w:t>
            </w:r>
          </w:p>
        </w:tc>
      </w:tr>
      <w:tr>
        <w:tc>
          <w:tcPr/>
          <w:p>
            <w:pPr>
              <w:pStyle w:val="Compact"/>
              <w:jc w:val="center"/>
            </w:pPr>
            <w:r>
              <w:t xml:space="preserve">2022</w:t>
            </w:r>
          </w:p>
        </w:tc>
        <w:tc>
          <w:tcPr/>
          <w:p>
            <w:pPr>
              <w:pStyle w:val="Compact"/>
              <w:jc w:val="center"/>
            </w:pPr>
            <w:r>
              <w:t xml:space="preserve">Saab Annual Report 2022</w:t>
            </w:r>
          </w:p>
        </w:tc>
        <w:tc>
          <w:tcPr/>
          <w:p>
            <w:pPr>
              <w:pStyle w:val="Compact"/>
              <w:jc w:val="center"/>
            </w:pPr>
            <w:r>
              <w:t xml:space="preserve">saabgroup.com/investor-relations/reports-and-presentations/annual-reports/</w:t>
            </w:r>
          </w:p>
        </w:tc>
      </w:tr>
      <w:tr>
        <w:tc>
          <w:tcPr/>
          <w:p>
            <w:pPr>
              <w:pStyle w:val="Compact"/>
              <w:jc w:val="center"/>
            </w:pPr>
            <w:r>
              <w:t xml:space="preserve">2023</w:t>
            </w:r>
          </w:p>
        </w:tc>
        <w:tc>
          <w:tcPr/>
          <w:p>
            <w:pPr>
              <w:pStyle w:val="Compact"/>
              <w:jc w:val="center"/>
            </w:pPr>
            <w:r>
              <w:t xml:space="preserve">Saab Annual Report 2023 (Arsredovisning)</w:t>
            </w:r>
          </w:p>
        </w:tc>
        <w:tc>
          <w:tcPr/>
          <w:p>
            <w:pPr>
              <w:pStyle w:val="Compact"/>
              <w:jc w:val="center"/>
            </w:pPr>
            <w:r>
              <w:t xml:space="preserve">saabgroup.com/investor-relations/reports-and-presentations/annual-reports/</w:t>
            </w:r>
          </w:p>
        </w:tc>
      </w:tr>
      <w:tr>
        <w:tc>
          <w:tcPr/>
          <w:p>
            <w:pPr>
              <w:pStyle w:val="Compact"/>
              <w:jc w:val="center"/>
            </w:pPr>
            <w:r>
              <w:t xml:space="preserve">2024</w:t>
            </w:r>
          </w:p>
        </w:tc>
        <w:tc>
          <w:tcPr/>
          <w:p>
            <w:pPr>
              <w:pStyle w:val="Compact"/>
              <w:jc w:val="center"/>
            </w:pPr>
            <w:r>
              <w:t xml:space="preserve">Saab Annual Report 2024 (Arsredovisning)</w:t>
            </w:r>
          </w:p>
        </w:tc>
        <w:tc>
          <w:tcPr/>
          <w:p>
            <w:pPr>
              <w:pStyle w:val="Compact"/>
              <w:jc w:val="center"/>
            </w:pPr>
            <w:r>
              <w:t xml:space="preserve">saabgroup.com/investor-relations/reports-and-presentations/annual-reports/</w:t>
            </w:r>
          </w:p>
        </w:tc>
      </w:tr>
      <w:tr>
        <w:tc>
          <w:tcPr/>
          <w:p>
            <w:pPr>
              <w:pStyle w:val="Compact"/>
              <w:jc w:val="center"/>
            </w:pPr>
            <w:r>
              <w:t xml:space="preserve">2025</w:t>
            </w:r>
          </w:p>
        </w:tc>
        <w:tc>
          <w:tcPr/>
          <w:p>
            <w:pPr>
              <w:pStyle w:val="Compact"/>
              <w:jc w:val="center"/>
            </w:pPr>
            <w:r>
              <w:t xml:space="preserve">Saab Preliminary Full-Year Results 2025</w:t>
            </w:r>
          </w:p>
        </w:tc>
        <w:tc>
          <w:tcPr/>
          <w:p>
            <w:pPr>
              <w:pStyle w:val="Compact"/>
              <w:jc w:val="center"/>
            </w:pPr>
            <w:r>
              <w:t xml:space="preserve">saabgroup.com/investor-relations/reports-and-presentations/annual-reports/</w:t>
            </w:r>
          </w:p>
        </w:tc>
      </w:tr>
    </w:tbl>
    <w:p>
      <w:pPr>
        <w:pStyle w:val="BodyText"/>
      </w:pPr>
      <w:r>
        <w:t xml:space="preserve">Table 13: Safran SA Sources</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**Year**</w:t>
            </w:r>
          </w:p>
        </w:tc>
        <w:tc>
          <w:tcPr/>
          <w:p>
            <w:pPr>
              <w:pStyle w:val="Compact"/>
              <w:jc w:val="center"/>
            </w:pPr>
            <w:r>
              <w:t xml:space="preserve">**Document title**</w:t>
            </w:r>
          </w:p>
        </w:tc>
        <w:tc>
          <w:tcPr/>
          <w:p>
            <w:pPr>
              <w:pStyle w:val="Compact"/>
              <w:jc w:val="center"/>
            </w:pPr>
            <w:r>
              <w:t xml:space="preserve">**Where to find it**</w:t>
            </w:r>
          </w:p>
        </w:tc>
      </w:tr>
      <w:tr>
        <w:tc>
          <w:tcPr/>
          <w:p>
            <w:pPr>
              <w:pStyle w:val="Compact"/>
              <w:jc w:val="center"/>
            </w:pPr>
            <w:r>
              <w:t xml:space="preserve">2018</w:t>
            </w:r>
          </w:p>
        </w:tc>
        <w:tc>
          <w:tcPr/>
          <w:p>
            <w:pPr>
              <w:pStyle w:val="Compact"/>
              <w:jc w:val="center"/>
            </w:pPr>
            <w:r>
              <w:t xml:space="preserve">Safran Annual Report 2018</w:t>
            </w:r>
          </w:p>
        </w:tc>
        <w:tc>
          <w:tcPr/>
          <w:p>
            <w:pPr>
              <w:pStyle w:val="Compact"/>
              <w:jc w:val="center"/>
            </w:pPr>
            <w:r>
              <w:t xml:space="preserve">safran-group.com/finance/results-publications/financial-documents</w:t>
            </w:r>
          </w:p>
        </w:tc>
      </w:tr>
      <w:tr>
        <w:tc>
          <w:tcPr/>
          <w:p>
            <w:pPr>
              <w:pStyle w:val="Compact"/>
              <w:jc w:val="center"/>
            </w:pPr>
            <w:r>
              <w:t xml:space="preserve">2019</w:t>
            </w:r>
          </w:p>
        </w:tc>
        <w:tc>
          <w:tcPr/>
          <w:p>
            <w:pPr>
              <w:pStyle w:val="Compact"/>
              <w:jc w:val="center"/>
            </w:pPr>
            <w:r>
              <w:t xml:space="preserve">Safran Annual Report 2019</w:t>
            </w:r>
          </w:p>
        </w:tc>
        <w:tc>
          <w:tcPr/>
          <w:p>
            <w:pPr>
              <w:pStyle w:val="Compact"/>
              <w:jc w:val="center"/>
            </w:pPr>
            <w:r>
              <w:t xml:space="preserve">safran-group.com/finance/results-publications/financial-documents</w:t>
            </w:r>
          </w:p>
        </w:tc>
      </w:tr>
      <w:tr>
        <w:tc>
          <w:tcPr/>
          <w:p>
            <w:pPr>
              <w:pStyle w:val="Compact"/>
              <w:jc w:val="center"/>
            </w:pPr>
            <w:r>
              <w:t xml:space="preserve">2020</w:t>
            </w:r>
          </w:p>
        </w:tc>
        <w:tc>
          <w:tcPr/>
          <w:p>
            <w:pPr>
              <w:pStyle w:val="Compact"/>
              <w:jc w:val="center"/>
            </w:pPr>
            <w:r>
              <w:t xml:space="preserve">Safran Annual Report 2020</w:t>
            </w:r>
          </w:p>
        </w:tc>
        <w:tc>
          <w:tcPr/>
          <w:p>
            <w:pPr>
              <w:pStyle w:val="Compact"/>
              <w:jc w:val="center"/>
            </w:pPr>
            <w:r>
              <w:t xml:space="preserve">safran-group.com/finance/results-publications/financial-documents</w:t>
            </w:r>
          </w:p>
        </w:tc>
      </w:tr>
      <w:tr>
        <w:tc>
          <w:tcPr/>
          <w:p>
            <w:pPr>
              <w:pStyle w:val="Compact"/>
              <w:jc w:val="center"/>
            </w:pPr>
            <w:r>
              <w:t xml:space="preserve">2021</w:t>
            </w:r>
          </w:p>
        </w:tc>
        <w:tc>
          <w:tcPr/>
          <w:p>
            <w:pPr>
              <w:pStyle w:val="Compact"/>
              <w:jc w:val="center"/>
            </w:pPr>
            <w:r>
              <w:t xml:space="preserve">Safran Annual Report 2021</w:t>
            </w:r>
          </w:p>
        </w:tc>
        <w:tc>
          <w:tcPr/>
          <w:p>
            <w:pPr>
              <w:pStyle w:val="Compact"/>
              <w:jc w:val="center"/>
            </w:pPr>
            <w:r>
              <w:t xml:space="preserve">safran-group.com/finance/results-publications/financial-documents</w:t>
            </w:r>
          </w:p>
        </w:tc>
      </w:tr>
      <w:tr>
        <w:tc>
          <w:tcPr/>
          <w:p>
            <w:pPr>
              <w:pStyle w:val="Compact"/>
              <w:jc w:val="center"/>
            </w:pPr>
            <w:r>
              <w:t xml:space="preserve">2022</w:t>
            </w:r>
          </w:p>
        </w:tc>
        <w:tc>
          <w:tcPr/>
          <w:p>
            <w:pPr>
              <w:pStyle w:val="Compact"/>
              <w:jc w:val="center"/>
            </w:pPr>
            <w:r>
              <w:t xml:space="preserve">Safran Annual Report 2022</w:t>
            </w:r>
          </w:p>
        </w:tc>
        <w:tc>
          <w:tcPr/>
          <w:p>
            <w:pPr>
              <w:pStyle w:val="Compact"/>
              <w:jc w:val="center"/>
            </w:pPr>
            <w:r>
              <w:t xml:space="preserve">safran-group.com/finance/results-publications/financial-documents</w:t>
            </w:r>
          </w:p>
        </w:tc>
      </w:tr>
      <w:tr>
        <w:tc>
          <w:tcPr/>
          <w:p>
            <w:pPr>
              <w:pStyle w:val="Compact"/>
              <w:jc w:val="center"/>
            </w:pPr>
            <w:r>
              <w:t xml:space="preserve">2023</w:t>
            </w:r>
          </w:p>
        </w:tc>
        <w:tc>
          <w:tcPr/>
          <w:p>
            <w:pPr>
              <w:pStyle w:val="Compact"/>
              <w:jc w:val="center"/>
            </w:pPr>
            <w:r>
              <w:t xml:space="preserve">Safran Annual Report 2023</w:t>
            </w:r>
          </w:p>
        </w:tc>
        <w:tc>
          <w:tcPr/>
          <w:p>
            <w:pPr>
              <w:pStyle w:val="Compact"/>
              <w:jc w:val="center"/>
            </w:pPr>
            <w:r>
              <w:t xml:space="preserve">safran-group.com/finance/results-publications/financial-documents</w:t>
            </w:r>
          </w:p>
        </w:tc>
      </w:tr>
      <w:tr>
        <w:tc>
          <w:tcPr/>
          <w:p>
            <w:pPr>
              <w:pStyle w:val="Compact"/>
              <w:jc w:val="center"/>
            </w:pPr>
            <w:r>
              <w:t xml:space="preserve">2024</w:t>
            </w:r>
          </w:p>
        </w:tc>
        <w:tc>
          <w:tcPr/>
          <w:p>
            <w:pPr>
              <w:pStyle w:val="Compact"/>
              <w:jc w:val="center"/>
            </w:pPr>
            <w:r>
              <w:t xml:space="preserve">Safran Annual Report 2024</w:t>
            </w:r>
          </w:p>
        </w:tc>
        <w:tc>
          <w:tcPr/>
          <w:p>
            <w:pPr>
              <w:pStyle w:val="Compact"/>
              <w:jc w:val="center"/>
            </w:pPr>
            <w:r>
              <w:t xml:space="preserve">safran-group.com/finance/results-publications/financial-documents</w:t>
            </w:r>
          </w:p>
        </w:tc>
      </w:tr>
      <w:tr>
        <w:tc>
          <w:tcPr/>
          <w:p>
            <w:pPr>
              <w:pStyle w:val="Compact"/>
              <w:jc w:val="center"/>
            </w:pPr>
            <w:r>
              <w:t xml:space="preserve">2025</w:t>
            </w:r>
          </w:p>
        </w:tc>
        <w:tc>
          <w:tcPr/>
          <w:p>
            <w:pPr>
              <w:pStyle w:val="Compact"/>
              <w:jc w:val="center"/>
            </w:pPr>
            <w:r>
              <w:t xml:space="preserve">Safran Preliminary Full-Year Results 2025</w:t>
            </w:r>
          </w:p>
        </w:tc>
        <w:tc>
          <w:tcPr/>
          <w:p>
            <w:pPr>
              <w:pStyle w:val="Compact"/>
              <w:jc w:val="center"/>
            </w:pPr>
            <w:r>
              <w:t xml:space="preserve">safran-group.com/finance/results-publications/financial-documents</w:t>
            </w:r>
          </w:p>
        </w:tc>
      </w:tr>
    </w:tbl>
    <w:p>
      <w:pPr>
        <w:pStyle w:val="BodyText"/>
      </w:pPr>
      <w:r>
        <w:t xml:space="preserve">Table 14: Thales SA Sources</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center"/>
            </w:pPr>
            <w:r>
              <w:t xml:space="preserve">**Year**</w:t>
            </w:r>
          </w:p>
        </w:tc>
        <w:tc>
          <w:tcPr/>
          <w:p>
            <w:pPr>
              <w:pStyle w:val="Compact"/>
              <w:jc w:val="center"/>
            </w:pPr>
            <w:r>
              <w:t xml:space="preserve">**Document title**</w:t>
            </w:r>
          </w:p>
        </w:tc>
        <w:tc>
          <w:tcPr/>
          <w:p>
            <w:pPr>
              <w:pStyle w:val="Compact"/>
              <w:jc w:val="center"/>
            </w:pPr>
            <w:r>
              <w:t xml:space="preserve">**Where to find it**</w:t>
            </w:r>
          </w:p>
        </w:tc>
      </w:tr>
      <w:tr>
        <w:tc>
          <w:tcPr/>
          <w:p>
            <w:pPr>
              <w:pStyle w:val="Compact"/>
              <w:jc w:val="center"/>
            </w:pPr>
            <w:r>
              <w:t xml:space="preserve">2018</w:t>
            </w:r>
          </w:p>
        </w:tc>
        <w:tc>
          <w:tcPr/>
          <w:p>
            <w:pPr>
              <w:pStyle w:val="Compact"/>
              <w:jc w:val="center"/>
            </w:pPr>
            <w:r>
              <w:t xml:space="preserve">Thales Annual Report 2018</w:t>
            </w:r>
          </w:p>
        </w:tc>
        <w:tc>
          <w:tcPr/>
          <w:p>
            <w:pPr>
              <w:pStyle w:val="Compact"/>
              <w:jc w:val="center"/>
            </w:pPr>
            <w:r>
              <w:t xml:space="preserve">thalesgroup.com/en/investors/regulated-information/annual-reports</w:t>
            </w:r>
          </w:p>
        </w:tc>
      </w:tr>
      <w:tr>
        <w:tc>
          <w:tcPr/>
          <w:p>
            <w:pPr>
              <w:pStyle w:val="Compact"/>
              <w:jc w:val="center"/>
            </w:pPr>
            <w:r>
              <w:t xml:space="preserve">2019</w:t>
            </w:r>
          </w:p>
        </w:tc>
        <w:tc>
          <w:tcPr/>
          <w:p>
            <w:pPr>
              <w:pStyle w:val="Compact"/>
              <w:jc w:val="center"/>
            </w:pPr>
            <w:r>
              <w:t xml:space="preserve">Thales Annual Report 2019</w:t>
            </w:r>
          </w:p>
        </w:tc>
        <w:tc>
          <w:tcPr/>
          <w:p>
            <w:pPr>
              <w:pStyle w:val="Compact"/>
              <w:jc w:val="center"/>
            </w:pPr>
            <w:r>
              <w:t xml:space="preserve">thalesgroup.com/en/investors/regulated-information/annual-reports</w:t>
            </w:r>
          </w:p>
        </w:tc>
      </w:tr>
      <w:tr>
        <w:tc>
          <w:tcPr/>
          <w:p>
            <w:pPr>
              <w:pStyle w:val="Compact"/>
              <w:jc w:val="center"/>
            </w:pPr>
            <w:r>
              <w:t xml:space="preserve">2020</w:t>
            </w:r>
          </w:p>
        </w:tc>
        <w:tc>
          <w:tcPr/>
          <w:p>
            <w:pPr>
              <w:pStyle w:val="Compact"/>
              <w:jc w:val="center"/>
            </w:pPr>
            <w:r>
              <w:t xml:space="preserve">Thales Annual Report 2020</w:t>
            </w:r>
          </w:p>
        </w:tc>
        <w:tc>
          <w:tcPr/>
          <w:p>
            <w:pPr>
              <w:pStyle w:val="Compact"/>
              <w:jc w:val="center"/>
            </w:pPr>
            <w:r>
              <w:t xml:space="preserve">thalesgroup.com/en/investors/regulated-information/annual-reports</w:t>
            </w:r>
          </w:p>
        </w:tc>
      </w:tr>
      <w:tr>
        <w:tc>
          <w:tcPr/>
          <w:p>
            <w:pPr>
              <w:pStyle w:val="Compact"/>
              <w:jc w:val="center"/>
            </w:pPr>
            <w:r>
              <w:t xml:space="preserve">2021</w:t>
            </w:r>
          </w:p>
        </w:tc>
        <w:tc>
          <w:tcPr/>
          <w:p>
            <w:pPr>
              <w:pStyle w:val="Compact"/>
              <w:jc w:val="center"/>
            </w:pPr>
            <w:r>
              <w:t xml:space="preserve">Thales Annual Report 2021</w:t>
            </w:r>
          </w:p>
        </w:tc>
        <w:tc>
          <w:tcPr/>
          <w:p>
            <w:pPr>
              <w:pStyle w:val="Compact"/>
              <w:jc w:val="center"/>
            </w:pPr>
            <w:r>
              <w:t xml:space="preserve">thalesgroup.com/en/investors/regulated-information/annual-reports</w:t>
            </w:r>
          </w:p>
        </w:tc>
      </w:tr>
      <w:tr>
        <w:tc>
          <w:tcPr/>
          <w:p>
            <w:pPr>
              <w:pStyle w:val="Compact"/>
              <w:jc w:val="center"/>
            </w:pPr>
            <w:r>
              <w:t xml:space="preserve">2022</w:t>
            </w:r>
          </w:p>
        </w:tc>
        <w:tc>
          <w:tcPr/>
          <w:p>
            <w:pPr>
              <w:pStyle w:val="Compact"/>
              <w:jc w:val="center"/>
            </w:pPr>
            <w:r>
              <w:t xml:space="preserve">Thales Annual Report 2022</w:t>
            </w:r>
          </w:p>
        </w:tc>
        <w:tc>
          <w:tcPr/>
          <w:p>
            <w:pPr>
              <w:pStyle w:val="Compact"/>
              <w:jc w:val="center"/>
            </w:pPr>
            <w:r>
              <w:t xml:space="preserve">thalesgroup.com/en/investors/regulated-information/annual-reports</w:t>
            </w:r>
          </w:p>
        </w:tc>
      </w:tr>
      <w:tr>
        <w:tc>
          <w:tcPr/>
          <w:p>
            <w:pPr>
              <w:pStyle w:val="Compact"/>
              <w:jc w:val="center"/>
            </w:pPr>
            <w:r>
              <w:t xml:space="preserve">2023</w:t>
            </w:r>
          </w:p>
        </w:tc>
        <w:tc>
          <w:tcPr/>
          <w:p>
            <w:pPr>
              <w:pStyle w:val="Compact"/>
              <w:jc w:val="center"/>
            </w:pPr>
            <w:r>
              <w:t xml:space="preserve">Thales Annual Report 2023</w:t>
            </w:r>
          </w:p>
        </w:tc>
        <w:tc>
          <w:tcPr/>
          <w:p>
            <w:pPr>
              <w:pStyle w:val="Compact"/>
              <w:jc w:val="center"/>
            </w:pPr>
            <w:r>
              <w:t xml:space="preserve">thalesgroup.com/en/investors/regulated-information/annual-reports</w:t>
            </w:r>
          </w:p>
        </w:tc>
      </w:tr>
      <w:tr>
        <w:tc>
          <w:tcPr/>
          <w:p>
            <w:pPr>
              <w:pStyle w:val="Compact"/>
              <w:jc w:val="center"/>
            </w:pPr>
            <w:r>
              <w:t xml:space="preserve">2024</w:t>
            </w:r>
          </w:p>
        </w:tc>
        <w:tc>
          <w:tcPr/>
          <w:p>
            <w:pPr>
              <w:pStyle w:val="Compact"/>
              <w:jc w:val="center"/>
            </w:pPr>
            <w:r>
              <w:t xml:space="preserve">Thales Annual Report 2024</w:t>
            </w:r>
          </w:p>
        </w:tc>
        <w:tc>
          <w:tcPr/>
          <w:p>
            <w:pPr>
              <w:pStyle w:val="Compact"/>
              <w:jc w:val="center"/>
            </w:pPr>
            <w:r>
              <w:t xml:space="preserve">thalesgroup.com/en/investors/regulated-information/annual-reports</w:t>
            </w:r>
          </w:p>
        </w:tc>
      </w:tr>
      <w:tr>
        <w:tc>
          <w:tcPr/>
          <w:p>
            <w:pPr>
              <w:pStyle w:val="Compact"/>
              <w:jc w:val="center"/>
            </w:pPr>
            <w:r>
              <w:t xml:space="preserve">2025</w:t>
            </w:r>
          </w:p>
        </w:tc>
        <w:tc>
          <w:tcPr/>
          <w:p>
            <w:pPr>
              <w:pStyle w:val="Compact"/>
              <w:jc w:val="center"/>
            </w:pPr>
            <w:r>
              <w:t xml:space="preserve">Thales Preliminary Full-Year Results 2025</w:t>
            </w:r>
          </w:p>
        </w:tc>
        <w:tc>
          <w:tcPr/>
          <w:p>
            <w:pPr>
              <w:pStyle w:val="Compact"/>
              <w:jc w:val="center"/>
            </w:pPr>
            <w:r>
              <w:t xml:space="preserve">thalesgroup.com/en/investors/regulated-information/annual-reports</w:t>
            </w:r>
          </w:p>
        </w:tc>
      </w:tr>
    </w:tbl>
    <w:bookmarkEnd w:id="79"/>
    <w:bookmarkStart w:id="80" w:name="appendix-c-semantic"/>
    <w:p>
      <w:pPr>
        <w:pStyle w:val="Heading1"/>
      </w:pPr>
      <w:r>
        <w:rPr>
          <w:bCs/>
          <w:b/>
        </w:rPr>
        <w:t xml:space="preserve">Appendix C: Semantic</w:t>
      </w:r>
    </w:p>
    <w:p>
      <w:pPr>
        <w:pStyle w:val="FirstParagraph"/>
      </w:pPr>
      <w:r>
        <w:rPr>
          <w:bCs/>
          <w:b/>
        </w:rPr>
        <w:t xml:space="preserve">AI Prompts</w:t>
      </w:r>
    </w:p>
    <w:p>
      <w:pPr>
        <w:pStyle w:val="BodyText"/>
      </w:pPr>
      <w:r>
        <w:t xml:space="preserve">The following prompts were submitted verbatim to Claude and Gemini 2.5 pro for each report in the corpus. The system prompt was held constant across all 79 assessments. The user prompt was identical in structure for every report, with {company} and {year} replaced by the relevant values.</w:t>
      </w:r>
    </w:p>
    <w:p>
      <w:pPr>
        <w:pStyle w:val="BodyText"/>
      </w:pPr>
      <w:r>
        <w:rPr>
          <w:iCs/>
          <w:i/>
        </w:rPr>
        <w:t xml:space="preserve">System Prompt</w:t>
      </w:r>
    </w:p>
    <w:p>
      <w:pPr>
        <w:pStyle w:val="BodyText"/>
      </w:pPr>
      <w:r>
        <w:rPr>
          <w:iCs/>
          <w:i/>
        </w:rPr>
        <w:t xml:space="preserve">“</w:t>
      </w:r>
      <w:r>
        <w:rPr>
          <w:iCs/>
          <w:i/>
        </w:rPr>
        <w:t xml:space="preserve">You are a senior financial analyst specialising in European defence companies. You are helping a researcher answer the question:</w:t>
      </w:r>
      <w:r>
        <w:rPr>
          <w:iCs/>
          <w:i/>
        </w:rPr>
        <w:t xml:space="preserve"> </w:t>
      </w:r>
      <w:r>
        <w:rPr>
          <w:iCs/>
          <w:i/>
        </w:rPr>
        <w:t xml:space="preserve">‘</w:t>
      </w:r>
      <w:r>
        <w:rPr>
          <w:iCs/>
          <w:i/>
        </w:rPr>
        <w:t xml:space="preserve">Did Russia’s invasion of Ukraine in February 2022 create a STRUCTURAL or CYCLICAL shift in European defence companies?</w:t>
      </w:r>
      <w:r>
        <w:rPr>
          <w:iCs/>
          <w:i/>
        </w:rPr>
        <w:t xml:space="preserve">’</w:t>
      </w:r>
      <w:r>
        <w:rPr>
          <w:iCs/>
          <w:i/>
        </w:rPr>
        <w:t xml:space="preserve"> </w:t>
      </w:r>
      <w:r>
        <w:rPr>
          <w:iCs/>
          <w:i/>
        </w:rPr>
        <w:t xml:space="preserve">A STRUCTURAL shift means: permanent changes in strategy, long-term investment commitments, fundamental repositioning of the business, multi-decade demand assumptions baked into capital allocation. A CYCLICAL shift means: temporary response to an event, expectation that spending returns to normal, cautious language, no permanent strategic pivot. You will read an excerpt from a defence company earnings report or annual report and assess the NARRATIVE — not just keywords, but the actual tone, intent, and strategic posture of the management. Always respond with ONLY valid JSON and nothing else.</w:t>
      </w:r>
      <w:r>
        <w:rPr>
          <w:iCs/>
          <w:i/>
        </w:rPr>
        <w:t xml:space="preserve">”</w:t>
      </w:r>
    </w:p>
    <w:p>
      <w:pPr>
        <w:pStyle w:val="BodyText"/>
      </w:pPr>
      <w:r>
        <w:rPr>
          <w:iCs/>
          <w:i/>
        </w:rPr>
        <w:t xml:space="preserve">User Prompt (per report)</w:t>
      </w:r>
    </w:p>
    <w:p>
      <w:pPr>
        <w:pStyle w:val="BodyText"/>
      </w:pPr>
      <w:r>
        <w:rPr>
          <w:iCs/>
          <w:i/>
        </w:rPr>
        <w:t xml:space="preserve">“</w:t>
      </w:r>
      <w:r>
        <w:rPr>
          <w:iCs/>
          <w:i/>
        </w:rPr>
        <w:t xml:space="preserve">Analyse this earnings/annual report excerpt from {company} ({year}). Return ONLY a JSON object with exactly these fields: structural_vs_cyclical_score (integer 1–10, where 1 = purely cyclical, 10 = purely structural), structural_vs_cyclical_label (Structural / Cyclical / Mixed), narrative_tone (Cautious / Optimistic / Urgent / Transformational / Business-as-usual), investment_commitment (Low / Medium / High / Very High), capex_language (1 sentence summarising how management discusses capital spending), demand_outlook_language (1 sentence on how management frames future demand), russia_ukraine_framing (1 sentence on how geopolitics is used to justify decisions, or</w:t>
      </w:r>
      <w:r>
        <w:rPr>
          <w:iCs/>
          <w:i/>
        </w:rPr>
        <w:t xml:space="preserve"> </w:t>
      </w:r>
      <w:r>
        <w:rPr>
          <w:iCs/>
          <w:i/>
        </w:rPr>
        <w:t xml:space="preserve">‘</w:t>
      </w:r>
      <w:r>
        <w:rPr>
          <w:iCs/>
          <w:i/>
        </w:rPr>
        <w:t xml:space="preserve">Not mentioned</w:t>
      </w:r>
      <w:r>
        <w:rPr>
          <w:iCs/>
          <w:i/>
        </w:rPr>
        <w:t xml:space="preserve">’</w:t>
      </w:r>
      <w:r>
        <w:rPr>
          <w:iCs/>
          <w:i/>
        </w:rPr>
        <w:t xml:space="preserve">), key_structural_quote (the single most structurally committed sentence in the text), key_cyclical_quote (the single most cyclically framed sentence), narrative_summary (3 sentences: what story is management telling?), year_over_year_signal (Escalating commitment / Stable / Retreating / Cannot assess), confidence (High / Medium / Low).</w:t>
      </w:r>
      <w:r>
        <w:rPr>
          <w:iCs/>
          <w:i/>
        </w:rPr>
        <w:t xml:space="preserve">”</w:t>
      </w:r>
    </w:p>
    <w:p>
      <w:pPr>
        <w:pStyle w:val="BodyText"/>
      </w:pPr>
      <w:r>
        <w:t xml:space="preserve">Company-level Scores</w:t>
      </w:r>
    </w:p>
    <w:tbl>
      <w:tblPr>
        <w:tblStyle w:val="Table"/>
        <w:tblW w:type="pct" w:w="5000"/>
        <w:tblLook w:firstRow="0" w:lastRow="0" w:firstColumn="0" w:lastColumn="0" w:noHBand="0" w:noVBand="0" w:val="0000"/>
        <w:jc w:val="start"/>
      </w:tblPr>
      <w:tblGrid>
        <w:gridCol w:w="1584"/>
        <w:gridCol w:w="1584"/>
        <w:gridCol w:w="1584"/>
        <w:gridCol w:w="1584"/>
        <w:gridCol w:w="1584"/>
      </w:tblGrid>
      <w:tr>
        <w:tc>
          <w:tcPr/>
          <w:p>
            <w:pPr>
              <w:pStyle w:val="Compact"/>
              <w:jc w:val="center"/>
            </w:pPr>
            <w:r>
              <w:t xml:space="preserve">**Company**</w:t>
            </w:r>
          </w:p>
        </w:tc>
        <w:tc>
          <w:tcPr/>
          <w:p>
            <w:pPr>
              <w:pStyle w:val="Compact"/>
              <w:jc w:val="center"/>
            </w:pPr>
            <w:r>
              <w:t xml:space="preserve">**Pre Score**</w:t>
            </w:r>
          </w:p>
        </w:tc>
        <w:tc>
          <w:tcPr/>
          <w:p>
            <w:pPr>
              <w:pStyle w:val="Compact"/>
              <w:jc w:val="center"/>
            </w:pPr>
            <w:r>
              <w:t xml:space="preserve">**Post Score**</w:t>
            </w:r>
          </w:p>
        </w:tc>
        <w:tc>
          <w:tcPr/>
          <w:p>
            <w:pPr>
              <w:pStyle w:val="Compact"/>
              <w:jc w:val="center"/>
            </w:pPr>
            <w:r>
              <w:t xml:space="preserve">**Post Tone**</w:t>
            </w:r>
          </w:p>
        </w:tc>
        <w:tc>
          <w:tcPr/>
          <w:p>
            <w:pPr>
              <w:pStyle w:val="Compact"/>
              <w:jc w:val="center"/>
            </w:pPr>
            <w:r>
              <w:t xml:space="preserve">**Post Invest. Commitment**</w:t>
            </w:r>
          </w:p>
        </w:tc>
      </w:tr>
      <w:tr>
        <w:tc>
          <w:tcPr/>
          <w:p>
            <w:pPr>
              <w:pStyle w:val="Compact"/>
              <w:jc w:val="center"/>
            </w:pPr>
            <w:r>
              <w:t xml:space="preserve">BAE Systems</w:t>
            </w:r>
          </w:p>
        </w:tc>
        <w:tc>
          <w:tcPr/>
          <w:p>
            <w:pPr>
              <w:pStyle w:val="Compact"/>
              <w:jc w:val="center"/>
            </w:pPr>
            <w:r>
              <w:t xml:space="preserve">5.75</w:t>
            </w:r>
          </w:p>
        </w:tc>
        <w:tc>
          <w:tcPr/>
          <w:p>
            <w:pPr>
              <w:pStyle w:val="Compact"/>
              <w:jc w:val="center"/>
            </w:pPr>
            <w:r>
              <w:t xml:space="preserve">8.25</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Dassault Aviation</w:t>
            </w:r>
          </w:p>
        </w:tc>
        <w:tc>
          <w:tcPr/>
          <w:p>
            <w:pPr>
              <w:pStyle w:val="Compact"/>
              <w:jc w:val="center"/>
            </w:pPr>
            <w:r>
              <w:t xml:space="preserve">6.00</w:t>
            </w:r>
          </w:p>
        </w:tc>
        <w:tc>
          <w:tcPr/>
          <w:p>
            <w:pPr>
              <w:pStyle w:val="Compact"/>
              <w:jc w:val="center"/>
            </w:pPr>
            <w:r>
              <w:t xml:space="preserve">7.75</w:t>
            </w:r>
          </w:p>
        </w:tc>
        <w:tc>
          <w:tcPr/>
          <w:p>
            <w:pPr>
              <w:pStyle w:val="Compact"/>
              <w:jc w:val="center"/>
            </w:pPr>
            <w:r>
              <w:t xml:space="preserve">Transformational / Optimistic</w:t>
            </w:r>
          </w:p>
        </w:tc>
        <w:tc>
          <w:tcPr/>
          <w:p>
            <w:pPr>
              <w:pStyle w:val="Compact"/>
              <w:jc w:val="center"/>
            </w:pPr>
            <w:r>
              <w:t xml:space="preserve">Very High / High</w:t>
            </w:r>
          </w:p>
        </w:tc>
      </w:tr>
      <w:tr>
        <w:tc>
          <w:tcPr/>
          <w:p>
            <w:pPr>
              <w:pStyle w:val="Compact"/>
              <w:jc w:val="center"/>
            </w:pPr>
            <w:r>
              <w:t xml:space="preserve">Saab</w:t>
            </w:r>
          </w:p>
        </w:tc>
        <w:tc>
          <w:tcPr/>
          <w:p>
            <w:pPr>
              <w:pStyle w:val="Compact"/>
              <w:jc w:val="center"/>
            </w:pPr>
            <w:r>
              <w:t xml:space="preserve">5.50</w:t>
            </w:r>
          </w:p>
        </w:tc>
        <w:tc>
          <w:tcPr/>
          <w:p>
            <w:pPr>
              <w:pStyle w:val="Compact"/>
              <w:jc w:val="center"/>
            </w:pPr>
            <w:r>
              <w:t xml:space="preserve">8.50</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Rheinmetall</w:t>
            </w:r>
          </w:p>
        </w:tc>
        <w:tc>
          <w:tcPr/>
          <w:p>
            <w:pPr>
              <w:pStyle w:val="Compact"/>
              <w:jc w:val="center"/>
            </w:pPr>
            <w:r>
              <w:t xml:space="preserve">4.75</w:t>
            </w:r>
          </w:p>
        </w:tc>
        <w:tc>
          <w:tcPr/>
          <w:p>
            <w:pPr>
              <w:pStyle w:val="Compact"/>
              <w:jc w:val="center"/>
            </w:pPr>
            <w:r>
              <w:t xml:space="preserve">8.50</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Leonardo</w:t>
            </w:r>
          </w:p>
        </w:tc>
        <w:tc>
          <w:tcPr/>
          <w:p>
            <w:pPr>
              <w:pStyle w:val="Compact"/>
              <w:jc w:val="center"/>
            </w:pPr>
            <w:r>
              <w:t xml:space="preserve">4.75</w:t>
            </w:r>
          </w:p>
        </w:tc>
        <w:tc>
          <w:tcPr/>
          <w:p>
            <w:pPr>
              <w:pStyle w:val="Compact"/>
              <w:jc w:val="center"/>
            </w:pPr>
            <w:r>
              <w:t xml:space="preserve">8.00</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Rolls- Royce Holdings</w:t>
            </w:r>
          </w:p>
        </w:tc>
        <w:tc>
          <w:tcPr/>
          <w:p>
            <w:pPr>
              <w:pStyle w:val="Compact"/>
              <w:jc w:val="center"/>
            </w:pPr>
            <w:r>
              <w:t xml:space="preserve">5.00</w:t>
            </w:r>
          </w:p>
        </w:tc>
        <w:tc>
          <w:tcPr/>
          <w:p>
            <w:pPr>
              <w:pStyle w:val="Compact"/>
              <w:jc w:val="center"/>
            </w:pPr>
            <w:r>
              <w:t xml:space="preserve">7.25</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Thales</w:t>
            </w:r>
          </w:p>
        </w:tc>
        <w:tc>
          <w:tcPr/>
          <w:p>
            <w:pPr>
              <w:pStyle w:val="Compact"/>
              <w:jc w:val="center"/>
            </w:pPr>
            <w:r>
              <w:t xml:space="preserve">4.00</w:t>
            </w:r>
          </w:p>
        </w:tc>
        <w:tc>
          <w:tcPr/>
          <w:p>
            <w:pPr>
              <w:pStyle w:val="Compact"/>
              <w:jc w:val="center"/>
            </w:pPr>
            <w:r>
              <w:t xml:space="preserve">7.25</w:t>
            </w:r>
          </w:p>
        </w:tc>
        <w:tc>
          <w:tcPr/>
          <w:p>
            <w:pPr>
              <w:pStyle w:val="Compact"/>
              <w:jc w:val="center"/>
            </w:pPr>
            <w:r>
              <w:t xml:space="preserve">Transformational / Optimistic</w:t>
            </w:r>
          </w:p>
        </w:tc>
        <w:tc>
          <w:tcPr/>
          <w:p>
            <w:pPr>
              <w:pStyle w:val="Compact"/>
              <w:jc w:val="center"/>
            </w:pPr>
            <w:r>
              <w:t xml:space="preserve">Very High / High</w:t>
            </w:r>
          </w:p>
        </w:tc>
      </w:tr>
      <w:tr>
        <w:tc>
          <w:tcPr/>
          <w:p>
            <w:pPr>
              <w:pStyle w:val="Compact"/>
              <w:jc w:val="center"/>
            </w:pPr>
            <w:r>
              <w:t xml:space="preserve">Indra</w:t>
            </w:r>
          </w:p>
        </w:tc>
        <w:tc>
          <w:tcPr/>
          <w:p>
            <w:pPr>
              <w:pStyle w:val="Compact"/>
              <w:jc w:val="center"/>
            </w:pPr>
            <w:r>
              <w:t xml:space="preserve">3.50</w:t>
            </w:r>
          </w:p>
        </w:tc>
        <w:tc>
          <w:tcPr/>
          <w:p>
            <w:pPr>
              <w:pStyle w:val="Compact"/>
              <w:jc w:val="center"/>
            </w:pPr>
            <w:r>
              <w:t xml:space="preserve">6.75</w:t>
            </w:r>
          </w:p>
        </w:tc>
        <w:tc>
          <w:tcPr/>
          <w:p>
            <w:pPr>
              <w:pStyle w:val="Compact"/>
              <w:jc w:val="center"/>
            </w:pPr>
            <w:r>
              <w:t xml:space="preserve">Optimistic / Transformational</w:t>
            </w:r>
          </w:p>
        </w:tc>
        <w:tc>
          <w:tcPr/>
          <w:p>
            <w:pPr>
              <w:pStyle w:val="Compact"/>
              <w:jc w:val="center"/>
            </w:pPr>
            <w:r>
              <w:t xml:space="preserve">High</w:t>
            </w:r>
          </w:p>
        </w:tc>
      </w:tr>
      <w:tr>
        <w:tc>
          <w:tcPr/>
          <w:p>
            <w:pPr>
              <w:pStyle w:val="Compact"/>
              <w:jc w:val="center"/>
            </w:pPr>
            <w:r>
              <w:t xml:space="preserve">Safran</w:t>
            </w:r>
          </w:p>
        </w:tc>
        <w:tc>
          <w:tcPr/>
          <w:p>
            <w:pPr>
              <w:pStyle w:val="Compact"/>
              <w:jc w:val="center"/>
            </w:pPr>
            <w:r>
              <w:t xml:space="preserve">4.50</w:t>
            </w:r>
          </w:p>
        </w:tc>
        <w:tc>
          <w:tcPr/>
          <w:p>
            <w:pPr>
              <w:pStyle w:val="Compact"/>
              <w:jc w:val="center"/>
            </w:pPr>
            <w:r>
              <w:t xml:space="preserve">4.00</w:t>
            </w:r>
          </w:p>
        </w:tc>
        <w:tc>
          <w:tcPr/>
          <w:p>
            <w:pPr>
              <w:pStyle w:val="Compact"/>
              <w:jc w:val="center"/>
            </w:pPr>
            <w:r>
              <w:t xml:space="preserve">Optimistic / Business-as-usual</w:t>
            </w:r>
          </w:p>
        </w:tc>
        <w:tc>
          <w:tcPr/>
          <w:p>
            <w:pPr>
              <w:pStyle w:val="Compact"/>
              <w:jc w:val="center"/>
            </w:pPr>
            <w:r>
              <w:t xml:space="preserve">Medium</w:t>
            </w:r>
          </w:p>
        </w:tc>
      </w:tr>
      <w:tr>
        <w:tc>
          <w:tcPr/>
          <w:p>
            <w:pPr>
              <w:pStyle w:val="Compact"/>
              <w:jc w:val="center"/>
            </w:pPr>
            <w:r>
              <w:t xml:space="preserve">Airbus</w:t>
            </w:r>
          </w:p>
        </w:tc>
        <w:tc>
          <w:tcPr/>
          <w:p>
            <w:pPr>
              <w:pStyle w:val="Compact"/>
              <w:jc w:val="center"/>
            </w:pPr>
            <w:r>
              <w:t xml:space="preserve">3.25</w:t>
            </w:r>
          </w:p>
        </w:tc>
        <w:tc>
          <w:tcPr/>
          <w:p>
            <w:pPr>
              <w:pStyle w:val="Compact"/>
              <w:jc w:val="center"/>
            </w:pPr>
            <w:r>
              <w:t xml:space="preserve">4.50</w:t>
            </w:r>
          </w:p>
        </w:tc>
        <w:tc>
          <w:tcPr/>
          <w:p>
            <w:pPr>
              <w:pStyle w:val="Compact"/>
              <w:jc w:val="center"/>
            </w:pPr>
            <w:r>
              <w:t xml:space="preserve">Business-as-usual / Optimistic</w:t>
            </w:r>
          </w:p>
        </w:tc>
        <w:tc>
          <w:tcPr/>
          <w:p>
            <w:pPr>
              <w:pStyle w:val="Compact"/>
              <w:jc w:val="center"/>
            </w:pPr>
            <w:r>
              <w:t xml:space="preserve">Medium</w:t>
            </w:r>
          </w:p>
        </w:tc>
      </w:tr>
    </w:tbl>
    <w:p>
      <w:pPr>
        <w:pStyle w:val="BodyText"/>
      </w:pPr>
      <w:r>
        <w:t xml:space="preserve">Company-level Scores Yearly</w:t>
      </w:r>
    </w:p>
    <w:tbl>
      <w:tblPr>
        <w:tblStyle w:val="Table"/>
        <w:tblW w:type="pct" w:w="5000"/>
        <w:tblLook w:firstRow="0" w:lastRow="0" w:firstColumn="0" w:lastColumn="0" w:noHBand="0" w:noVBand="0" w:val="0000"/>
        <w:jc w:val="start"/>
      </w:tblPr>
      <w:tblGrid>
        <w:gridCol w:w="1320"/>
        <w:gridCol w:w="1320"/>
        <w:gridCol w:w="1320"/>
        <w:gridCol w:w="1320"/>
        <w:gridCol w:w="1320"/>
        <w:gridCol w:w="1320"/>
      </w:tblGrid>
      <w:tr>
        <w:tc>
          <w:tcPr/>
          <w:p>
            <w:pPr>
              <w:pStyle w:val="Compact"/>
              <w:jc w:val="center"/>
            </w:pPr>
            <w:r>
              <w:t xml:space="preserve">**Company**</w:t>
            </w:r>
          </w:p>
        </w:tc>
        <w:tc>
          <w:tcPr/>
          <w:p>
            <w:pPr>
              <w:pStyle w:val="Compact"/>
              <w:jc w:val="center"/>
            </w:pPr>
            <w:r>
              <w:t xml:space="preserve">**Year**</w:t>
            </w:r>
          </w:p>
        </w:tc>
        <w:tc>
          <w:tcPr/>
          <w:p>
            <w:pPr>
              <w:pStyle w:val="Compact"/>
              <w:jc w:val="center"/>
            </w:pPr>
            <w:r>
              <w:t xml:space="preserve">**Period**</w:t>
            </w:r>
          </w:p>
        </w:tc>
        <w:tc>
          <w:tcPr/>
          <w:p>
            <w:pPr>
              <w:pStyle w:val="Compact"/>
              <w:jc w:val="center"/>
            </w:pPr>
            <w:r>
              <w:t xml:space="preserve">**Structural vs Cyclical Score (0-10)**</w:t>
            </w:r>
          </w:p>
        </w:tc>
        <w:tc>
          <w:tcPr/>
          <w:p>
            <w:pPr>
              <w:pStyle w:val="Compact"/>
              <w:jc w:val="center"/>
            </w:pPr>
            <w:r>
              <w:t xml:space="preserve">**Narrative Tone**</w:t>
            </w:r>
          </w:p>
        </w:tc>
        <w:tc>
          <w:tcPr/>
          <w:p>
            <w:pPr>
              <w:pStyle w:val="Compact"/>
              <w:jc w:val="center"/>
            </w:pPr>
            <w:r>
              <w:t xml:space="preserve">**Investment Commitment**</w:t>
            </w:r>
          </w:p>
        </w:tc>
      </w:tr>
      <w:tr>
        <w:tc>
          <w:tcPr/>
          <w:p>
            <w:pPr>
              <w:pStyle w:val="Compact"/>
              <w:jc w:val="center"/>
            </w:pPr>
            <w:r>
              <w:t xml:space="preserve">Airbus</w:t>
            </w:r>
          </w:p>
        </w:tc>
        <w:tc>
          <w:tcPr/>
          <w:p>
            <w:pPr>
              <w:pStyle w:val="Compact"/>
              <w:jc w:val="center"/>
            </w:pPr>
            <w:r>
              <w:t xml:space="preserve">2018</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Airbus</w:t>
            </w:r>
          </w:p>
        </w:tc>
        <w:tc>
          <w:tcPr/>
          <w:p>
            <w:pPr>
              <w:pStyle w:val="Compact"/>
              <w:jc w:val="center"/>
            </w:pPr>
            <w:r>
              <w:t xml:space="preserve">2019</w:t>
            </w:r>
          </w:p>
        </w:tc>
        <w:tc>
          <w:tcPr/>
          <w:p>
            <w:pPr>
              <w:pStyle w:val="Compact"/>
              <w:jc w:val="center"/>
            </w:pPr>
            <w:r>
              <w:t xml:space="preserve">Pre-Invasion (2018–2021)</w:t>
            </w:r>
          </w:p>
        </w:tc>
        <w:tc>
          <w:tcPr/>
          <w:p>
            <w:pPr>
              <w:pStyle w:val="Compact"/>
              <w:jc w:val="center"/>
            </w:pPr>
            <w:r>
              <w:t xml:space="preserve">3</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Airbus</w:t>
            </w:r>
          </w:p>
        </w:tc>
        <w:tc>
          <w:tcPr/>
          <w:p>
            <w:pPr>
              <w:pStyle w:val="Compact"/>
              <w:jc w:val="center"/>
            </w:pPr>
            <w:r>
              <w:t xml:space="preserve">2020</w:t>
            </w:r>
          </w:p>
        </w:tc>
        <w:tc>
          <w:tcPr/>
          <w:p>
            <w:pPr>
              <w:pStyle w:val="Compact"/>
              <w:jc w:val="center"/>
            </w:pPr>
            <w:r>
              <w:t xml:space="preserve">Pre-Invasion (2018–2021)</w:t>
            </w:r>
          </w:p>
        </w:tc>
        <w:tc>
          <w:tcPr/>
          <w:p>
            <w:pPr>
              <w:pStyle w:val="Compact"/>
              <w:jc w:val="center"/>
            </w:pPr>
            <w:r>
              <w:t xml:space="preserve">2</w:t>
            </w:r>
          </w:p>
        </w:tc>
        <w:tc>
          <w:tcPr/>
          <w:p>
            <w:pPr>
              <w:pStyle w:val="Compact"/>
              <w:jc w:val="center"/>
            </w:pPr>
            <w:r>
              <w:t xml:space="preserve">Cautious</w:t>
            </w:r>
          </w:p>
        </w:tc>
        <w:tc>
          <w:tcPr/>
          <w:p>
            <w:pPr>
              <w:pStyle w:val="Compact"/>
              <w:jc w:val="center"/>
            </w:pPr>
            <w:r>
              <w:t xml:space="preserve">Low</w:t>
            </w:r>
          </w:p>
        </w:tc>
      </w:tr>
      <w:tr>
        <w:tc>
          <w:tcPr/>
          <w:p>
            <w:pPr>
              <w:pStyle w:val="Compact"/>
              <w:jc w:val="center"/>
            </w:pPr>
            <w:r>
              <w:t xml:space="preserve">Airbus</w:t>
            </w:r>
          </w:p>
        </w:tc>
        <w:tc>
          <w:tcPr/>
          <w:p>
            <w:pPr>
              <w:pStyle w:val="Compact"/>
              <w:jc w:val="center"/>
            </w:pPr>
            <w:r>
              <w:t xml:space="preserve">2021</w:t>
            </w:r>
          </w:p>
        </w:tc>
        <w:tc>
          <w:tcPr/>
          <w:p>
            <w:pPr>
              <w:pStyle w:val="Compact"/>
              <w:jc w:val="center"/>
            </w:pPr>
            <w:r>
              <w:t xml:space="preserve">Pre-Invasion (2018–2021)</w:t>
            </w:r>
          </w:p>
        </w:tc>
        <w:tc>
          <w:tcPr/>
          <w:p>
            <w:pPr>
              <w:pStyle w:val="Compact"/>
              <w:jc w:val="center"/>
            </w:pPr>
            <w:r>
              <w:t xml:space="preserve">3</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Airbus</w:t>
            </w:r>
          </w:p>
        </w:tc>
        <w:tc>
          <w:tcPr/>
          <w:p>
            <w:pPr>
              <w:pStyle w:val="Compact"/>
              <w:jc w:val="center"/>
            </w:pPr>
            <w:r>
              <w:t xml:space="preserve">2022</w:t>
            </w:r>
          </w:p>
        </w:tc>
        <w:tc>
          <w:tcPr/>
          <w:p>
            <w:pPr>
              <w:pStyle w:val="Compact"/>
              <w:jc w:val="center"/>
            </w:pPr>
            <w:r>
              <w:t xml:space="preserve">Post-Invasion (2022–2025)</w:t>
            </w:r>
          </w:p>
        </w:tc>
        <w:tc>
          <w:tcPr/>
          <w:p>
            <w:pPr>
              <w:pStyle w:val="Compact"/>
              <w:jc w:val="center"/>
            </w:pPr>
            <w:r>
              <w:t xml:space="preserve">3</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Airbus</w:t>
            </w:r>
          </w:p>
        </w:tc>
        <w:tc>
          <w:tcPr/>
          <w:p>
            <w:pPr>
              <w:pStyle w:val="Compact"/>
              <w:jc w:val="center"/>
            </w:pPr>
            <w:r>
              <w:t xml:space="preserve">2023</w:t>
            </w:r>
          </w:p>
        </w:tc>
        <w:tc>
          <w:tcPr/>
          <w:p>
            <w:pPr>
              <w:pStyle w:val="Compact"/>
              <w:jc w:val="center"/>
            </w:pPr>
            <w:r>
              <w:t xml:space="preserve">Post-Invasion (2022–2025)</w:t>
            </w:r>
          </w:p>
        </w:tc>
        <w:tc>
          <w:tcPr/>
          <w:p>
            <w:pPr>
              <w:pStyle w:val="Compact"/>
              <w:jc w:val="center"/>
            </w:pPr>
            <w:r>
              <w:t xml:space="preserve">4</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Airbus</w:t>
            </w:r>
          </w:p>
        </w:tc>
        <w:tc>
          <w:tcPr/>
          <w:p>
            <w:pPr>
              <w:pStyle w:val="Compact"/>
              <w:jc w:val="center"/>
            </w:pPr>
            <w:r>
              <w:t xml:space="preserve">2024</w:t>
            </w:r>
          </w:p>
        </w:tc>
        <w:tc>
          <w:tcPr/>
          <w:p>
            <w:pPr>
              <w:pStyle w:val="Compact"/>
              <w:jc w:val="center"/>
            </w:pPr>
            <w:r>
              <w:t xml:space="preserve">Post-Invasion (2022–2025)</w:t>
            </w:r>
          </w:p>
        </w:tc>
        <w:tc>
          <w:tcPr/>
          <w:p>
            <w:pPr>
              <w:pStyle w:val="Compact"/>
              <w:jc w:val="center"/>
            </w:pPr>
            <w:r>
              <w:t xml:space="preserve">4</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Airbus</w:t>
            </w:r>
          </w:p>
        </w:tc>
        <w:tc>
          <w:tcPr/>
          <w:p>
            <w:pPr>
              <w:pStyle w:val="Compact"/>
              <w:jc w:val="center"/>
            </w:pPr>
            <w:r>
              <w:t xml:space="preserve">2025</w:t>
            </w:r>
          </w:p>
        </w:tc>
        <w:tc>
          <w:tcPr/>
          <w:p>
            <w:pPr>
              <w:pStyle w:val="Compact"/>
              <w:jc w:val="center"/>
            </w:pPr>
            <w:r>
              <w:t xml:space="preserve">Post-Invasion (2022–2025)</w:t>
            </w:r>
          </w:p>
        </w:tc>
        <w:tc>
          <w:tcPr/>
          <w:p>
            <w:pPr>
              <w:pStyle w:val="Compact"/>
              <w:jc w:val="center"/>
            </w:pPr>
            <w:r>
              <w:t xml:space="preserve">7</w:t>
            </w:r>
          </w:p>
        </w:tc>
        <w:tc>
          <w:tcPr/>
          <w:p>
            <w:pPr>
              <w:pStyle w:val="Compact"/>
              <w:jc w:val="center"/>
            </w:pPr>
            <w:r>
              <w:t xml:space="preserve">Optimistic</w:t>
            </w:r>
          </w:p>
        </w:tc>
        <w:tc>
          <w:tcPr/>
          <w:p>
            <w:pPr>
              <w:pStyle w:val="Compact"/>
              <w:jc w:val="center"/>
            </w:pPr>
            <w:r>
              <w:t xml:space="preserve">High</w:t>
            </w:r>
          </w:p>
        </w:tc>
      </w:tr>
      <w:tr>
        <w:tc>
          <w:tcPr/>
          <w:p>
            <w:pPr>
              <w:pStyle w:val="Compact"/>
              <w:jc w:val="center"/>
            </w:pPr>
            <w:r>
              <w:t xml:space="preserve">BAE Systems</w:t>
            </w:r>
          </w:p>
        </w:tc>
        <w:tc>
          <w:tcPr/>
          <w:p>
            <w:pPr>
              <w:pStyle w:val="Compact"/>
              <w:jc w:val="center"/>
            </w:pPr>
            <w:r>
              <w:t xml:space="preserve">2018</w:t>
            </w:r>
          </w:p>
        </w:tc>
        <w:tc>
          <w:tcPr/>
          <w:p>
            <w:pPr>
              <w:pStyle w:val="Compact"/>
              <w:jc w:val="center"/>
            </w:pPr>
            <w:r>
              <w:t xml:space="preserve">Pre-Invasion (2018–2021)</w:t>
            </w:r>
          </w:p>
        </w:tc>
        <w:tc>
          <w:tcPr/>
          <w:p>
            <w:pPr>
              <w:pStyle w:val="Compact"/>
              <w:jc w:val="center"/>
            </w:pPr>
            <w:r>
              <w:t xml:space="preserve">6</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BAE Systems</w:t>
            </w:r>
          </w:p>
        </w:tc>
        <w:tc>
          <w:tcPr/>
          <w:p>
            <w:pPr>
              <w:pStyle w:val="Compact"/>
              <w:jc w:val="center"/>
            </w:pPr>
            <w:r>
              <w:t xml:space="preserve">2019</w:t>
            </w:r>
          </w:p>
        </w:tc>
        <w:tc>
          <w:tcPr/>
          <w:p>
            <w:pPr>
              <w:pStyle w:val="Compact"/>
              <w:jc w:val="center"/>
            </w:pPr>
            <w:r>
              <w:t xml:space="preserve">Pre-Invasion (2018–2021)</w:t>
            </w:r>
          </w:p>
        </w:tc>
        <w:tc>
          <w:tcPr/>
          <w:p>
            <w:pPr>
              <w:pStyle w:val="Compact"/>
              <w:jc w:val="center"/>
            </w:pPr>
            <w:r>
              <w:t xml:space="preserve">6</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BAE Systems</w:t>
            </w:r>
          </w:p>
        </w:tc>
        <w:tc>
          <w:tcPr/>
          <w:p>
            <w:pPr>
              <w:pStyle w:val="Compact"/>
              <w:jc w:val="center"/>
            </w:pPr>
            <w:r>
              <w:t xml:space="preserve">2020</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BAE Systems</w:t>
            </w:r>
          </w:p>
        </w:tc>
        <w:tc>
          <w:tcPr/>
          <w:p>
            <w:pPr>
              <w:pStyle w:val="Compact"/>
              <w:jc w:val="center"/>
            </w:pPr>
            <w:r>
              <w:t xml:space="preserve">2021</w:t>
            </w:r>
          </w:p>
        </w:tc>
        <w:tc>
          <w:tcPr/>
          <w:p>
            <w:pPr>
              <w:pStyle w:val="Compact"/>
              <w:jc w:val="center"/>
            </w:pPr>
            <w:r>
              <w:t xml:space="preserve">Pre-Invasion (2018–2021)</w:t>
            </w:r>
          </w:p>
        </w:tc>
        <w:tc>
          <w:tcPr/>
          <w:p>
            <w:pPr>
              <w:pStyle w:val="Compact"/>
              <w:jc w:val="center"/>
            </w:pPr>
            <w:r>
              <w:t xml:space="preserve">6</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BAE Systems</w:t>
            </w:r>
          </w:p>
        </w:tc>
        <w:tc>
          <w:tcPr/>
          <w:p>
            <w:pPr>
              <w:pStyle w:val="Compact"/>
              <w:jc w:val="center"/>
            </w:pPr>
            <w:r>
              <w:t xml:space="preserve">2022</w:t>
            </w:r>
          </w:p>
        </w:tc>
        <w:tc>
          <w:tcPr/>
          <w:p>
            <w:pPr>
              <w:pStyle w:val="Compact"/>
              <w:jc w:val="center"/>
            </w:pPr>
            <w:r>
              <w:t xml:space="preserve">Post-Invasion (2022–2025)</w:t>
            </w:r>
          </w:p>
        </w:tc>
        <w:tc>
          <w:tcPr/>
          <w:p>
            <w:pPr>
              <w:pStyle w:val="Compact"/>
              <w:jc w:val="center"/>
            </w:pPr>
            <w:r>
              <w:t xml:space="preserve">7</w:t>
            </w:r>
          </w:p>
        </w:tc>
        <w:tc>
          <w:tcPr/>
          <w:p>
            <w:pPr>
              <w:pStyle w:val="Compact"/>
              <w:jc w:val="center"/>
            </w:pPr>
            <w:r>
              <w:t xml:space="preserve">Optimistic</w:t>
            </w:r>
          </w:p>
        </w:tc>
        <w:tc>
          <w:tcPr/>
          <w:p>
            <w:pPr>
              <w:pStyle w:val="Compact"/>
              <w:jc w:val="center"/>
            </w:pPr>
            <w:r>
              <w:t xml:space="preserve">High</w:t>
            </w:r>
          </w:p>
        </w:tc>
      </w:tr>
      <w:tr>
        <w:tc>
          <w:tcPr/>
          <w:p>
            <w:pPr>
              <w:pStyle w:val="Compact"/>
              <w:jc w:val="center"/>
            </w:pPr>
            <w:r>
              <w:t xml:space="preserve">BAE Systems</w:t>
            </w:r>
          </w:p>
        </w:tc>
        <w:tc>
          <w:tcPr/>
          <w:p>
            <w:pPr>
              <w:pStyle w:val="Compact"/>
              <w:jc w:val="center"/>
            </w:pPr>
            <w:r>
              <w:t xml:space="preserve">2023</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BAE Systems</w:t>
            </w:r>
          </w:p>
        </w:tc>
        <w:tc>
          <w:tcPr/>
          <w:p>
            <w:pPr>
              <w:pStyle w:val="Compact"/>
              <w:jc w:val="center"/>
            </w:pPr>
            <w:r>
              <w:t xml:space="preserve">2024</w:t>
            </w:r>
          </w:p>
        </w:tc>
        <w:tc>
          <w:tcPr/>
          <w:p>
            <w:pPr>
              <w:pStyle w:val="Compact"/>
              <w:jc w:val="center"/>
            </w:pPr>
            <w:r>
              <w:t xml:space="preserve">Post-Invasion (2022–2025)</w:t>
            </w:r>
          </w:p>
        </w:tc>
        <w:tc>
          <w:tcPr/>
          <w:p>
            <w:pPr>
              <w:pStyle w:val="Compact"/>
              <w:jc w:val="center"/>
            </w:pPr>
            <w:r>
              <w:t xml:space="preserve">9</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BAE Systems</w:t>
            </w:r>
          </w:p>
        </w:tc>
        <w:tc>
          <w:tcPr/>
          <w:p>
            <w:pPr>
              <w:pStyle w:val="Compact"/>
              <w:jc w:val="center"/>
            </w:pPr>
            <w:r>
              <w:t xml:space="preserve">2025</w:t>
            </w:r>
          </w:p>
        </w:tc>
        <w:tc>
          <w:tcPr/>
          <w:p>
            <w:pPr>
              <w:pStyle w:val="Compact"/>
              <w:jc w:val="center"/>
            </w:pPr>
            <w:r>
              <w:t xml:space="preserve">Post-Invasion (2022–2025)</w:t>
            </w:r>
          </w:p>
        </w:tc>
        <w:tc>
          <w:tcPr/>
          <w:p>
            <w:pPr>
              <w:pStyle w:val="Compact"/>
              <w:jc w:val="center"/>
            </w:pPr>
            <w:r>
              <w:t xml:space="preserve">9</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Dassault Aviation</w:t>
            </w:r>
          </w:p>
        </w:tc>
        <w:tc>
          <w:tcPr/>
          <w:p>
            <w:pPr>
              <w:pStyle w:val="Compact"/>
              <w:jc w:val="center"/>
            </w:pPr>
            <w:r>
              <w:t xml:space="preserve">2018</w:t>
            </w:r>
          </w:p>
        </w:tc>
        <w:tc>
          <w:tcPr/>
          <w:p>
            <w:pPr>
              <w:pStyle w:val="Compact"/>
              <w:jc w:val="center"/>
            </w:pPr>
            <w:r>
              <w:t xml:space="preserve">Pre-Invasion (2018–2021)</w:t>
            </w:r>
          </w:p>
        </w:tc>
        <w:tc>
          <w:tcPr/>
          <w:p>
            <w:pPr>
              <w:pStyle w:val="Compact"/>
              <w:jc w:val="center"/>
            </w:pPr>
            <w:r>
              <w:t xml:space="preserve">6</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Dassault Aviation</w:t>
            </w:r>
          </w:p>
        </w:tc>
        <w:tc>
          <w:tcPr/>
          <w:p>
            <w:pPr>
              <w:pStyle w:val="Compact"/>
              <w:jc w:val="center"/>
            </w:pPr>
            <w:r>
              <w:t xml:space="preserve">2019</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Dassault Aviation</w:t>
            </w:r>
          </w:p>
        </w:tc>
        <w:tc>
          <w:tcPr/>
          <w:p>
            <w:pPr>
              <w:pStyle w:val="Compact"/>
              <w:jc w:val="center"/>
            </w:pPr>
            <w:r>
              <w:t xml:space="preserve">2020</w:t>
            </w:r>
          </w:p>
        </w:tc>
        <w:tc>
          <w:tcPr/>
          <w:p>
            <w:pPr>
              <w:pStyle w:val="Compact"/>
              <w:jc w:val="center"/>
            </w:pPr>
            <w:r>
              <w:t xml:space="preserve">Pre-Invasion (2018–2021)</w:t>
            </w:r>
          </w:p>
        </w:tc>
        <w:tc>
          <w:tcPr/>
          <w:p>
            <w:pPr>
              <w:pStyle w:val="Compact"/>
              <w:jc w:val="center"/>
            </w:pPr>
            <w:r>
              <w:t xml:space="preserve">6</w:t>
            </w:r>
          </w:p>
        </w:tc>
        <w:tc>
          <w:tcPr/>
          <w:p>
            <w:pPr>
              <w:pStyle w:val="Compact"/>
              <w:jc w:val="center"/>
            </w:pPr>
            <w:r>
              <w:t xml:space="preserve">Cautious</w:t>
            </w:r>
          </w:p>
        </w:tc>
        <w:tc>
          <w:tcPr/>
          <w:p>
            <w:pPr>
              <w:pStyle w:val="Compact"/>
              <w:jc w:val="center"/>
            </w:pPr>
            <w:r>
              <w:t xml:space="preserve">Medium</w:t>
            </w:r>
          </w:p>
        </w:tc>
      </w:tr>
      <w:tr>
        <w:tc>
          <w:tcPr/>
          <w:p>
            <w:pPr>
              <w:pStyle w:val="Compact"/>
              <w:jc w:val="center"/>
            </w:pPr>
            <w:r>
              <w:t xml:space="preserve">Dassault Aviation</w:t>
            </w:r>
          </w:p>
        </w:tc>
        <w:tc>
          <w:tcPr/>
          <w:p>
            <w:pPr>
              <w:pStyle w:val="Compact"/>
              <w:jc w:val="center"/>
            </w:pPr>
            <w:r>
              <w:t xml:space="preserve">2021</w:t>
            </w:r>
          </w:p>
        </w:tc>
        <w:tc>
          <w:tcPr/>
          <w:p>
            <w:pPr>
              <w:pStyle w:val="Compact"/>
              <w:jc w:val="center"/>
            </w:pPr>
            <w:r>
              <w:t xml:space="preserve">Pre-Invasion (2018–2021)</w:t>
            </w:r>
          </w:p>
        </w:tc>
        <w:tc>
          <w:tcPr/>
          <w:p>
            <w:pPr>
              <w:pStyle w:val="Compact"/>
              <w:jc w:val="center"/>
            </w:pPr>
            <w:r>
              <w:t xml:space="preserve">7</w:t>
            </w:r>
          </w:p>
        </w:tc>
        <w:tc>
          <w:tcPr/>
          <w:p>
            <w:pPr>
              <w:pStyle w:val="Compact"/>
              <w:jc w:val="center"/>
            </w:pPr>
            <w:r>
              <w:t xml:space="preserve">Transformational</w:t>
            </w:r>
          </w:p>
        </w:tc>
        <w:tc>
          <w:tcPr/>
          <w:p>
            <w:pPr>
              <w:pStyle w:val="Compact"/>
              <w:jc w:val="center"/>
            </w:pPr>
            <w:r>
              <w:t xml:space="preserve">High</w:t>
            </w:r>
          </w:p>
        </w:tc>
      </w:tr>
      <w:tr>
        <w:tc>
          <w:tcPr/>
          <w:p>
            <w:pPr>
              <w:pStyle w:val="Compact"/>
              <w:jc w:val="center"/>
            </w:pPr>
            <w:r>
              <w:t xml:space="preserve">Dassault Aviation</w:t>
            </w:r>
          </w:p>
        </w:tc>
        <w:tc>
          <w:tcPr/>
          <w:p>
            <w:pPr>
              <w:pStyle w:val="Compact"/>
              <w:jc w:val="center"/>
            </w:pPr>
            <w:r>
              <w:t xml:space="preserve">2022</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Optimistic</w:t>
            </w:r>
          </w:p>
        </w:tc>
        <w:tc>
          <w:tcPr/>
          <w:p>
            <w:pPr>
              <w:pStyle w:val="Compact"/>
              <w:jc w:val="center"/>
            </w:pPr>
            <w:r>
              <w:t xml:space="preserve">High</w:t>
            </w:r>
          </w:p>
        </w:tc>
      </w:tr>
      <w:tr>
        <w:tc>
          <w:tcPr/>
          <w:p>
            <w:pPr>
              <w:pStyle w:val="Compact"/>
              <w:jc w:val="center"/>
            </w:pPr>
            <w:r>
              <w:t xml:space="preserve">Dassault Aviation</w:t>
            </w:r>
          </w:p>
        </w:tc>
        <w:tc>
          <w:tcPr/>
          <w:p>
            <w:pPr>
              <w:pStyle w:val="Compact"/>
              <w:jc w:val="center"/>
            </w:pPr>
            <w:r>
              <w:t xml:space="preserve">2023</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Dassault Aviation</w:t>
            </w:r>
          </w:p>
        </w:tc>
        <w:tc>
          <w:tcPr/>
          <w:p>
            <w:pPr>
              <w:pStyle w:val="Compact"/>
              <w:jc w:val="center"/>
            </w:pPr>
            <w:r>
              <w:t xml:space="preserve">2024</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Dassault Aviation</w:t>
            </w:r>
          </w:p>
        </w:tc>
        <w:tc>
          <w:tcPr/>
          <w:p>
            <w:pPr>
              <w:pStyle w:val="Compact"/>
              <w:jc w:val="center"/>
            </w:pPr>
            <w:r>
              <w:t xml:space="preserve">2025</w:t>
            </w:r>
          </w:p>
        </w:tc>
        <w:tc>
          <w:tcPr/>
          <w:p>
            <w:pPr>
              <w:pStyle w:val="Compact"/>
              <w:jc w:val="center"/>
            </w:pPr>
            <w:r>
              <w:t xml:space="preserve">Post-Invasion (2022–2025)</w:t>
            </w:r>
          </w:p>
        </w:tc>
        <w:tc>
          <w:tcPr/>
          <w:p>
            <w:pPr>
              <w:pStyle w:val="Compact"/>
              <w:jc w:val="center"/>
            </w:pPr>
            <w:r>
              <w:t xml:space="preserve">7</w:t>
            </w:r>
          </w:p>
        </w:tc>
        <w:tc>
          <w:tcPr/>
          <w:p>
            <w:pPr>
              <w:pStyle w:val="Compact"/>
              <w:jc w:val="center"/>
            </w:pPr>
            <w:r>
              <w:t xml:space="preserve">Optimistic</w:t>
            </w:r>
          </w:p>
        </w:tc>
        <w:tc>
          <w:tcPr/>
          <w:p>
            <w:pPr>
              <w:pStyle w:val="Compact"/>
              <w:jc w:val="center"/>
            </w:pPr>
            <w:r>
              <w:t xml:space="preserve">High</w:t>
            </w:r>
          </w:p>
        </w:tc>
      </w:tr>
      <w:tr>
        <w:tc>
          <w:tcPr/>
          <w:p>
            <w:pPr>
              <w:pStyle w:val="Compact"/>
              <w:jc w:val="center"/>
            </w:pPr>
            <w:r>
              <w:t xml:space="preserve">Indra</w:t>
            </w:r>
          </w:p>
        </w:tc>
        <w:tc>
          <w:tcPr/>
          <w:p>
            <w:pPr>
              <w:pStyle w:val="Compact"/>
              <w:jc w:val="center"/>
            </w:pPr>
            <w:r>
              <w:t xml:space="preserve">2018</w:t>
            </w:r>
          </w:p>
        </w:tc>
        <w:tc>
          <w:tcPr/>
          <w:p>
            <w:pPr>
              <w:pStyle w:val="Compact"/>
              <w:jc w:val="center"/>
            </w:pPr>
            <w:r>
              <w:t xml:space="preserve">Pre-Invasion (2018–2021)</w:t>
            </w:r>
          </w:p>
        </w:tc>
        <w:tc>
          <w:tcPr/>
          <w:p>
            <w:pPr>
              <w:pStyle w:val="Compact"/>
              <w:jc w:val="center"/>
            </w:pPr>
            <w:r>
              <w:t xml:space="preserve">4</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Indra</w:t>
            </w:r>
          </w:p>
        </w:tc>
        <w:tc>
          <w:tcPr/>
          <w:p>
            <w:pPr>
              <w:pStyle w:val="Compact"/>
              <w:jc w:val="center"/>
            </w:pPr>
            <w:r>
              <w:t xml:space="preserve">2019</w:t>
            </w:r>
          </w:p>
        </w:tc>
        <w:tc>
          <w:tcPr/>
          <w:p>
            <w:pPr>
              <w:pStyle w:val="Compact"/>
              <w:jc w:val="center"/>
            </w:pPr>
            <w:r>
              <w:t xml:space="preserve">Pre-Invasion (2018–2021)</w:t>
            </w:r>
          </w:p>
        </w:tc>
        <w:tc>
          <w:tcPr/>
          <w:p>
            <w:pPr>
              <w:pStyle w:val="Compact"/>
              <w:jc w:val="center"/>
            </w:pPr>
            <w:r>
              <w:t xml:space="preserve">4</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Indra</w:t>
            </w:r>
          </w:p>
        </w:tc>
        <w:tc>
          <w:tcPr/>
          <w:p>
            <w:pPr>
              <w:pStyle w:val="Compact"/>
              <w:jc w:val="center"/>
            </w:pPr>
            <w:r>
              <w:t xml:space="preserve">2020</w:t>
            </w:r>
          </w:p>
        </w:tc>
        <w:tc>
          <w:tcPr/>
          <w:p>
            <w:pPr>
              <w:pStyle w:val="Compact"/>
              <w:jc w:val="center"/>
            </w:pPr>
            <w:r>
              <w:t xml:space="preserve">Pre-Invasion (2018–2021)</w:t>
            </w:r>
          </w:p>
        </w:tc>
        <w:tc>
          <w:tcPr/>
          <w:p>
            <w:pPr>
              <w:pStyle w:val="Compact"/>
              <w:jc w:val="center"/>
            </w:pPr>
            <w:r>
              <w:t xml:space="preserve">3</w:t>
            </w:r>
          </w:p>
        </w:tc>
        <w:tc>
          <w:tcPr/>
          <w:p>
            <w:pPr>
              <w:pStyle w:val="Compact"/>
              <w:jc w:val="center"/>
            </w:pPr>
            <w:r>
              <w:t xml:space="preserve">Cautious</w:t>
            </w:r>
          </w:p>
        </w:tc>
        <w:tc>
          <w:tcPr/>
          <w:p>
            <w:pPr>
              <w:pStyle w:val="Compact"/>
              <w:jc w:val="center"/>
            </w:pPr>
            <w:r>
              <w:t xml:space="preserve">Low</w:t>
            </w:r>
          </w:p>
        </w:tc>
      </w:tr>
      <w:tr>
        <w:tc>
          <w:tcPr/>
          <w:p>
            <w:pPr>
              <w:pStyle w:val="Compact"/>
              <w:jc w:val="center"/>
            </w:pPr>
            <w:r>
              <w:t xml:space="preserve">Indra</w:t>
            </w:r>
          </w:p>
        </w:tc>
        <w:tc>
          <w:tcPr/>
          <w:p>
            <w:pPr>
              <w:pStyle w:val="Compact"/>
              <w:jc w:val="center"/>
            </w:pPr>
            <w:r>
              <w:t xml:space="preserve">2021</w:t>
            </w:r>
          </w:p>
        </w:tc>
        <w:tc>
          <w:tcPr/>
          <w:p>
            <w:pPr>
              <w:pStyle w:val="Compact"/>
              <w:jc w:val="center"/>
            </w:pPr>
            <w:r>
              <w:t xml:space="preserve">Pre-Invasion (2018–2021)</w:t>
            </w:r>
          </w:p>
        </w:tc>
        <w:tc>
          <w:tcPr/>
          <w:p>
            <w:pPr>
              <w:pStyle w:val="Compact"/>
              <w:jc w:val="center"/>
            </w:pPr>
            <w:r>
              <w:t xml:space="preserve">3</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Indra</w:t>
            </w:r>
          </w:p>
        </w:tc>
        <w:tc>
          <w:tcPr/>
          <w:p>
            <w:pPr>
              <w:pStyle w:val="Compact"/>
              <w:jc w:val="center"/>
            </w:pPr>
            <w:r>
              <w:t xml:space="preserve">2022</w:t>
            </w:r>
          </w:p>
        </w:tc>
        <w:tc>
          <w:tcPr/>
          <w:p>
            <w:pPr>
              <w:pStyle w:val="Compact"/>
              <w:jc w:val="center"/>
            </w:pPr>
            <w:r>
              <w:t xml:space="preserve">Post-Invasion (2022–2025)</w:t>
            </w:r>
          </w:p>
        </w:tc>
        <w:tc>
          <w:tcPr/>
          <w:p>
            <w:pPr>
              <w:pStyle w:val="Compact"/>
              <w:jc w:val="center"/>
            </w:pPr>
            <w:r>
              <w:t xml:space="preserve">7</w:t>
            </w:r>
          </w:p>
        </w:tc>
        <w:tc>
          <w:tcPr/>
          <w:p>
            <w:pPr>
              <w:pStyle w:val="Compact"/>
              <w:jc w:val="center"/>
            </w:pPr>
            <w:r>
              <w:t xml:space="preserve">Optimistic</w:t>
            </w:r>
          </w:p>
        </w:tc>
        <w:tc>
          <w:tcPr/>
          <w:p>
            <w:pPr>
              <w:pStyle w:val="Compact"/>
              <w:jc w:val="center"/>
            </w:pPr>
            <w:r>
              <w:t xml:space="preserve">High</w:t>
            </w:r>
          </w:p>
        </w:tc>
      </w:tr>
      <w:tr>
        <w:tc>
          <w:tcPr/>
          <w:p>
            <w:pPr>
              <w:pStyle w:val="Compact"/>
              <w:jc w:val="center"/>
            </w:pPr>
            <w:r>
              <w:t xml:space="preserve">Indra</w:t>
            </w:r>
          </w:p>
        </w:tc>
        <w:tc>
          <w:tcPr/>
          <w:p>
            <w:pPr>
              <w:pStyle w:val="Compact"/>
              <w:jc w:val="center"/>
            </w:pPr>
            <w:r>
              <w:t xml:space="preserve">2023</w:t>
            </w:r>
          </w:p>
        </w:tc>
        <w:tc>
          <w:tcPr/>
          <w:p>
            <w:pPr>
              <w:pStyle w:val="Compact"/>
              <w:jc w:val="center"/>
            </w:pPr>
            <w:r>
              <w:t xml:space="preserve">Post-Invasion (2022–2025)</w:t>
            </w:r>
          </w:p>
        </w:tc>
        <w:tc>
          <w:tcPr/>
          <w:p>
            <w:pPr>
              <w:pStyle w:val="Compact"/>
              <w:jc w:val="center"/>
            </w:pPr>
            <w:r>
              <w:t xml:space="preserve">6</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Indra</w:t>
            </w:r>
          </w:p>
        </w:tc>
        <w:tc>
          <w:tcPr/>
          <w:p>
            <w:pPr>
              <w:pStyle w:val="Compact"/>
              <w:jc w:val="center"/>
            </w:pPr>
            <w:r>
              <w:t xml:space="preserve">2024</w:t>
            </w:r>
          </w:p>
        </w:tc>
        <w:tc>
          <w:tcPr/>
          <w:p>
            <w:pPr>
              <w:pStyle w:val="Compact"/>
              <w:jc w:val="center"/>
            </w:pPr>
            <w:r>
              <w:t xml:space="preserve">Post-Invasion (2022–2025)</w:t>
            </w:r>
          </w:p>
        </w:tc>
        <w:tc>
          <w:tcPr/>
          <w:p>
            <w:pPr>
              <w:pStyle w:val="Compact"/>
              <w:jc w:val="center"/>
            </w:pPr>
            <w:r>
              <w:t xml:space="preserve">7</w:t>
            </w:r>
          </w:p>
        </w:tc>
        <w:tc>
          <w:tcPr/>
          <w:p>
            <w:pPr>
              <w:pStyle w:val="Compact"/>
              <w:jc w:val="center"/>
            </w:pPr>
            <w:r>
              <w:t xml:space="preserve">Transformational</w:t>
            </w:r>
          </w:p>
        </w:tc>
        <w:tc>
          <w:tcPr/>
          <w:p>
            <w:pPr>
              <w:pStyle w:val="Compact"/>
              <w:jc w:val="center"/>
            </w:pPr>
            <w:r>
              <w:t xml:space="preserve">High</w:t>
            </w:r>
          </w:p>
        </w:tc>
      </w:tr>
      <w:tr>
        <w:tc>
          <w:tcPr/>
          <w:p>
            <w:pPr>
              <w:pStyle w:val="Compact"/>
              <w:jc w:val="center"/>
            </w:pPr>
            <w:r>
              <w:t xml:space="preserve">Leonardo</w:t>
            </w:r>
          </w:p>
        </w:tc>
        <w:tc>
          <w:tcPr/>
          <w:p>
            <w:pPr>
              <w:pStyle w:val="Compact"/>
              <w:jc w:val="center"/>
            </w:pPr>
            <w:r>
              <w:t xml:space="preserve">2018</w:t>
            </w:r>
          </w:p>
        </w:tc>
        <w:tc>
          <w:tcPr/>
          <w:p>
            <w:pPr>
              <w:pStyle w:val="Compact"/>
              <w:jc w:val="center"/>
            </w:pPr>
            <w:r>
              <w:t xml:space="preserve">Pre-Invasion (2018–2021)</w:t>
            </w:r>
          </w:p>
        </w:tc>
        <w:tc>
          <w:tcPr/>
          <w:p>
            <w:pPr>
              <w:pStyle w:val="Compact"/>
              <w:jc w:val="center"/>
            </w:pPr>
            <w:r>
              <w:t xml:space="preserve">4</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Leonardo</w:t>
            </w:r>
          </w:p>
        </w:tc>
        <w:tc>
          <w:tcPr/>
          <w:p>
            <w:pPr>
              <w:pStyle w:val="Compact"/>
              <w:jc w:val="center"/>
            </w:pPr>
            <w:r>
              <w:t xml:space="preserve">2019</w:t>
            </w:r>
          </w:p>
        </w:tc>
        <w:tc>
          <w:tcPr/>
          <w:p>
            <w:pPr>
              <w:pStyle w:val="Compact"/>
              <w:jc w:val="center"/>
            </w:pPr>
            <w:r>
              <w:t xml:space="preserve">Pre-Invasion (2018–2021)</w:t>
            </w:r>
          </w:p>
        </w:tc>
        <w:tc>
          <w:tcPr/>
          <w:p>
            <w:pPr>
              <w:pStyle w:val="Compact"/>
              <w:jc w:val="center"/>
            </w:pPr>
            <w:r>
              <w:t xml:space="preserve">4</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Leonardo</w:t>
            </w:r>
          </w:p>
        </w:tc>
        <w:tc>
          <w:tcPr/>
          <w:p>
            <w:pPr>
              <w:pStyle w:val="Compact"/>
              <w:jc w:val="center"/>
            </w:pPr>
            <w:r>
              <w:t xml:space="preserve">2020</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Leonardo</w:t>
            </w:r>
          </w:p>
        </w:tc>
        <w:tc>
          <w:tcPr/>
          <w:p>
            <w:pPr>
              <w:pStyle w:val="Compact"/>
              <w:jc w:val="center"/>
            </w:pPr>
            <w:r>
              <w:t xml:space="preserve">2021</w:t>
            </w:r>
          </w:p>
        </w:tc>
        <w:tc>
          <w:tcPr/>
          <w:p>
            <w:pPr>
              <w:pStyle w:val="Compact"/>
              <w:jc w:val="center"/>
            </w:pPr>
            <w:r>
              <w:t xml:space="preserve">Pre-Invasion (2018–2021)</w:t>
            </w:r>
          </w:p>
        </w:tc>
        <w:tc>
          <w:tcPr/>
          <w:p>
            <w:pPr>
              <w:pStyle w:val="Compact"/>
              <w:jc w:val="center"/>
            </w:pPr>
            <w:r>
              <w:t xml:space="preserve">6</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Leonardo</w:t>
            </w:r>
          </w:p>
        </w:tc>
        <w:tc>
          <w:tcPr/>
          <w:p>
            <w:pPr>
              <w:pStyle w:val="Compact"/>
              <w:jc w:val="center"/>
            </w:pPr>
            <w:r>
              <w:t xml:space="preserve">2022</w:t>
            </w:r>
          </w:p>
        </w:tc>
        <w:tc>
          <w:tcPr/>
          <w:p>
            <w:pPr>
              <w:pStyle w:val="Compact"/>
              <w:jc w:val="center"/>
            </w:pPr>
            <w:r>
              <w:t xml:space="preserve">Post-Invasion (2022–2025)</w:t>
            </w:r>
          </w:p>
        </w:tc>
        <w:tc>
          <w:tcPr/>
          <w:p>
            <w:pPr>
              <w:pStyle w:val="Compact"/>
              <w:jc w:val="center"/>
            </w:pPr>
            <w:r>
              <w:t xml:space="preserve">7</w:t>
            </w:r>
          </w:p>
        </w:tc>
        <w:tc>
          <w:tcPr/>
          <w:p>
            <w:pPr>
              <w:pStyle w:val="Compact"/>
              <w:jc w:val="center"/>
            </w:pPr>
            <w:r>
              <w:t xml:space="preserve">Transformational</w:t>
            </w:r>
          </w:p>
        </w:tc>
        <w:tc>
          <w:tcPr/>
          <w:p>
            <w:pPr>
              <w:pStyle w:val="Compact"/>
              <w:jc w:val="center"/>
            </w:pPr>
            <w:r>
              <w:t xml:space="preserve">High</w:t>
            </w:r>
          </w:p>
        </w:tc>
      </w:tr>
      <w:tr>
        <w:tc>
          <w:tcPr/>
          <w:p>
            <w:pPr>
              <w:pStyle w:val="Compact"/>
              <w:jc w:val="center"/>
            </w:pPr>
            <w:r>
              <w:t xml:space="preserve">Leonardo</w:t>
            </w:r>
          </w:p>
        </w:tc>
        <w:tc>
          <w:tcPr/>
          <w:p>
            <w:pPr>
              <w:pStyle w:val="Compact"/>
              <w:jc w:val="center"/>
            </w:pPr>
            <w:r>
              <w:t xml:space="preserve">2023</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Leonardo</w:t>
            </w:r>
          </w:p>
        </w:tc>
        <w:tc>
          <w:tcPr/>
          <w:p>
            <w:pPr>
              <w:pStyle w:val="Compact"/>
              <w:jc w:val="center"/>
            </w:pPr>
            <w:r>
              <w:t xml:space="preserve">2024</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Leonardo</w:t>
            </w:r>
          </w:p>
        </w:tc>
        <w:tc>
          <w:tcPr/>
          <w:p>
            <w:pPr>
              <w:pStyle w:val="Compact"/>
              <w:jc w:val="center"/>
            </w:pPr>
            <w:r>
              <w:t xml:space="preserve">2025</w:t>
            </w:r>
          </w:p>
        </w:tc>
        <w:tc>
          <w:tcPr/>
          <w:p>
            <w:pPr>
              <w:pStyle w:val="Compact"/>
              <w:jc w:val="center"/>
            </w:pPr>
            <w:r>
              <w:t xml:space="preserve">Post-Invasion (2022–2025)</w:t>
            </w:r>
          </w:p>
        </w:tc>
        <w:tc>
          <w:tcPr/>
          <w:p>
            <w:pPr>
              <w:pStyle w:val="Compact"/>
              <w:jc w:val="center"/>
            </w:pPr>
            <w:r>
              <w:t xml:space="preserve">9</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Rheinmetall</w:t>
            </w:r>
          </w:p>
        </w:tc>
        <w:tc>
          <w:tcPr/>
          <w:p>
            <w:pPr>
              <w:pStyle w:val="Compact"/>
              <w:jc w:val="center"/>
            </w:pPr>
            <w:r>
              <w:t xml:space="preserve">2018</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Rheinmetall</w:t>
            </w:r>
          </w:p>
        </w:tc>
        <w:tc>
          <w:tcPr/>
          <w:p>
            <w:pPr>
              <w:pStyle w:val="Compact"/>
              <w:jc w:val="center"/>
            </w:pPr>
            <w:r>
              <w:t xml:space="preserve">2019</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Rheinmetall</w:t>
            </w:r>
          </w:p>
        </w:tc>
        <w:tc>
          <w:tcPr/>
          <w:p>
            <w:pPr>
              <w:pStyle w:val="Compact"/>
              <w:jc w:val="center"/>
            </w:pPr>
            <w:r>
              <w:t xml:space="preserve">2020</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Rheinmetall</w:t>
            </w:r>
          </w:p>
        </w:tc>
        <w:tc>
          <w:tcPr/>
          <w:p>
            <w:pPr>
              <w:pStyle w:val="Compact"/>
              <w:jc w:val="center"/>
            </w:pPr>
            <w:r>
              <w:t xml:space="preserve">2021</w:t>
            </w:r>
          </w:p>
        </w:tc>
        <w:tc>
          <w:tcPr/>
          <w:p>
            <w:pPr>
              <w:pStyle w:val="Compact"/>
              <w:jc w:val="center"/>
            </w:pPr>
            <w:r>
              <w:t xml:space="preserve">Pre-Invasion (2018–2021)</w:t>
            </w:r>
          </w:p>
        </w:tc>
        <w:tc>
          <w:tcPr/>
          <w:p>
            <w:pPr>
              <w:pStyle w:val="Compact"/>
              <w:jc w:val="center"/>
            </w:pPr>
            <w:r>
              <w:t xml:space="preserve">4</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Rheinmetall</w:t>
            </w:r>
          </w:p>
        </w:tc>
        <w:tc>
          <w:tcPr/>
          <w:p>
            <w:pPr>
              <w:pStyle w:val="Compact"/>
              <w:jc w:val="center"/>
            </w:pPr>
            <w:r>
              <w:t xml:space="preserve">2022</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Rheinmetall</w:t>
            </w:r>
          </w:p>
        </w:tc>
        <w:tc>
          <w:tcPr/>
          <w:p>
            <w:pPr>
              <w:pStyle w:val="Compact"/>
              <w:jc w:val="center"/>
            </w:pPr>
            <w:r>
              <w:t xml:space="preserve">2023</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Rheinmetall</w:t>
            </w:r>
          </w:p>
        </w:tc>
        <w:tc>
          <w:tcPr/>
          <w:p>
            <w:pPr>
              <w:pStyle w:val="Compact"/>
              <w:jc w:val="center"/>
            </w:pPr>
            <w:r>
              <w:t xml:space="preserve">2024</w:t>
            </w:r>
          </w:p>
        </w:tc>
        <w:tc>
          <w:tcPr/>
          <w:p>
            <w:pPr>
              <w:pStyle w:val="Compact"/>
              <w:jc w:val="center"/>
            </w:pPr>
            <w:r>
              <w:t xml:space="preserve">Post-Invasion (2022–2025)</w:t>
            </w:r>
          </w:p>
        </w:tc>
        <w:tc>
          <w:tcPr/>
          <w:p>
            <w:pPr>
              <w:pStyle w:val="Compact"/>
              <w:jc w:val="center"/>
            </w:pPr>
            <w:r>
              <w:t xml:space="preserve">9</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Rheinmetall</w:t>
            </w:r>
          </w:p>
        </w:tc>
        <w:tc>
          <w:tcPr/>
          <w:p>
            <w:pPr>
              <w:pStyle w:val="Compact"/>
              <w:jc w:val="center"/>
            </w:pPr>
            <w:r>
              <w:t xml:space="preserve">2025</w:t>
            </w:r>
          </w:p>
        </w:tc>
        <w:tc>
          <w:tcPr/>
          <w:p>
            <w:pPr>
              <w:pStyle w:val="Compact"/>
              <w:jc w:val="center"/>
            </w:pPr>
            <w:r>
              <w:t xml:space="preserve">Post-Invasion (2022–2025)</w:t>
            </w:r>
          </w:p>
        </w:tc>
        <w:tc>
          <w:tcPr/>
          <w:p>
            <w:pPr>
              <w:pStyle w:val="Compact"/>
              <w:jc w:val="center"/>
            </w:pPr>
            <w:r>
              <w:t xml:space="preserve">9</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Rolls-RoyceRolls Royce Holdings</w:t>
            </w:r>
          </w:p>
        </w:tc>
        <w:tc>
          <w:tcPr/>
          <w:p>
            <w:pPr>
              <w:pStyle w:val="Compact"/>
              <w:jc w:val="center"/>
            </w:pPr>
            <w:r>
              <w:t xml:space="preserve">2018</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Rolls-RoyceRolls Royce Holdings</w:t>
            </w:r>
          </w:p>
        </w:tc>
        <w:tc>
          <w:tcPr/>
          <w:p>
            <w:pPr>
              <w:pStyle w:val="Compact"/>
              <w:jc w:val="center"/>
            </w:pPr>
            <w:r>
              <w:t xml:space="preserve">2019</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Rolls-RoyceRolls Royce Holdings</w:t>
            </w:r>
          </w:p>
        </w:tc>
        <w:tc>
          <w:tcPr/>
          <w:p>
            <w:pPr>
              <w:pStyle w:val="Compact"/>
              <w:jc w:val="center"/>
            </w:pPr>
            <w:r>
              <w:t xml:space="preserve">2020</w:t>
            </w:r>
          </w:p>
        </w:tc>
        <w:tc>
          <w:tcPr/>
          <w:p>
            <w:pPr>
              <w:pStyle w:val="Compact"/>
              <w:jc w:val="center"/>
            </w:pPr>
            <w:r>
              <w:t xml:space="preserve">Pre-Invasion (2018–2021)</w:t>
            </w:r>
          </w:p>
        </w:tc>
        <w:tc>
          <w:tcPr/>
          <w:p>
            <w:pPr>
              <w:pStyle w:val="Compact"/>
              <w:jc w:val="center"/>
            </w:pPr>
            <w:r>
              <w:t xml:space="preserve">6</w:t>
            </w:r>
          </w:p>
        </w:tc>
        <w:tc>
          <w:tcPr/>
          <w:p>
            <w:pPr>
              <w:pStyle w:val="Compact"/>
              <w:jc w:val="center"/>
            </w:pPr>
            <w:r>
              <w:t xml:space="preserve">Transformational</w:t>
            </w:r>
          </w:p>
        </w:tc>
        <w:tc>
          <w:tcPr/>
          <w:p>
            <w:pPr>
              <w:pStyle w:val="Compact"/>
              <w:jc w:val="center"/>
            </w:pPr>
            <w:r>
              <w:t xml:space="preserve">Low</w:t>
            </w:r>
          </w:p>
        </w:tc>
      </w:tr>
      <w:tr>
        <w:tc>
          <w:tcPr/>
          <w:p>
            <w:pPr>
              <w:pStyle w:val="Compact"/>
              <w:jc w:val="center"/>
            </w:pPr>
            <w:r>
              <w:t xml:space="preserve">Rolls-RoyceRolls Royce Holdings</w:t>
            </w:r>
          </w:p>
        </w:tc>
        <w:tc>
          <w:tcPr/>
          <w:p>
            <w:pPr>
              <w:pStyle w:val="Compact"/>
              <w:jc w:val="center"/>
            </w:pPr>
            <w:r>
              <w:t xml:space="preserve">2021</w:t>
            </w:r>
          </w:p>
        </w:tc>
        <w:tc>
          <w:tcPr/>
          <w:p>
            <w:pPr>
              <w:pStyle w:val="Compact"/>
              <w:jc w:val="center"/>
            </w:pPr>
            <w:r>
              <w:t xml:space="preserve">Pre-Invasion (2018–2021)</w:t>
            </w:r>
          </w:p>
        </w:tc>
        <w:tc>
          <w:tcPr/>
          <w:p>
            <w:pPr>
              <w:pStyle w:val="Compact"/>
              <w:jc w:val="center"/>
            </w:pPr>
            <w:r>
              <w:t xml:space="preserve">4</w:t>
            </w:r>
          </w:p>
        </w:tc>
        <w:tc>
          <w:tcPr/>
          <w:p>
            <w:pPr>
              <w:pStyle w:val="Compact"/>
              <w:jc w:val="center"/>
            </w:pPr>
            <w:r>
              <w:t xml:space="preserve">Urgent</w:t>
            </w:r>
          </w:p>
        </w:tc>
        <w:tc>
          <w:tcPr/>
          <w:p>
            <w:pPr>
              <w:pStyle w:val="Compact"/>
              <w:jc w:val="center"/>
            </w:pPr>
            <w:r>
              <w:t xml:space="preserve">Medium</w:t>
            </w:r>
          </w:p>
        </w:tc>
      </w:tr>
      <w:tr>
        <w:tc>
          <w:tcPr/>
          <w:p>
            <w:pPr>
              <w:pStyle w:val="Compact"/>
              <w:jc w:val="center"/>
            </w:pPr>
            <w:r>
              <w:t xml:space="preserve">Rolls-RoyceRolls Royce Holdings</w:t>
            </w:r>
          </w:p>
        </w:tc>
        <w:tc>
          <w:tcPr/>
          <w:p>
            <w:pPr>
              <w:pStyle w:val="Compact"/>
              <w:jc w:val="center"/>
            </w:pPr>
            <w:r>
              <w:t xml:space="preserve">2022</w:t>
            </w:r>
          </w:p>
        </w:tc>
        <w:tc>
          <w:tcPr/>
          <w:p>
            <w:pPr>
              <w:pStyle w:val="Compact"/>
              <w:jc w:val="center"/>
            </w:pPr>
            <w:r>
              <w:t xml:space="preserve">Post-Invasion (2022–2025)</w:t>
            </w:r>
          </w:p>
        </w:tc>
        <w:tc>
          <w:tcPr/>
          <w:p>
            <w:pPr>
              <w:pStyle w:val="Compact"/>
              <w:jc w:val="center"/>
            </w:pPr>
            <w:r>
              <w:t xml:space="preserve">4</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Rolls-RoyceRolls Royce Holdings</w:t>
            </w:r>
          </w:p>
        </w:tc>
        <w:tc>
          <w:tcPr/>
          <w:p>
            <w:pPr>
              <w:pStyle w:val="Compact"/>
              <w:jc w:val="center"/>
            </w:pPr>
            <w:r>
              <w:t xml:space="preserve">2023</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High</w:t>
            </w:r>
          </w:p>
        </w:tc>
      </w:tr>
      <w:tr>
        <w:tc>
          <w:tcPr/>
          <w:p>
            <w:pPr>
              <w:pStyle w:val="Compact"/>
              <w:jc w:val="center"/>
            </w:pPr>
            <w:r>
              <w:t xml:space="preserve">Rolls-RoyceRolls Royce Holdings</w:t>
            </w:r>
          </w:p>
        </w:tc>
        <w:tc>
          <w:tcPr/>
          <w:p>
            <w:pPr>
              <w:pStyle w:val="Compact"/>
              <w:jc w:val="center"/>
            </w:pPr>
            <w:r>
              <w:t xml:space="preserve">2024</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Rolls-RoyceRolls Royce Holdings</w:t>
            </w:r>
          </w:p>
        </w:tc>
        <w:tc>
          <w:tcPr/>
          <w:p>
            <w:pPr>
              <w:pStyle w:val="Compact"/>
              <w:jc w:val="center"/>
            </w:pPr>
            <w:r>
              <w:t xml:space="preserve">2025</w:t>
            </w:r>
          </w:p>
        </w:tc>
        <w:tc>
          <w:tcPr/>
          <w:p>
            <w:pPr>
              <w:pStyle w:val="Compact"/>
              <w:jc w:val="center"/>
            </w:pPr>
            <w:r>
              <w:t xml:space="preserve">Post-Invasion (2022–2025)</w:t>
            </w:r>
          </w:p>
        </w:tc>
        <w:tc>
          <w:tcPr/>
          <w:p>
            <w:pPr>
              <w:pStyle w:val="Compact"/>
              <w:jc w:val="center"/>
            </w:pPr>
            <w:r>
              <w:t xml:space="preserve">9</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Saab</w:t>
            </w:r>
          </w:p>
        </w:tc>
        <w:tc>
          <w:tcPr/>
          <w:p>
            <w:pPr>
              <w:pStyle w:val="Compact"/>
              <w:jc w:val="center"/>
            </w:pPr>
            <w:r>
              <w:t xml:space="preserve">2018</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Saab</w:t>
            </w:r>
          </w:p>
        </w:tc>
        <w:tc>
          <w:tcPr/>
          <w:p>
            <w:pPr>
              <w:pStyle w:val="Compact"/>
              <w:jc w:val="center"/>
            </w:pPr>
            <w:r>
              <w:t xml:space="preserve">2019</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Saab</w:t>
            </w:r>
          </w:p>
        </w:tc>
        <w:tc>
          <w:tcPr/>
          <w:p>
            <w:pPr>
              <w:pStyle w:val="Compact"/>
              <w:jc w:val="center"/>
            </w:pPr>
            <w:r>
              <w:t xml:space="preserve">2020</w:t>
            </w:r>
          </w:p>
        </w:tc>
        <w:tc>
          <w:tcPr/>
          <w:p>
            <w:pPr>
              <w:pStyle w:val="Compact"/>
              <w:jc w:val="center"/>
            </w:pPr>
            <w:r>
              <w:t xml:space="preserve">Pre-Invasion (2018–2021)</w:t>
            </w:r>
          </w:p>
        </w:tc>
        <w:tc>
          <w:tcPr/>
          <w:p>
            <w:pPr>
              <w:pStyle w:val="Compact"/>
              <w:jc w:val="center"/>
            </w:pPr>
            <w:r>
              <w:t xml:space="preserve">6</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Saab</w:t>
            </w:r>
          </w:p>
        </w:tc>
        <w:tc>
          <w:tcPr/>
          <w:p>
            <w:pPr>
              <w:pStyle w:val="Compact"/>
              <w:jc w:val="center"/>
            </w:pPr>
            <w:r>
              <w:t xml:space="preserve">2021</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Saab</w:t>
            </w:r>
          </w:p>
        </w:tc>
        <w:tc>
          <w:tcPr/>
          <w:p>
            <w:pPr>
              <w:pStyle w:val="Compact"/>
              <w:jc w:val="center"/>
            </w:pPr>
            <w:r>
              <w:t xml:space="preserve">2022</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High</w:t>
            </w:r>
          </w:p>
        </w:tc>
      </w:tr>
      <w:tr>
        <w:tc>
          <w:tcPr/>
          <w:p>
            <w:pPr>
              <w:pStyle w:val="Compact"/>
              <w:jc w:val="center"/>
            </w:pPr>
            <w:r>
              <w:t xml:space="preserve">Saab</w:t>
            </w:r>
          </w:p>
        </w:tc>
        <w:tc>
          <w:tcPr/>
          <w:p>
            <w:pPr>
              <w:pStyle w:val="Compact"/>
              <w:jc w:val="center"/>
            </w:pPr>
            <w:r>
              <w:t xml:space="preserve">2023</w:t>
            </w:r>
          </w:p>
        </w:tc>
        <w:tc>
          <w:tcPr/>
          <w:p>
            <w:pPr>
              <w:pStyle w:val="Compact"/>
              <w:jc w:val="center"/>
            </w:pPr>
            <w:r>
              <w:t xml:space="preserve">Post-Invasion (2022–2025)</w:t>
            </w:r>
          </w:p>
        </w:tc>
        <w:tc>
          <w:tcPr/>
          <w:p>
            <w:pPr>
              <w:pStyle w:val="Compact"/>
              <w:jc w:val="center"/>
            </w:pPr>
            <w:r>
              <w:t xml:space="preserve">9</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Saab</w:t>
            </w:r>
          </w:p>
        </w:tc>
        <w:tc>
          <w:tcPr/>
          <w:p>
            <w:pPr>
              <w:pStyle w:val="Compact"/>
              <w:jc w:val="center"/>
            </w:pPr>
            <w:r>
              <w:t xml:space="preserve">2024</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Saab</w:t>
            </w:r>
          </w:p>
        </w:tc>
        <w:tc>
          <w:tcPr/>
          <w:p>
            <w:pPr>
              <w:pStyle w:val="Compact"/>
              <w:jc w:val="center"/>
            </w:pPr>
            <w:r>
              <w:t xml:space="preserve">2025</w:t>
            </w:r>
          </w:p>
        </w:tc>
        <w:tc>
          <w:tcPr/>
          <w:p>
            <w:pPr>
              <w:pStyle w:val="Compact"/>
              <w:jc w:val="center"/>
            </w:pPr>
            <w:r>
              <w:t xml:space="preserve">Post-Invasion (2022–2025)</w:t>
            </w:r>
          </w:p>
        </w:tc>
        <w:tc>
          <w:tcPr/>
          <w:p>
            <w:pPr>
              <w:pStyle w:val="Compact"/>
              <w:jc w:val="center"/>
            </w:pPr>
            <w:r>
              <w:t xml:space="preserve">9</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Safran</w:t>
            </w:r>
          </w:p>
        </w:tc>
        <w:tc>
          <w:tcPr/>
          <w:p>
            <w:pPr>
              <w:pStyle w:val="Compact"/>
              <w:jc w:val="center"/>
            </w:pPr>
            <w:r>
              <w:t xml:space="preserve">2018</w:t>
            </w:r>
          </w:p>
        </w:tc>
        <w:tc>
          <w:tcPr/>
          <w:p>
            <w:pPr>
              <w:pStyle w:val="Compact"/>
              <w:jc w:val="center"/>
            </w:pPr>
            <w:r>
              <w:t xml:space="preserve">Pre-Invasion (2018–2021)</w:t>
            </w:r>
          </w:p>
        </w:tc>
        <w:tc>
          <w:tcPr/>
          <w:p>
            <w:pPr>
              <w:pStyle w:val="Compact"/>
              <w:jc w:val="center"/>
            </w:pPr>
            <w:r>
              <w:t xml:space="preserve">7</w:t>
            </w:r>
          </w:p>
        </w:tc>
        <w:tc>
          <w:tcPr/>
          <w:p>
            <w:pPr>
              <w:pStyle w:val="Compact"/>
              <w:jc w:val="center"/>
            </w:pPr>
            <w:r>
              <w:t xml:space="preserve">Optimistic</w:t>
            </w:r>
          </w:p>
        </w:tc>
        <w:tc>
          <w:tcPr/>
          <w:p>
            <w:pPr>
              <w:pStyle w:val="Compact"/>
              <w:jc w:val="center"/>
            </w:pPr>
            <w:r>
              <w:t xml:space="preserve">High</w:t>
            </w:r>
          </w:p>
        </w:tc>
      </w:tr>
      <w:tr>
        <w:tc>
          <w:tcPr/>
          <w:p>
            <w:pPr>
              <w:pStyle w:val="Compact"/>
              <w:jc w:val="center"/>
            </w:pPr>
            <w:r>
              <w:t xml:space="preserve">Safran</w:t>
            </w:r>
          </w:p>
        </w:tc>
        <w:tc>
          <w:tcPr/>
          <w:p>
            <w:pPr>
              <w:pStyle w:val="Compact"/>
              <w:jc w:val="center"/>
            </w:pPr>
            <w:r>
              <w:t xml:space="preserve">2019</w:t>
            </w:r>
          </w:p>
        </w:tc>
        <w:tc>
          <w:tcPr/>
          <w:p>
            <w:pPr>
              <w:pStyle w:val="Compact"/>
              <w:jc w:val="center"/>
            </w:pPr>
            <w:r>
              <w:t xml:space="preserve">Pre-Invasion (2018–2021)</w:t>
            </w:r>
          </w:p>
        </w:tc>
        <w:tc>
          <w:tcPr/>
          <w:p>
            <w:pPr>
              <w:pStyle w:val="Compact"/>
              <w:jc w:val="center"/>
            </w:pPr>
            <w:r>
              <w:t xml:space="preserve">5</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Safran</w:t>
            </w:r>
          </w:p>
        </w:tc>
        <w:tc>
          <w:tcPr/>
          <w:p>
            <w:pPr>
              <w:pStyle w:val="Compact"/>
              <w:jc w:val="center"/>
            </w:pPr>
            <w:r>
              <w:t xml:space="preserve">2020</w:t>
            </w:r>
          </w:p>
        </w:tc>
        <w:tc>
          <w:tcPr/>
          <w:p>
            <w:pPr>
              <w:pStyle w:val="Compact"/>
              <w:jc w:val="center"/>
            </w:pPr>
            <w:r>
              <w:t xml:space="preserve">Pre-Invasion (2018–2021)</w:t>
            </w:r>
          </w:p>
        </w:tc>
        <w:tc>
          <w:tcPr/>
          <w:p>
            <w:pPr>
              <w:pStyle w:val="Compact"/>
              <w:jc w:val="center"/>
            </w:pPr>
            <w:r>
              <w:t xml:space="preserve">3</w:t>
            </w:r>
          </w:p>
        </w:tc>
        <w:tc>
          <w:tcPr/>
          <w:p>
            <w:pPr>
              <w:pStyle w:val="Compact"/>
              <w:jc w:val="center"/>
            </w:pPr>
            <w:r>
              <w:t xml:space="preserve">Cautious</w:t>
            </w:r>
          </w:p>
        </w:tc>
        <w:tc>
          <w:tcPr/>
          <w:p>
            <w:pPr>
              <w:pStyle w:val="Compact"/>
              <w:jc w:val="center"/>
            </w:pPr>
            <w:r>
              <w:t xml:space="preserve">Low</w:t>
            </w:r>
          </w:p>
        </w:tc>
      </w:tr>
      <w:tr>
        <w:tc>
          <w:tcPr/>
          <w:p>
            <w:pPr>
              <w:pStyle w:val="Compact"/>
              <w:jc w:val="center"/>
            </w:pPr>
            <w:r>
              <w:t xml:space="preserve">Safran</w:t>
            </w:r>
          </w:p>
        </w:tc>
        <w:tc>
          <w:tcPr/>
          <w:p>
            <w:pPr>
              <w:pStyle w:val="Compact"/>
              <w:jc w:val="center"/>
            </w:pPr>
            <w:r>
              <w:t xml:space="preserve">2021</w:t>
            </w:r>
          </w:p>
        </w:tc>
        <w:tc>
          <w:tcPr/>
          <w:p>
            <w:pPr>
              <w:pStyle w:val="Compact"/>
              <w:jc w:val="center"/>
            </w:pPr>
            <w:r>
              <w:t xml:space="preserve">Pre-Invasion (2018–2021)</w:t>
            </w:r>
          </w:p>
        </w:tc>
        <w:tc>
          <w:tcPr/>
          <w:p>
            <w:pPr>
              <w:pStyle w:val="Compact"/>
              <w:jc w:val="center"/>
            </w:pPr>
            <w:r>
              <w:t xml:space="preserve">3</w:t>
            </w:r>
          </w:p>
        </w:tc>
        <w:tc>
          <w:tcPr/>
          <w:p>
            <w:pPr>
              <w:pStyle w:val="Compact"/>
              <w:jc w:val="center"/>
            </w:pPr>
            <w:r>
              <w:t xml:space="preserve">Cautious</w:t>
            </w:r>
          </w:p>
        </w:tc>
        <w:tc>
          <w:tcPr/>
          <w:p>
            <w:pPr>
              <w:pStyle w:val="Compact"/>
              <w:jc w:val="center"/>
            </w:pPr>
            <w:r>
              <w:t xml:space="preserve">Medium</w:t>
            </w:r>
          </w:p>
        </w:tc>
      </w:tr>
      <w:tr>
        <w:tc>
          <w:tcPr/>
          <w:p>
            <w:pPr>
              <w:pStyle w:val="Compact"/>
              <w:jc w:val="center"/>
            </w:pPr>
            <w:r>
              <w:t xml:space="preserve">Safran</w:t>
            </w:r>
          </w:p>
        </w:tc>
        <w:tc>
          <w:tcPr/>
          <w:p>
            <w:pPr>
              <w:pStyle w:val="Compact"/>
              <w:jc w:val="center"/>
            </w:pPr>
            <w:r>
              <w:t xml:space="preserve">2022</w:t>
            </w:r>
          </w:p>
        </w:tc>
        <w:tc>
          <w:tcPr/>
          <w:p>
            <w:pPr>
              <w:pStyle w:val="Compact"/>
              <w:jc w:val="center"/>
            </w:pPr>
            <w:r>
              <w:t xml:space="preserve">Post-Invasion (2022–2025)</w:t>
            </w:r>
          </w:p>
        </w:tc>
        <w:tc>
          <w:tcPr/>
          <w:p>
            <w:pPr>
              <w:pStyle w:val="Compact"/>
              <w:jc w:val="center"/>
            </w:pPr>
            <w:r>
              <w:t xml:space="preserve">3</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Safran</w:t>
            </w:r>
          </w:p>
        </w:tc>
        <w:tc>
          <w:tcPr/>
          <w:p>
            <w:pPr>
              <w:pStyle w:val="Compact"/>
              <w:jc w:val="center"/>
            </w:pPr>
            <w:r>
              <w:t xml:space="preserve">2023</w:t>
            </w:r>
          </w:p>
        </w:tc>
        <w:tc>
          <w:tcPr/>
          <w:p>
            <w:pPr>
              <w:pStyle w:val="Compact"/>
              <w:jc w:val="center"/>
            </w:pPr>
            <w:r>
              <w:t xml:space="preserve">Post-Invasion (2022–2025)</w:t>
            </w:r>
          </w:p>
        </w:tc>
        <w:tc>
          <w:tcPr/>
          <w:p>
            <w:pPr>
              <w:pStyle w:val="Compact"/>
              <w:jc w:val="center"/>
            </w:pPr>
            <w:r>
              <w:t xml:space="preserve">3</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Safran</w:t>
            </w:r>
          </w:p>
        </w:tc>
        <w:tc>
          <w:tcPr/>
          <w:p>
            <w:pPr>
              <w:pStyle w:val="Compact"/>
              <w:jc w:val="center"/>
            </w:pPr>
            <w:r>
              <w:t xml:space="preserve">2024</w:t>
            </w:r>
          </w:p>
        </w:tc>
        <w:tc>
          <w:tcPr/>
          <w:p>
            <w:pPr>
              <w:pStyle w:val="Compact"/>
              <w:jc w:val="center"/>
            </w:pPr>
            <w:r>
              <w:t xml:space="preserve">Post-Invasion (2022–2025)</w:t>
            </w:r>
          </w:p>
        </w:tc>
        <w:tc>
          <w:tcPr/>
          <w:p>
            <w:pPr>
              <w:pStyle w:val="Compact"/>
              <w:jc w:val="center"/>
            </w:pPr>
            <w:r>
              <w:t xml:space="preserve">4</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Safran</w:t>
            </w:r>
          </w:p>
        </w:tc>
        <w:tc>
          <w:tcPr/>
          <w:p>
            <w:pPr>
              <w:pStyle w:val="Compact"/>
              <w:jc w:val="center"/>
            </w:pPr>
            <w:r>
              <w:t xml:space="preserve">2025</w:t>
            </w:r>
          </w:p>
        </w:tc>
        <w:tc>
          <w:tcPr/>
          <w:p>
            <w:pPr>
              <w:pStyle w:val="Compact"/>
              <w:jc w:val="center"/>
            </w:pPr>
            <w:r>
              <w:t xml:space="preserve">Post-Invasion (2022–2025)</w:t>
            </w:r>
          </w:p>
        </w:tc>
        <w:tc>
          <w:tcPr/>
          <w:p>
            <w:pPr>
              <w:pStyle w:val="Compact"/>
              <w:jc w:val="center"/>
            </w:pPr>
            <w:r>
              <w:t xml:space="preserve">6</w:t>
            </w:r>
          </w:p>
        </w:tc>
        <w:tc>
          <w:tcPr/>
          <w:p>
            <w:pPr>
              <w:pStyle w:val="Compact"/>
              <w:jc w:val="center"/>
            </w:pPr>
            <w:r>
              <w:t xml:space="preserve">Optimistic</w:t>
            </w:r>
          </w:p>
        </w:tc>
        <w:tc>
          <w:tcPr/>
          <w:p>
            <w:pPr>
              <w:pStyle w:val="Compact"/>
              <w:jc w:val="center"/>
            </w:pPr>
            <w:r>
              <w:t xml:space="preserve">High</w:t>
            </w:r>
          </w:p>
        </w:tc>
      </w:tr>
      <w:tr>
        <w:tc>
          <w:tcPr/>
          <w:p>
            <w:pPr>
              <w:pStyle w:val="Compact"/>
              <w:jc w:val="center"/>
            </w:pPr>
            <w:r>
              <w:t xml:space="preserve">Thales</w:t>
            </w:r>
          </w:p>
        </w:tc>
        <w:tc>
          <w:tcPr/>
          <w:p>
            <w:pPr>
              <w:pStyle w:val="Compact"/>
              <w:jc w:val="center"/>
            </w:pPr>
            <w:r>
              <w:t xml:space="preserve">2018</w:t>
            </w:r>
          </w:p>
        </w:tc>
        <w:tc>
          <w:tcPr/>
          <w:p>
            <w:pPr>
              <w:pStyle w:val="Compact"/>
              <w:jc w:val="center"/>
            </w:pPr>
            <w:r>
              <w:t xml:space="preserve">Pre-Invasion (2018–2021)</w:t>
            </w:r>
          </w:p>
        </w:tc>
        <w:tc>
          <w:tcPr/>
          <w:p>
            <w:pPr>
              <w:pStyle w:val="Compact"/>
              <w:jc w:val="center"/>
            </w:pPr>
            <w:r>
              <w:t xml:space="preserve">6</w:t>
            </w:r>
          </w:p>
        </w:tc>
        <w:tc>
          <w:tcPr/>
          <w:p>
            <w:pPr>
              <w:pStyle w:val="Compact"/>
              <w:jc w:val="center"/>
            </w:pPr>
            <w:r>
              <w:t xml:space="preserve">Optimistic</w:t>
            </w:r>
          </w:p>
        </w:tc>
        <w:tc>
          <w:tcPr/>
          <w:p>
            <w:pPr>
              <w:pStyle w:val="Compact"/>
              <w:jc w:val="center"/>
            </w:pPr>
            <w:r>
              <w:t xml:space="preserve">High</w:t>
            </w:r>
          </w:p>
        </w:tc>
      </w:tr>
      <w:tr>
        <w:tc>
          <w:tcPr/>
          <w:p>
            <w:pPr>
              <w:pStyle w:val="Compact"/>
              <w:jc w:val="center"/>
            </w:pPr>
            <w:r>
              <w:t xml:space="preserve">Thales</w:t>
            </w:r>
          </w:p>
        </w:tc>
        <w:tc>
          <w:tcPr/>
          <w:p>
            <w:pPr>
              <w:pStyle w:val="Compact"/>
              <w:jc w:val="center"/>
            </w:pPr>
            <w:r>
              <w:t xml:space="preserve">2019</w:t>
            </w:r>
          </w:p>
        </w:tc>
        <w:tc>
          <w:tcPr/>
          <w:p>
            <w:pPr>
              <w:pStyle w:val="Compact"/>
              <w:jc w:val="center"/>
            </w:pPr>
            <w:r>
              <w:t xml:space="preserve">Pre-Invasion (2018–2021)</w:t>
            </w:r>
          </w:p>
        </w:tc>
        <w:tc>
          <w:tcPr/>
          <w:p>
            <w:pPr>
              <w:pStyle w:val="Compact"/>
              <w:jc w:val="center"/>
            </w:pPr>
            <w:r>
              <w:t xml:space="preserve">4</w:t>
            </w:r>
          </w:p>
        </w:tc>
        <w:tc>
          <w:tcPr/>
          <w:p>
            <w:pPr>
              <w:pStyle w:val="Compact"/>
              <w:jc w:val="center"/>
            </w:pPr>
            <w:r>
              <w:t xml:space="preserve">Business-as-usual</w:t>
            </w:r>
          </w:p>
        </w:tc>
        <w:tc>
          <w:tcPr/>
          <w:p>
            <w:pPr>
              <w:pStyle w:val="Compact"/>
              <w:jc w:val="center"/>
            </w:pPr>
            <w:r>
              <w:t xml:space="preserve">Medium</w:t>
            </w:r>
          </w:p>
        </w:tc>
      </w:tr>
      <w:tr>
        <w:tc>
          <w:tcPr/>
          <w:p>
            <w:pPr>
              <w:pStyle w:val="Compact"/>
              <w:jc w:val="center"/>
            </w:pPr>
            <w:r>
              <w:t xml:space="preserve">Thales</w:t>
            </w:r>
          </w:p>
        </w:tc>
        <w:tc>
          <w:tcPr/>
          <w:p>
            <w:pPr>
              <w:pStyle w:val="Compact"/>
              <w:jc w:val="center"/>
            </w:pPr>
            <w:r>
              <w:t xml:space="preserve">2020</w:t>
            </w:r>
          </w:p>
        </w:tc>
        <w:tc>
          <w:tcPr/>
          <w:p>
            <w:pPr>
              <w:pStyle w:val="Compact"/>
              <w:jc w:val="center"/>
            </w:pPr>
            <w:r>
              <w:t xml:space="preserve">Pre-Invasion (2018–2021)</w:t>
            </w:r>
          </w:p>
        </w:tc>
        <w:tc>
          <w:tcPr/>
          <w:p>
            <w:pPr>
              <w:pStyle w:val="Compact"/>
              <w:jc w:val="center"/>
            </w:pPr>
            <w:r>
              <w:t xml:space="preserve">2</w:t>
            </w:r>
          </w:p>
        </w:tc>
        <w:tc>
          <w:tcPr/>
          <w:p>
            <w:pPr>
              <w:pStyle w:val="Compact"/>
              <w:jc w:val="center"/>
            </w:pPr>
            <w:r>
              <w:t xml:space="preserve">Cautious</w:t>
            </w:r>
          </w:p>
        </w:tc>
        <w:tc>
          <w:tcPr/>
          <w:p>
            <w:pPr>
              <w:pStyle w:val="Compact"/>
              <w:jc w:val="center"/>
            </w:pPr>
            <w:r>
              <w:t xml:space="preserve">Low</w:t>
            </w:r>
          </w:p>
        </w:tc>
      </w:tr>
      <w:tr>
        <w:tc>
          <w:tcPr/>
          <w:p>
            <w:pPr>
              <w:pStyle w:val="Compact"/>
              <w:jc w:val="center"/>
            </w:pPr>
            <w:r>
              <w:t xml:space="preserve">Thales</w:t>
            </w:r>
          </w:p>
        </w:tc>
        <w:tc>
          <w:tcPr/>
          <w:p>
            <w:pPr>
              <w:pStyle w:val="Compact"/>
              <w:jc w:val="center"/>
            </w:pPr>
            <w:r>
              <w:t xml:space="preserve">2021</w:t>
            </w:r>
          </w:p>
        </w:tc>
        <w:tc>
          <w:tcPr/>
          <w:p>
            <w:pPr>
              <w:pStyle w:val="Compact"/>
              <w:jc w:val="center"/>
            </w:pPr>
            <w:r>
              <w:t xml:space="preserve">Pre-Invasion (2018–2021)</w:t>
            </w:r>
          </w:p>
        </w:tc>
        <w:tc>
          <w:tcPr/>
          <w:p>
            <w:pPr>
              <w:pStyle w:val="Compact"/>
              <w:jc w:val="center"/>
            </w:pPr>
            <w:r>
              <w:t xml:space="preserve">4</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Thales</w:t>
            </w:r>
          </w:p>
        </w:tc>
        <w:tc>
          <w:tcPr/>
          <w:p>
            <w:pPr>
              <w:pStyle w:val="Compact"/>
              <w:jc w:val="center"/>
            </w:pPr>
            <w:r>
              <w:t xml:space="preserve">2022</w:t>
            </w:r>
          </w:p>
        </w:tc>
        <w:tc>
          <w:tcPr/>
          <w:p>
            <w:pPr>
              <w:pStyle w:val="Compact"/>
              <w:jc w:val="center"/>
            </w:pPr>
            <w:r>
              <w:t xml:space="preserve">Post-Invasion (2022–2025)</w:t>
            </w:r>
          </w:p>
        </w:tc>
        <w:tc>
          <w:tcPr/>
          <w:p>
            <w:pPr>
              <w:pStyle w:val="Compact"/>
              <w:jc w:val="center"/>
            </w:pPr>
            <w:r>
              <w:t xml:space="preserve">7</w:t>
            </w:r>
          </w:p>
        </w:tc>
        <w:tc>
          <w:tcPr/>
          <w:p>
            <w:pPr>
              <w:pStyle w:val="Compact"/>
              <w:jc w:val="center"/>
            </w:pPr>
            <w:r>
              <w:t xml:space="preserve">Optimistic</w:t>
            </w:r>
          </w:p>
        </w:tc>
        <w:tc>
          <w:tcPr/>
          <w:p>
            <w:pPr>
              <w:pStyle w:val="Compact"/>
              <w:jc w:val="center"/>
            </w:pPr>
            <w:r>
              <w:t xml:space="preserve">High</w:t>
            </w:r>
          </w:p>
        </w:tc>
      </w:tr>
      <w:tr>
        <w:tc>
          <w:tcPr/>
          <w:p>
            <w:pPr>
              <w:pStyle w:val="Compact"/>
              <w:jc w:val="center"/>
            </w:pPr>
            <w:r>
              <w:t xml:space="preserve">Thales</w:t>
            </w:r>
          </w:p>
        </w:tc>
        <w:tc>
          <w:tcPr/>
          <w:p>
            <w:pPr>
              <w:pStyle w:val="Compact"/>
              <w:jc w:val="center"/>
            </w:pPr>
            <w:r>
              <w:t xml:space="preserve">2023</w:t>
            </w:r>
          </w:p>
        </w:tc>
        <w:tc>
          <w:tcPr/>
          <w:p>
            <w:pPr>
              <w:pStyle w:val="Compact"/>
              <w:jc w:val="center"/>
            </w:pPr>
            <w:r>
              <w:t xml:space="preserve">Post-Invasion (2022–2025)</w:t>
            </w:r>
          </w:p>
        </w:tc>
        <w:tc>
          <w:tcPr/>
          <w:p>
            <w:pPr>
              <w:pStyle w:val="Compact"/>
              <w:jc w:val="center"/>
            </w:pPr>
            <w:r>
              <w:t xml:space="preserve">6</w:t>
            </w:r>
          </w:p>
        </w:tc>
        <w:tc>
          <w:tcPr/>
          <w:p>
            <w:pPr>
              <w:pStyle w:val="Compact"/>
              <w:jc w:val="center"/>
            </w:pPr>
            <w:r>
              <w:t xml:space="preserve">Optimistic</w:t>
            </w:r>
          </w:p>
        </w:tc>
        <w:tc>
          <w:tcPr/>
          <w:p>
            <w:pPr>
              <w:pStyle w:val="Compact"/>
              <w:jc w:val="center"/>
            </w:pPr>
            <w:r>
              <w:t xml:space="preserve">Medium</w:t>
            </w:r>
          </w:p>
        </w:tc>
      </w:tr>
      <w:tr>
        <w:tc>
          <w:tcPr/>
          <w:p>
            <w:pPr>
              <w:pStyle w:val="Compact"/>
              <w:jc w:val="center"/>
            </w:pPr>
            <w:r>
              <w:t xml:space="preserve">Thales</w:t>
            </w:r>
          </w:p>
        </w:tc>
        <w:tc>
          <w:tcPr/>
          <w:p>
            <w:pPr>
              <w:pStyle w:val="Compact"/>
              <w:jc w:val="center"/>
            </w:pPr>
            <w:r>
              <w:t xml:space="preserve">2024</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Transformational</w:t>
            </w:r>
          </w:p>
        </w:tc>
        <w:tc>
          <w:tcPr/>
          <w:p>
            <w:pPr>
              <w:pStyle w:val="Compact"/>
              <w:jc w:val="center"/>
            </w:pPr>
            <w:r>
              <w:t xml:space="preserve">Very High</w:t>
            </w:r>
          </w:p>
        </w:tc>
      </w:tr>
      <w:tr>
        <w:tc>
          <w:tcPr/>
          <w:p>
            <w:pPr>
              <w:pStyle w:val="Compact"/>
              <w:jc w:val="center"/>
            </w:pPr>
            <w:r>
              <w:t xml:space="preserve">Thales</w:t>
            </w:r>
          </w:p>
        </w:tc>
        <w:tc>
          <w:tcPr/>
          <w:p>
            <w:pPr>
              <w:pStyle w:val="Compact"/>
              <w:jc w:val="center"/>
            </w:pPr>
            <w:r>
              <w:t xml:space="preserve">2025</w:t>
            </w:r>
          </w:p>
        </w:tc>
        <w:tc>
          <w:tcPr/>
          <w:p>
            <w:pPr>
              <w:pStyle w:val="Compact"/>
              <w:jc w:val="center"/>
            </w:pPr>
            <w:r>
              <w:t xml:space="preserve">Post-Invasion (2022–2025)</w:t>
            </w:r>
          </w:p>
        </w:tc>
        <w:tc>
          <w:tcPr/>
          <w:p>
            <w:pPr>
              <w:pStyle w:val="Compact"/>
              <w:jc w:val="center"/>
            </w:pPr>
            <w:r>
              <w:t xml:space="preserve">8</w:t>
            </w:r>
          </w:p>
        </w:tc>
        <w:tc>
          <w:tcPr/>
          <w:p>
            <w:pPr>
              <w:pStyle w:val="Compact"/>
              <w:jc w:val="center"/>
            </w:pPr>
            <w:r>
              <w:t xml:space="preserve">Optimistic</w:t>
            </w:r>
          </w:p>
        </w:tc>
        <w:tc>
          <w:tcPr/>
          <w:p>
            <w:pPr>
              <w:pStyle w:val="Compact"/>
              <w:jc w:val="center"/>
            </w:pPr>
            <w:r>
              <w:t xml:space="preserve">High</w:t>
            </w:r>
          </w:p>
        </w:tc>
      </w:tr>
    </w:tbl>
    <w:p>
      <w:pPr>
        <w:pStyle w:val="BodyText"/>
      </w:pPr>
      <w:r>
        <w:t xml:space="preserve">Cohen’s Kappa Calculations</w:t>
      </w:r>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center"/>
            </w:pPr>
            <w:r>
              <w:t xml:space="preserve">**Label**</w:t>
            </w:r>
          </w:p>
        </w:tc>
        <w:tc>
          <w:tcPr/>
          <w:p>
            <w:pPr>
              <w:pStyle w:val="Compact"/>
              <w:jc w:val="center"/>
            </w:pPr>
            <w:r>
              <w:t xml:space="preserve">**Claude Count**</w:t>
            </w:r>
          </w:p>
        </w:tc>
        <w:tc>
          <w:tcPr/>
          <w:p>
            <w:pPr>
              <w:pStyle w:val="Compact"/>
              <w:jc w:val="center"/>
            </w:pPr>
            <w:r>
              <w:t xml:space="preserve">**Gemini Count**</w:t>
            </w:r>
          </w:p>
        </w:tc>
        <w:tc>
          <w:tcPr/>
          <w:p>
            <w:pPr>
              <w:pStyle w:val="Compact"/>
              <w:jc w:val="center"/>
            </w:pPr>
            <w:r>
              <w:t xml:space="preserve">**Cases Both Agreed**</w:t>
            </w:r>
          </w:p>
        </w:tc>
      </w:tr>
      <w:tr>
        <w:tc>
          <w:tcPr/>
          <w:p>
            <w:pPr>
              <w:pStyle w:val="Compact"/>
              <w:jc w:val="center"/>
            </w:pPr>
            <w:r>
              <w:t xml:space="preserve">**Structural (S)**</w:t>
            </w:r>
          </w:p>
        </w:tc>
        <w:tc>
          <w:tcPr/>
          <w:p>
            <w:pPr>
              <w:pStyle w:val="Compact"/>
              <w:jc w:val="center"/>
            </w:pPr>
            <w:r>
              <w:t xml:space="preserve">31</w:t>
            </w:r>
          </w:p>
        </w:tc>
        <w:tc>
          <w:tcPr/>
          <w:p>
            <w:pPr>
              <w:pStyle w:val="Compact"/>
              <w:jc w:val="center"/>
            </w:pPr>
            <w:r>
              <w:t xml:space="preserve">35</w:t>
            </w:r>
          </w:p>
        </w:tc>
        <w:tc>
          <w:tcPr/>
          <w:p>
            <w:pPr>
              <w:pStyle w:val="Compact"/>
              <w:jc w:val="center"/>
            </w:pPr>
            <w:r>
              <w:t xml:space="preserve">31</w:t>
            </w:r>
          </w:p>
        </w:tc>
      </w:tr>
      <w:tr>
        <w:tc>
          <w:tcPr/>
          <w:p>
            <w:pPr>
              <w:pStyle w:val="Compact"/>
              <w:jc w:val="center"/>
            </w:pPr>
            <w:r>
              <w:t xml:space="preserve">**Mixed (M)**</w:t>
            </w:r>
          </w:p>
        </w:tc>
        <w:tc>
          <w:tcPr/>
          <w:p>
            <w:pPr>
              <w:pStyle w:val="Compact"/>
              <w:jc w:val="center"/>
            </w:pPr>
            <w:r>
              <w:t xml:space="preserve">34</w:t>
            </w:r>
          </w:p>
        </w:tc>
        <w:tc>
          <w:tcPr/>
          <w:p>
            <w:pPr>
              <w:pStyle w:val="Compact"/>
              <w:jc w:val="center"/>
            </w:pPr>
            <w:r>
              <w:t xml:space="preserve">28</w:t>
            </w:r>
          </w:p>
        </w:tc>
        <w:tc>
          <w:tcPr/>
          <w:p>
            <w:pPr>
              <w:pStyle w:val="Compact"/>
              <w:jc w:val="center"/>
            </w:pPr>
            <w:r>
              <w:t xml:space="preserve">28</w:t>
            </w:r>
          </w:p>
        </w:tc>
      </w:tr>
      <w:tr>
        <w:tc>
          <w:tcPr/>
          <w:p>
            <w:pPr>
              <w:pStyle w:val="Compact"/>
              <w:jc w:val="center"/>
            </w:pPr>
            <w:r>
              <w:t xml:space="preserve">**Cyclical (C)**</w:t>
            </w:r>
          </w:p>
        </w:tc>
        <w:tc>
          <w:tcPr/>
          <w:p>
            <w:pPr>
              <w:pStyle w:val="Compact"/>
              <w:jc w:val="center"/>
            </w:pPr>
            <w:r>
              <w:t xml:space="preserve">14</w:t>
            </w:r>
          </w:p>
        </w:tc>
        <w:tc>
          <w:tcPr/>
          <w:p>
            <w:pPr>
              <w:pStyle w:val="Compact"/>
              <w:jc w:val="center"/>
            </w:pPr>
            <w:r>
              <w:t xml:space="preserve">16</w:t>
            </w:r>
          </w:p>
        </w:tc>
        <w:tc>
          <w:tcPr/>
          <w:p>
            <w:pPr>
              <w:pStyle w:val="Compact"/>
              <w:jc w:val="center"/>
            </w:pPr>
            <w:r>
              <w:t xml:space="preserve">14</w:t>
            </w:r>
          </w:p>
        </w:tc>
      </w:tr>
      <w:tr>
        <w:tc>
          <w:tcPr/>
          <w:p>
            <w:pPr>
              <w:pStyle w:val="Compact"/>
              <w:jc w:val="center"/>
            </w:pPr>
            <w:r>
              <w:t xml:space="preserve">**TOTAL**</w:t>
            </w:r>
          </w:p>
        </w:tc>
        <w:tc>
          <w:tcPr/>
          <w:p>
            <w:pPr>
              <w:pStyle w:val="Compact"/>
              <w:jc w:val="center"/>
            </w:pPr>
            <w:r>
              <w:t xml:space="preserve">**79**</w:t>
            </w:r>
          </w:p>
        </w:tc>
        <w:tc>
          <w:tcPr/>
          <w:p>
            <w:pPr>
              <w:pStyle w:val="Compact"/>
              <w:jc w:val="center"/>
            </w:pPr>
            <w:r>
              <w:t xml:space="preserve">**79**</w:t>
            </w:r>
          </w:p>
        </w:tc>
        <w:tc>
          <w:tcPr/>
          <w:p>
            <w:pPr>
              <w:pStyle w:val="Compact"/>
              <w:jc w:val="center"/>
            </w:pPr>
            <w:r>
              <w:t xml:space="preserve">**6 disagreed**</w:t>
            </w:r>
          </w:p>
        </w:tc>
      </w:tr>
    </w:tbl>
    <w:p>
      <w:pPr>
        <w:pStyle w:val="BodyText"/>
      </w:pPr>
      <w:r>
        <w:t xml:space="preserve">Observed agreements:</w:t>
      </w:r>
    </w:p>
    <w:p>
      <w:pPr>
        <w:pStyle w:val="BodyText"/>
      </w:pPr>
      <w:r>
        <w:t xml:space="preserve">P0 = Number of agreements / Total reports = 73/79 = 0.9241</w:t>
      </w:r>
    </w:p>
    <w:p>
      <w:pPr>
        <w:pStyle w:val="BodyText"/>
      </w:pPr>
      <w:r>
        <w:t xml:space="preserve">Expected chance of agreements:</w:t>
      </w:r>
    </w:p>
    <w:p>
      <w:pPr>
        <w:pStyle w:val="BodyText"/>
      </w:pPr>
      <w:r>
        <w:t xml:space="preserve">Claude → Structural = 31/79 = 0.392 | Mixed = 34/79 = 0.430 | Cyclical = 14/79 = 0.177</w:t>
      </w:r>
    </w:p>
    <w:p>
      <w:pPr>
        <w:pStyle w:val="BodyText"/>
      </w:pPr>
      <w:r>
        <w:t xml:space="preserve">Gemini → Structural = 35/79 = 0.443 | Mixed = 28/79 = 0.354 | Cyclical = 16/79 = 0.203</w:t>
      </w:r>
    </w:p>
    <w:p>
      <w:pPr>
        <w:pStyle w:val="BodyText"/>
      </w:pPr>
      <w:r>
        <w:t xml:space="preserve">So,</w:t>
      </w:r>
    </w:p>
    <w:p>
      <w:pPr>
        <w:pStyle w:val="BodyText"/>
      </w:pPr>
      <w:r>
        <w:t xml:space="preserve">Pₑ = (0.392 × 0.443) + (0.430 × 0.354) + (0.177 × 0.203)</w:t>
      </w:r>
    </w:p>
    <w:p>
      <w:pPr>
        <w:pStyle w:val="BodyText"/>
      </w:pPr>
      <w:r>
        <w:t xml:space="preserve">Pₑ = 0.1737 + 0.1522 + 0.0360</w:t>
      </w:r>
    </w:p>
    <w:p>
      <w:pPr>
        <w:pStyle w:val="BodyText"/>
      </w:pPr>
      <w:r>
        <w:t xml:space="preserve">Pₑ = 0.3619</w:t>
      </w:r>
    </w:p>
    <w:p>
      <w:pPr>
        <w:pStyle w:val="BodyText"/>
      </w:pPr>
      <w:r>
        <w:t xml:space="preserve">Kappa’s formula:</w:t>
      </w:r>
    </w:p>
    <w:p>
      <w:pPr>
        <w:pStyle w:val="BodyText"/>
      </w:pPr>
      <w:r>
        <w:t xml:space="preserve">κ = (P0 - Pₑ) / (1 - Pₑ)</w:t>
      </w:r>
    </w:p>
    <w:p>
      <w:pPr>
        <w:pStyle w:val="BodyText"/>
      </w:pPr>
      <w:r>
        <w:t xml:space="preserve">So,</w:t>
      </w:r>
    </w:p>
    <w:p>
      <w:pPr>
        <w:pStyle w:val="BodyText"/>
      </w:pPr>
      <w:r>
        <w:t xml:space="preserve">κ = (0.9241 − 0.3619) ÷ (1 − 0.3619)</w:t>
      </w:r>
    </w:p>
    <w:p>
      <w:pPr>
        <w:pStyle w:val="BodyText"/>
      </w:pPr>
      <w:r>
        <w:t xml:space="preserve">κ = 0.5622 ÷ 0.6381</w:t>
      </w:r>
    </w:p>
    <w:p>
      <w:pPr>
        <w:pStyle w:val="BodyText"/>
      </w:pPr>
      <w:r>
        <w:t xml:space="preserve">κ = 0.881</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doi.org/10.1007/s10551-019-04164-1" TargetMode="External" /><Relationship Type="http://schemas.openxmlformats.org/officeDocument/2006/relationships/hyperlink" Id="rId64" Target="https://doi.org/10.1016/j.jfineco.2008.09.001" TargetMode="External" /><Relationship Type="http://schemas.openxmlformats.org/officeDocument/2006/relationships/hyperlink" Id="rId63" Target="https://doi.org/10.1080/07036337.2026.2615100" TargetMode="External" /><Relationship Type="http://schemas.openxmlformats.org/officeDocument/2006/relationships/hyperlink" Id="rId53" Target="https://doi.org/10.1080/14702436.2025.2472694" TargetMode="External" /><Relationship Type="http://schemas.openxmlformats.org/officeDocument/2006/relationships/hyperlink" Id="rId65" Target="https://doi.org/10.1080/23311886.2025.2488114" TargetMode="External" /><Relationship Type="http://schemas.openxmlformats.org/officeDocument/2006/relationships/hyperlink" Id="rId62" Target="https://doi.org/10.1093/yel/yeaf003" TargetMode="External" /><Relationship Type="http://schemas.openxmlformats.org/officeDocument/2006/relationships/hyperlink" Id="rId58" Target="https://doi.org/10.1111/j.1460-2466.1993.tb01304.x" TargetMode="External" /><Relationship Type="http://schemas.openxmlformats.org/officeDocument/2006/relationships/hyperlink" Id="rId69" Target="https://doi.org/10.1111/j.1540-6261.2010.01625.x" TargetMode="External" /><Relationship Type="http://schemas.openxmlformats.org/officeDocument/2006/relationships/hyperlink" Id="rId67" Target="https://doi.org/10.1111/jcms.70010" TargetMode="External" /><Relationship Type="http://schemas.openxmlformats.org/officeDocument/2006/relationships/hyperlink" Id="rId55" Target="https://doi.org/10.11647/obp.0434.10" TargetMode="External" /><Relationship Type="http://schemas.openxmlformats.org/officeDocument/2006/relationships/hyperlink" Id="rId71" Target="https://doi.org/10.1515/ev-2025-0028" TargetMode="External" /><Relationship Type="http://schemas.openxmlformats.org/officeDocument/2006/relationships/hyperlink" Id="rId68" Target="https://doi.org/10.2307/2529310" TargetMode="External" /><Relationship Type="http://schemas.openxmlformats.org/officeDocument/2006/relationships/hyperlink" Id="rId75" Target="https://doi.org/10.30970/ves.2024.66.0.6614" TargetMode="External" /><Relationship Type="http://schemas.openxmlformats.org/officeDocument/2006/relationships/hyperlink" Id="rId72" Target="https://doi.org/10.5038/1944-0472.18.4.2589" TargetMode="External" /><Relationship Type="http://schemas.openxmlformats.org/officeDocument/2006/relationships/hyperlink" Id="rId61" Target="https://doi.org/10.5089/9798229042499.001.A001" TargetMode="External" /><Relationship Type="http://schemas.openxmlformats.org/officeDocument/2006/relationships/hyperlink" Id="rId73" Target="https://espas.secure.europarl.europa.eu/orbis/system/files/generated/document/en/defence%20in%20the%20EU.pdf" TargetMode="External" /><Relationship Type="http://schemas.openxmlformats.org/officeDocument/2006/relationships/hyperlink" Id="rId54" Target="https://lup.lub.lu.se/luur/download?func=downloadFile&amp;recordOId=9212116&amp;fileOId=9212117" TargetMode="External" /><Relationship Type="http://schemas.openxmlformats.org/officeDocument/2006/relationships/hyperlink" Id="rId66" Target="https://www.google.com/search?q=https://doi.org/10.1111/jcms.70010" TargetMode="External" /><Relationship Type="http://schemas.openxmlformats.org/officeDocument/2006/relationships/hyperlink" Id="rId70" Target="https://www.google.com/search?q=https://doi.org/10.1515/ev-2025-0028" TargetMode="External" /><Relationship Type="http://schemas.openxmlformats.org/officeDocument/2006/relationships/hyperlink" Id="rId74" Target="https://www.google.com/search?q=https://doi.org/10.30970/ves.2024.66.0.6614" TargetMode="External" /><Relationship Type="http://schemas.openxmlformats.org/officeDocument/2006/relationships/hyperlink" Id="rId60" Target="https://www.iss.europa.eu/sites/default/files/EUISSFiles/Brief%2012__Strategic%20Autonomy.pdf" TargetMode="External" /><Relationship Type="http://schemas.openxmlformats.org/officeDocument/2006/relationships/hyperlink" Id="rId56" Target="https://www.jstor.org/stable/1910133?origin=crossref" TargetMode="External" /><Relationship Type="http://schemas.openxmlformats.org/officeDocument/2006/relationships/hyperlink" Id="rId76" Target="https://www.mssanz.org.au/modsim2011/D10/wongsosaputro.pdf" TargetMode="External" /><Relationship Type="http://schemas.openxmlformats.org/officeDocument/2006/relationships/hyperlink" Id="rId59" Target="https://www.sciencedirect.com/science/article/abs/pii/S0378426611000306?via%3Dihub" TargetMode="External" /><Relationship Type="http://schemas.openxmlformats.org/officeDocument/2006/relationships/hyperlink" Id="rId26" Target="https://www.tandfonline.com/author/Holesch%2C+Adam" TargetMode="External" /><Relationship Type="http://schemas.openxmlformats.org/officeDocument/2006/relationships/hyperlink" Id="rId27" Target="https://www.tandfonline.com/author/Martill%2C+Benjamin"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1007/s10551-019-04164-1" TargetMode="External" /><Relationship Type="http://schemas.openxmlformats.org/officeDocument/2006/relationships/hyperlink" Id="rId64" Target="https://doi.org/10.1016/j.jfineco.2008.09.001" TargetMode="External" /><Relationship Type="http://schemas.openxmlformats.org/officeDocument/2006/relationships/hyperlink" Id="rId63" Target="https://doi.org/10.1080/07036337.2026.2615100" TargetMode="External" /><Relationship Type="http://schemas.openxmlformats.org/officeDocument/2006/relationships/hyperlink" Id="rId53" Target="https://doi.org/10.1080/14702436.2025.2472694" TargetMode="External" /><Relationship Type="http://schemas.openxmlformats.org/officeDocument/2006/relationships/hyperlink" Id="rId65" Target="https://doi.org/10.1080/23311886.2025.2488114" TargetMode="External" /><Relationship Type="http://schemas.openxmlformats.org/officeDocument/2006/relationships/hyperlink" Id="rId62" Target="https://doi.org/10.1093/yel/yeaf003" TargetMode="External" /><Relationship Type="http://schemas.openxmlformats.org/officeDocument/2006/relationships/hyperlink" Id="rId58" Target="https://doi.org/10.1111/j.1460-2466.1993.tb01304.x" TargetMode="External" /><Relationship Type="http://schemas.openxmlformats.org/officeDocument/2006/relationships/hyperlink" Id="rId69" Target="https://doi.org/10.1111/j.1540-6261.2010.01625.x" TargetMode="External" /><Relationship Type="http://schemas.openxmlformats.org/officeDocument/2006/relationships/hyperlink" Id="rId67" Target="https://doi.org/10.1111/jcms.70010" TargetMode="External" /><Relationship Type="http://schemas.openxmlformats.org/officeDocument/2006/relationships/hyperlink" Id="rId55" Target="https://doi.org/10.11647/obp.0434.10" TargetMode="External" /><Relationship Type="http://schemas.openxmlformats.org/officeDocument/2006/relationships/hyperlink" Id="rId71" Target="https://doi.org/10.1515/ev-2025-0028" TargetMode="External" /><Relationship Type="http://schemas.openxmlformats.org/officeDocument/2006/relationships/hyperlink" Id="rId68" Target="https://doi.org/10.2307/2529310" TargetMode="External" /><Relationship Type="http://schemas.openxmlformats.org/officeDocument/2006/relationships/hyperlink" Id="rId75" Target="https://doi.org/10.30970/ves.2024.66.0.6614" TargetMode="External" /><Relationship Type="http://schemas.openxmlformats.org/officeDocument/2006/relationships/hyperlink" Id="rId72" Target="https://doi.org/10.5038/1944-0472.18.4.2589" TargetMode="External" /><Relationship Type="http://schemas.openxmlformats.org/officeDocument/2006/relationships/hyperlink" Id="rId61" Target="https://doi.org/10.5089/9798229042499.001.A001" TargetMode="External" /><Relationship Type="http://schemas.openxmlformats.org/officeDocument/2006/relationships/hyperlink" Id="rId73" Target="https://espas.secure.europarl.europa.eu/orbis/system/files/generated/document/en/defence%20in%20the%20EU.pdf" TargetMode="External" /><Relationship Type="http://schemas.openxmlformats.org/officeDocument/2006/relationships/hyperlink" Id="rId54" Target="https://lup.lub.lu.se/luur/download?func=downloadFile&amp;recordOId=9212116&amp;fileOId=9212117" TargetMode="External" /><Relationship Type="http://schemas.openxmlformats.org/officeDocument/2006/relationships/hyperlink" Id="rId66" Target="https://www.google.com/search?q=https://doi.org/10.1111/jcms.70010" TargetMode="External" /><Relationship Type="http://schemas.openxmlformats.org/officeDocument/2006/relationships/hyperlink" Id="rId70" Target="https://www.google.com/search?q=https://doi.org/10.1515/ev-2025-0028" TargetMode="External" /><Relationship Type="http://schemas.openxmlformats.org/officeDocument/2006/relationships/hyperlink" Id="rId74" Target="https://www.google.com/search?q=https://doi.org/10.30970/ves.2024.66.0.6614" TargetMode="External" /><Relationship Type="http://schemas.openxmlformats.org/officeDocument/2006/relationships/hyperlink" Id="rId60" Target="https://www.iss.europa.eu/sites/default/files/EUISSFiles/Brief%2012__Strategic%20Autonomy.pdf" TargetMode="External" /><Relationship Type="http://schemas.openxmlformats.org/officeDocument/2006/relationships/hyperlink" Id="rId56" Target="https://www.jstor.org/stable/1910133?origin=crossref" TargetMode="External" /><Relationship Type="http://schemas.openxmlformats.org/officeDocument/2006/relationships/hyperlink" Id="rId76" Target="https://www.mssanz.org.au/modsim2011/D10/wongsosaputro.pdf" TargetMode="External" /><Relationship Type="http://schemas.openxmlformats.org/officeDocument/2006/relationships/hyperlink" Id="rId59" Target="https://www.sciencedirect.com/science/article/abs/pii/S0378426611000306?via%3Dihub" TargetMode="External" /><Relationship Type="http://schemas.openxmlformats.org/officeDocument/2006/relationships/hyperlink" Id="rId26" Target="https://www.tandfonline.com/author/Holesch%2C+Adam" TargetMode="External" /><Relationship Type="http://schemas.openxmlformats.org/officeDocument/2006/relationships/hyperlink" Id="rId27" Target="https://www.tandfonline.com/author/Martill%2C+Benjam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 Russia's Invasion of Ukraine in February 2022 Create a Structural or Cyclical Shift in European Defence Companies?</dc:title>
  <dc:creator/>
  <cp:keywords/>
  <dcterms:created xsi:type="dcterms:W3CDTF">2026-05-02T11:01:45Z</dcterms:created>
  <dcterms:modified xsi:type="dcterms:W3CDTF">2026-05-02T11:01:45Z</dcterms:modified>
</cp:coreProperties>
</file>

<file path=docProps/custom.xml><?xml version="1.0" encoding="utf-8"?>
<Properties xmlns="http://schemas.openxmlformats.org/officeDocument/2006/custom-properties" xmlns:vt="http://schemas.openxmlformats.org/officeDocument/2006/docPropsVTypes"/>
</file>