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6BE1E" w14:textId="77777777" w:rsidR="001A1E5B" w:rsidRPr="001A1E5B" w:rsidRDefault="001A1E5B" w:rsidP="00096EA0">
      <w:pPr>
        <w:pStyle w:val="Heading1"/>
        <w:rPr>
          <w:sz w:val="48"/>
        </w:rPr>
      </w:pPr>
      <w:r w:rsidRPr="001A1E5B">
        <w:t>Strategic Activation Framework for Translating Digital Health Platforms from Concept to Series A: The Integrated Health Empowerment Program Care Case</w:t>
      </w:r>
    </w:p>
    <w:p w14:paraId="7E686FAB" w14:textId="0AE300A8"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Document ID:</w:t>
      </w:r>
      <w:r w:rsidRPr="001A1E5B">
        <w:rPr>
          <w:rStyle w:val="apple-converted-space"/>
          <w:rFonts w:ascii="Segoe UI" w:hAnsi="Segoe UI" w:cs="Segoe UI"/>
          <w:color w:val="576069"/>
        </w:rPr>
        <w:t> </w:t>
      </w:r>
      <w:r w:rsidRPr="001A1E5B">
        <w:rPr>
          <w:rFonts w:ascii="Segoe UI" w:hAnsi="Segoe UI" w:cs="Segoe UI"/>
          <w:color w:val="576069"/>
        </w:rPr>
        <w:t>IHEP-STRAT-003</w:t>
      </w:r>
      <w:r w:rsidRPr="001A1E5B">
        <w:rPr>
          <w:rFonts w:ascii="Segoe UI" w:hAnsi="Segoe UI" w:cs="Segoe UI"/>
          <w:color w:val="576069"/>
        </w:rPr>
        <w:br/>
      </w:r>
      <w:r w:rsidRPr="001A1E5B">
        <w:rPr>
          <w:rStyle w:val="Strong"/>
          <w:rFonts w:ascii="Segoe UI" w:hAnsi="Segoe UI" w:cs="Segoe UI"/>
          <w:color w:val="576069"/>
        </w:rPr>
        <w:t>Version:</w:t>
      </w:r>
      <w:r w:rsidRPr="001A1E5B">
        <w:rPr>
          <w:rStyle w:val="apple-converted-space"/>
          <w:rFonts w:ascii="Segoe UI" w:hAnsi="Segoe UI" w:cs="Segoe UI"/>
          <w:color w:val="576069"/>
        </w:rPr>
        <w:t> </w:t>
      </w:r>
      <w:r w:rsidRPr="001A1E5B">
        <w:rPr>
          <w:rFonts w:ascii="Segoe UI" w:hAnsi="Segoe UI" w:cs="Segoe UI"/>
          <w:color w:val="576069"/>
        </w:rPr>
        <w:t>1.3</w:t>
      </w:r>
      <w:r w:rsidRPr="001A1E5B">
        <w:rPr>
          <w:rFonts w:ascii="Segoe UI" w:hAnsi="Segoe UI" w:cs="Segoe UI"/>
          <w:color w:val="576069"/>
        </w:rPr>
        <w:br/>
      </w:r>
      <w:r w:rsidRPr="001A1E5B">
        <w:rPr>
          <w:rStyle w:val="Strong"/>
          <w:rFonts w:ascii="Segoe UI" w:hAnsi="Segoe UI" w:cs="Segoe UI"/>
          <w:color w:val="576069"/>
        </w:rPr>
        <w:t>Date:</w:t>
      </w:r>
      <w:r w:rsidRPr="001A1E5B">
        <w:rPr>
          <w:rStyle w:val="apple-converted-space"/>
          <w:rFonts w:ascii="Segoe UI" w:hAnsi="Segoe UI" w:cs="Segoe UI"/>
          <w:color w:val="576069"/>
        </w:rPr>
        <w:t> </w:t>
      </w:r>
      <w:r w:rsidRPr="001A1E5B">
        <w:rPr>
          <w:rFonts w:ascii="Segoe UI" w:hAnsi="Segoe UI" w:cs="Segoe UI"/>
          <w:color w:val="576069"/>
        </w:rPr>
        <w:t>February 6, 2026</w:t>
      </w:r>
      <w:r w:rsidRPr="001A1E5B">
        <w:rPr>
          <w:rFonts w:ascii="Segoe UI" w:hAnsi="Segoe UI" w:cs="Segoe UI"/>
          <w:color w:val="576069"/>
        </w:rPr>
        <w:br/>
      </w:r>
      <w:r w:rsidRPr="001A1E5B">
        <w:rPr>
          <w:rStyle w:val="Strong"/>
          <w:rFonts w:ascii="Segoe UI" w:hAnsi="Segoe UI" w:cs="Segoe UI"/>
          <w:color w:val="576069"/>
        </w:rPr>
        <w:t>Classification:</w:t>
      </w:r>
      <w:r w:rsidRPr="001A1E5B">
        <w:rPr>
          <w:rStyle w:val="apple-converted-space"/>
          <w:rFonts w:ascii="Segoe UI" w:hAnsi="Segoe UI" w:cs="Segoe UI"/>
          <w:color w:val="576069"/>
        </w:rPr>
        <w:t> </w:t>
      </w:r>
      <w:r w:rsidRPr="001A1E5B">
        <w:rPr>
          <w:rFonts w:ascii="Segoe UI" w:hAnsi="Segoe UI" w:cs="Segoe UI"/>
          <w:color w:val="576069"/>
        </w:rPr>
        <w:t>Preprint/Working Paper</w:t>
      </w:r>
      <w:r w:rsidRPr="001A1E5B">
        <w:rPr>
          <w:rFonts w:ascii="Segoe UI" w:hAnsi="Segoe UI" w:cs="Segoe UI"/>
          <w:color w:val="576069"/>
        </w:rPr>
        <w:br/>
      </w:r>
      <w:r w:rsidRPr="001A1E5B">
        <w:rPr>
          <w:rStyle w:val="Strong"/>
          <w:rFonts w:ascii="Segoe UI" w:hAnsi="Segoe UI" w:cs="Segoe UI"/>
          <w:color w:val="576069"/>
        </w:rPr>
        <w:t>Author:</w:t>
      </w:r>
      <w:r w:rsidRPr="001A1E5B">
        <w:rPr>
          <w:rStyle w:val="apple-converted-space"/>
          <w:rFonts w:ascii="Segoe UI" w:hAnsi="Segoe UI" w:cs="Segoe UI"/>
          <w:color w:val="576069"/>
        </w:rPr>
        <w:t> </w:t>
      </w:r>
      <w:r w:rsidRPr="001A1E5B">
        <w:rPr>
          <w:rFonts w:ascii="Segoe UI" w:hAnsi="Segoe UI" w:cs="Segoe UI"/>
          <w:color w:val="576069"/>
        </w:rPr>
        <w:t>Jason M. Jarmacz</w:t>
      </w:r>
      <w:r>
        <w:rPr>
          <w:rFonts w:ascii="Segoe UI" w:hAnsi="Segoe UI" w:cs="Segoe UI"/>
          <w:color w:val="576069"/>
        </w:rPr>
        <w:t xml:space="preserve"> |</w:t>
      </w:r>
      <w:r w:rsidRPr="001A1E5B">
        <w:rPr>
          <w:rFonts w:ascii="Segoe UI" w:hAnsi="Segoe UI" w:cs="Segoe UI"/>
          <w:color w:val="576069"/>
        </w:rPr>
        <w:t xml:space="preserve"> Evolution Strategist &amp; Principal Investigator </w:t>
      </w:r>
      <w:r w:rsidR="00644505">
        <w:rPr>
          <w:rFonts w:ascii="Segoe UI" w:hAnsi="Segoe UI" w:cs="Segoe UI"/>
          <w:color w:val="576069"/>
        </w:rPr>
        <w:t xml:space="preserve">         </w:t>
      </w:r>
      <w:r w:rsidRPr="001A1E5B">
        <w:rPr>
          <w:rFonts w:ascii="Segoe UI" w:hAnsi="Segoe UI" w:cs="Segoe UI"/>
          <w:color w:val="576069"/>
        </w:rPr>
        <w:t xml:space="preserve">IHEP a </w:t>
      </w:r>
      <w:r w:rsidRPr="00644505">
        <w:rPr>
          <w:rFonts w:ascii="Segoe UI" w:hAnsi="Segoe UI" w:cs="Segoe UI"/>
          <w:i/>
          <w:iCs/>
          <w:color w:val="576069"/>
        </w:rPr>
        <w:t>Trade Momentum LLC</w:t>
      </w:r>
      <w:r w:rsidRPr="001A1E5B">
        <w:rPr>
          <w:rFonts w:ascii="Segoe UI" w:hAnsi="Segoe UI" w:cs="Segoe UI"/>
          <w:color w:val="576069"/>
        </w:rPr>
        <w:t xml:space="preserve"> </w:t>
      </w:r>
      <w:r w:rsidRPr="00644505">
        <w:rPr>
          <w:rFonts w:ascii="Segoe UI" w:hAnsi="Segoe UI" w:cs="Segoe UI"/>
          <w:i/>
          <w:iCs/>
          <w:color w:val="576069"/>
        </w:rPr>
        <w:t>Technology</w:t>
      </w:r>
    </w:p>
    <w:p w14:paraId="0790ED2F" w14:textId="77777777" w:rsidR="001A1E5B" w:rsidRDefault="00000000" w:rsidP="001A1E5B">
      <w:pPr>
        <w:spacing w:before="360" w:after="360"/>
        <w:rPr>
          <w:rFonts w:ascii="Segoe UI" w:hAnsi="Segoe UI" w:cs="Segoe UI"/>
        </w:rPr>
      </w:pPr>
      <w:r>
        <w:rPr>
          <w:noProof/>
        </w:rPr>
      </w:r>
      <w:r>
        <w:rPr>
          <w:noProof/>
        </w:rPr>
        <w:pict w14:anchorId="37C343C0">
          <v:rect id="_x0000_i1034" alt="" style="width:431.95pt;height:.05pt;mso-width-percent:0;mso-height-percent:0;mso-width-percent:0;mso-height-percent:0" o:hrpct="923" o:hralign="center" o:hrstd="t" o:hr="t" fillcolor="#a0a0a0" stroked="f"/>
        </w:pict>
      </w:r>
    </w:p>
    <w:p w14:paraId="5DE7D381" w14:textId="77777777" w:rsidR="001A1E5B" w:rsidRPr="001A1E5B" w:rsidRDefault="001A1E5B" w:rsidP="00096EA0">
      <w:pPr>
        <w:pStyle w:val="Heading1"/>
      </w:pPr>
      <w:r w:rsidRPr="001A1E5B">
        <w:t>Abstract</w:t>
      </w:r>
    </w:p>
    <w:p w14:paraId="21A9D4E1"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Digital health ventures frequently encounter a translational gap between technically validated concept and investable entity—a phase characterized by credibility, execution, funding, and commercialization deficits. While implementation science frameworks address clinical deployment and equity considerations, few systematically address the specific challenges of early-stage health technology commercialization—the "valley of death" between proof-of-concept and growth capital. This paper proposes a two-phase Strategic Activation Framework (SAF) for systematically advancing digital health platforms from conceptual plateau to Series A readiness. Phase 1 (90-Day Credibility Sprint) targets independent technical validation, clinical partnership establishment, non-dilutive financing, core team assembly, and tangible product demonstration. Phase 2 (Series A Launchpad) focuses on anchor pilot execution, early revenue generation, commercial model formalization, and investor engagement. The framework is illustrated through application to the Integrated Health Empowerment Program (IHEP), an AI-driven chronic disease aftercare platform integrating patient-sovereign data architecture with edge computing. Expected outcomes include de-risked technology, secured clinical partnerships, initial revenue, and a clear commercial pathway within 9–12 months. The SAF contributes a structured methodology for bridging the translation gap in digital health, with implications for deep-tech health founders, accelerators, and health innovation policy.</w:t>
      </w:r>
    </w:p>
    <w:p w14:paraId="0B588D7D"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lastRenderedPageBreak/>
        <w:t>Keywords:</w:t>
      </w:r>
      <w:r w:rsidRPr="001A1E5B">
        <w:rPr>
          <w:rStyle w:val="apple-converted-space"/>
          <w:rFonts w:ascii="Segoe UI" w:hAnsi="Segoe UI" w:cs="Segoe UI"/>
          <w:color w:val="576069"/>
        </w:rPr>
        <w:t> </w:t>
      </w:r>
      <w:r w:rsidRPr="001A1E5B">
        <w:rPr>
          <w:rFonts w:ascii="Segoe UI" w:hAnsi="Segoe UI" w:cs="Segoe UI"/>
          <w:color w:val="576069"/>
        </w:rPr>
        <w:t>digital health, implementation framework, health technology startup, Series A funding, translational gap, chronic disease management, valley of death, venture capital</w:t>
      </w:r>
    </w:p>
    <w:p w14:paraId="5F38AE67" w14:textId="77777777" w:rsidR="001A1E5B" w:rsidRDefault="00216278" w:rsidP="001A1E5B">
      <w:pPr>
        <w:spacing w:before="360" w:after="360"/>
        <w:rPr>
          <w:rFonts w:ascii="Segoe UI" w:hAnsi="Segoe UI" w:cs="Segoe UI"/>
        </w:rPr>
      </w:pPr>
      <w:r>
        <w:rPr>
          <w:noProof/>
        </w:rPr>
        <w:pict w14:anchorId="270D52B9">
          <v:rect id="_x0000_i1033" alt="" style="width:431.95pt;height:.05pt;mso-width-percent:0;mso-height-percent:0;mso-width-percent:0;mso-height-percent:0" o:hrpct="923" o:hralign="center" o:hrstd="t" o:hr="t" fillcolor="#a0a0a0" stroked="f"/>
        </w:pict>
      </w:r>
    </w:p>
    <w:p w14:paraId="1C8795E3" w14:textId="77777777" w:rsidR="001A1E5B" w:rsidRPr="00586127" w:rsidRDefault="001A1E5B" w:rsidP="00586127">
      <w:pPr>
        <w:pStyle w:val="Heading1"/>
      </w:pPr>
      <w:r w:rsidRPr="00586127">
        <w:t>1. Introduction</w:t>
      </w:r>
    </w:p>
    <w:p w14:paraId="188DF198" w14:textId="77777777" w:rsidR="001A1E5B" w:rsidRPr="00586127" w:rsidRDefault="001A1E5B" w:rsidP="00586127">
      <w:pPr>
        <w:pStyle w:val="Heading2"/>
      </w:pPr>
      <w:r w:rsidRPr="00586127">
        <w:t>1.1 The Digital Health Translation Challenge</w:t>
      </w:r>
    </w:p>
    <w:p w14:paraId="187A1CAD"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The field of digital health has experienced dramatic cycles of investment and correction over the past decade. Venture capital funding for digital health reached a historic peak of $29.1 billion in 2021, driven by pandemic-accelerated adoption of telehealth and remote monitoring technologies. However, this exuberance gave way to a sharp market correction, with funding declining and revealing fundamental structural challenges in how digital health innovations transition from research environments to commercially sustainable entities.[1][2]</w:t>
      </w:r>
    </w:p>
    <w:p w14:paraId="1FAAE521"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At the heart of this challenge lies what healthcare innovation scholars have termed the "valley of death"—the translational gap between initial proof-of-concept and creation of a commercially viable product. This phenomenon is particularly acute in health technology, where ventures must simultaneously navigate technical complexity, regulatory requirements, lengthy clinical validation cycles, and uncertain reimbursement pathways. Unlike enterprise software or consumer technology startups, digital health companies cannot simply "put software out there"; they must demonstrate clinical outcomes, secure provider adoption, and prove return on investment to multiple stakeholders—processes that can take months or years.[3][4][5][6]</w:t>
      </w:r>
    </w:p>
    <w:p w14:paraId="7A24D304" w14:textId="54193880"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 xml:space="preserve">The valley of death manifests as a funding gap between early-stage research support (grants, angel investment) and growth capital (Series A and beyond). Academic institutions and government agencies provide seed funding for basic research, while venture capital firms typically enter once ventures are substantially de-risked and approaching commercial launch. This creates a critical period where promising innovations struggle to secure resources needed to mature from validated concept to investable entity. For </w:t>
      </w:r>
      <w:r w:rsidR="00774EE4" w:rsidRPr="001A1E5B">
        <w:rPr>
          <w:rFonts w:ascii="Segoe UI" w:hAnsi="Segoe UI" w:cs="Segoe UI"/>
          <w:color w:val="576069"/>
        </w:rPr>
        <w:t>MedTech</w:t>
      </w:r>
      <w:r w:rsidRPr="001A1E5B">
        <w:rPr>
          <w:rFonts w:ascii="Segoe UI" w:hAnsi="Segoe UI" w:cs="Segoe UI"/>
          <w:color w:val="576069"/>
        </w:rPr>
        <w:t xml:space="preserve"> and digital health specifically, this gap has widened as investors face increasing pressure from limited partners to demonstrate returns, leading many venture funds to shift capital away from healthcare innovation toward more predictable sectors.[4][5][7][8][3]</w:t>
      </w:r>
    </w:p>
    <w:p w14:paraId="71C02AD9" w14:textId="77777777" w:rsidR="001A1E5B" w:rsidRPr="001A1E5B" w:rsidRDefault="001A1E5B" w:rsidP="00096EA0">
      <w:pPr>
        <w:pStyle w:val="Heading2"/>
      </w:pPr>
      <w:r w:rsidRPr="001A1E5B">
        <w:t>1.2 Implementation Science and Digital Health</w:t>
      </w:r>
    </w:p>
    <w:p w14:paraId="7438C456"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Implementation science has emerged as a critical discipline for understanding how evidence-based practices are integrated into real-world healthcare settings. The field has produced numerous theoretical frameworks, models, and frameworks (TMFs) designed to guide the systematic adoption of innovations. The Consolidated Framework for Implementation Research (CFIR), for example, provides a comprehensive typology of constructs influencing implementation across five domains: intervention characteristics, outer setting, inner setting, characteristics of individuals, and process.[9][10]</w:t>
      </w:r>
    </w:p>
    <w:p w14:paraId="40D0FAAC"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More recently, scholars have developed frameworks specifically addressing digital health implementation. The Digital Health Equity-Focused Implementation Research (DH-EquIR) model integrates health equity considerations into a five-phase implementation cycle: assessing population health status, planning the program, designing the program, implementing the program, and measuring equity-focused implementation outcomes. Similarly, the Digital Healthcare Equity Framework addresses patient, health system, and health IT characteristics across the technology lifecycle. These frameworks emphasize critical implementation considerations including interoperability, sustainability, digital literacy, and the digital determinants of health.[11][12]</w:t>
      </w:r>
    </w:p>
    <w:p w14:paraId="2C2D73D3"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While these models provide valuable guidance for clinical deployment of existing digital health technologies, they share a common limitation: they assume the technology has already been developed and is ready for implementation. They address the question "How do we deploy this tool effectively?" rather than "How does a validated concept become a deployable tool?" This gap is significant because the transition from research artifact to implementation-ready product requires fundamentally different capabilities—business model development, team assembly, partnership formation, and capital acquisition—that fall outside traditional implementation science frameworks.</w:t>
      </w:r>
    </w:p>
    <w:p w14:paraId="66C1293C" w14:textId="77777777" w:rsidR="001A1E5B" w:rsidRPr="001A1E5B" w:rsidRDefault="001A1E5B" w:rsidP="00096EA0">
      <w:pPr>
        <w:pStyle w:val="Heading2"/>
      </w:pPr>
      <w:r w:rsidRPr="001A1E5B">
        <w:t>1.3 Series A Investment Criteria and Digital Health</w:t>
      </w:r>
    </w:p>
    <w:p w14:paraId="1B57DCDC"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Understanding Series A investment dynamics is essential for designing effective translation frameworks. Venture capital investment operates according to stage-specific evaluation criteria that reflect increasing expectations for demonstrated traction and reduced risk.[13]</w:t>
      </w:r>
    </w:p>
    <w:p w14:paraId="14C09348"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At the seed stage, investors primarily evaluate founding team quality, market opportunity size, and the viability of the core hypothesis. By Series A, however, expectations shift dramatically. Investors require evidence of product-market fit: validated demand from paying customers, demonstrated engagement metrics, unit economics that suggest scalability, and a credible path to significant revenue growth. As one digital health investor noted, "By Series A, we need to see undeniable evidence of product-market fit... growth in the customer base, product usage, ACVs, and more".[14][15]</w:t>
      </w:r>
    </w:p>
    <w:p w14:paraId="3ADEDCD7"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Digital health ventures face heightened scrutiny at the Series A stage due to sector-specific complexities. Unlike enterprise SaaS companies where product-market fit can be demonstrated through rapid user acquisition, digital health startups must prove clinical efficacy, navigate long sales cycles with healthcare institutions, and demonstrate outcomes that satisfy multiple stakeholders—patients, providers, payers, and regulators. Investors compare digital health ventures to more familiar sectors like enterprise software or fintech, where growth metrics are clearer and capital efficiency is higher. The same $2.5 million that enables a consumer tech company to scale can barely move the needle for a digital health startup that must invest in clinical trials, regulatory submissions, and extensive stakeholder education.[6]</w:t>
      </w:r>
    </w:p>
    <w:p w14:paraId="12CAF9FA"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This creates a challenging dynamic: seed funding is insufficient to generate the traction required for Series A, but Series A investors will not invest without that traction. The result is what one analyst characterized as the difficult "leap from seed to Series A"—a transition that has proven particularly challenging in digital health, with many startups running out of runway before achieving investable milestones.[6]</w:t>
      </w:r>
    </w:p>
    <w:p w14:paraId="0FE4A572" w14:textId="77777777" w:rsidR="001A1E5B" w:rsidRPr="00096EA0" w:rsidRDefault="001A1E5B" w:rsidP="00096EA0">
      <w:pPr>
        <w:pStyle w:val="Heading2"/>
      </w:pPr>
      <w:r w:rsidRPr="00096EA0">
        <w:t>1.4 The Gap in Existing Literature</w:t>
      </w:r>
    </w:p>
    <w:p w14:paraId="51ABADAD"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The academic and practitioner literature contains robust coverage of three distinct domains: (1) clinical implementation of digital health technologies, (2) technical development of health informatics systems, and (3) venture capital investment patterns and criteria. However, these streams remain largely disconnected. Implementation science frameworks do not address commercialization. Technical health informatics literature focuses on system architecture and clinical validation but rarely discusses business model development or capital strategy. Venture capital analyses describe investment criteria but provide limited guidance on how early-stage ventures systematically achieve required milestones.[12][15][11]</w:t>
      </w:r>
    </w:p>
    <w:p w14:paraId="4232A695" w14:textId="29394B6E"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 xml:space="preserve">This fragmentation leaves a critical gap: deep-tech health founders possess validated technical concepts and understand clinical implementation </w:t>
      </w:r>
      <w:r w:rsidR="00774EE4" w:rsidRPr="001A1E5B">
        <w:rPr>
          <w:rFonts w:ascii="Segoe UI" w:hAnsi="Segoe UI" w:cs="Segoe UI"/>
          <w:color w:val="576069"/>
        </w:rPr>
        <w:t>considerations yet</w:t>
      </w:r>
      <w:r w:rsidRPr="001A1E5B">
        <w:rPr>
          <w:rFonts w:ascii="Segoe UI" w:hAnsi="Segoe UI" w:cs="Segoe UI"/>
          <w:color w:val="576069"/>
        </w:rPr>
        <w:t xml:space="preserve"> lack structured methodologies for executing the specific sequence of actions that convert concepts into Series A–ready entities. They need frameworks that bridge implementation science, business model design, and capital acquisition—frameworks explicitly designed for the valley of death.</w:t>
      </w:r>
    </w:p>
    <w:p w14:paraId="2C2D68B7" w14:textId="77777777" w:rsidR="001A1E5B" w:rsidRPr="001A1E5B" w:rsidRDefault="001A1E5B" w:rsidP="00096EA0">
      <w:pPr>
        <w:pStyle w:val="Heading2"/>
      </w:pPr>
      <w:r w:rsidRPr="001A1E5B">
        <w:t>1.5 Research Objective and Contribution</w:t>
      </w:r>
    </w:p>
    <w:p w14:paraId="6516EC00"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This paper addresses the identified gap by proposing a Strategic Activation Framework (SAF) specifically designed for the translational phase between validated digital health concept and Series A investment readiness. The framework synthesizes insights from implementation science, digital health venture trajectories, and Series A investment criteria to provide actionable guidance for founders, accelerators, and innovation support programs.</w:t>
      </w:r>
    </w:p>
    <w:p w14:paraId="3B68ACB1"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The SAF makes three primary contributions:</w:t>
      </w:r>
    </w:p>
    <w:p w14:paraId="39B5E355" w14:textId="77777777" w:rsidR="001A1E5B" w:rsidRPr="001A1E5B" w:rsidRDefault="001A1E5B" w:rsidP="001A1E5B">
      <w:pPr>
        <w:pStyle w:val="NormalWeb"/>
        <w:numPr>
          <w:ilvl w:val="0"/>
          <w:numId w:val="10"/>
        </w:numPr>
        <w:spacing w:before="240" w:beforeAutospacing="0" w:after="240" w:afterAutospacing="0"/>
        <w:rPr>
          <w:rFonts w:ascii="Segoe UI" w:hAnsi="Segoe UI" w:cs="Segoe UI"/>
          <w:color w:val="576069"/>
        </w:rPr>
      </w:pPr>
      <w:r w:rsidRPr="001A1E5B">
        <w:rPr>
          <w:rStyle w:val="Strong"/>
          <w:rFonts w:ascii="Segoe UI" w:hAnsi="Segoe UI" w:cs="Segoe UI"/>
          <w:color w:val="576069"/>
        </w:rPr>
        <w:t>Methodological:</w:t>
      </w:r>
      <w:r w:rsidRPr="001A1E5B">
        <w:rPr>
          <w:rStyle w:val="apple-converted-space"/>
          <w:rFonts w:ascii="Segoe UI" w:hAnsi="Segoe UI" w:cs="Segoe UI"/>
          <w:color w:val="576069"/>
        </w:rPr>
        <w:t> </w:t>
      </w:r>
      <w:r w:rsidRPr="001A1E5B">
        <w:rPr>
          <w:rFonts w:ascii="Segoe UI" w:hAnsi="Segoe UI" w:cs="Segoe UI"/>
          <w:color w:val="576069"/>
        </w:rPr>
        <w:t>It provides a structured, phase-gated approach explicitly designed for the valley of death, treating the pre-Series A venture as a system requiring targeted interventions to achieve measurable state changes.</w:t>
      </w:r>
    </w:p>
    <w:p w14:paraId="11DF1656" w14:textId="77777777" w:rsidR="001A1E5B" w:rsidRPr="001A1E5B" w:rsidRDefault="001A1E5B" w:rsidP="001A1E5B">
      <w:pPr>
        <w:pStyle w:val="NormalWeb"/>
        <w:numPr>
          <w:ilvl w:val="0"/>
          <w:numId w:val="10"/>
        </w:numPr>
        <w:spacing w:before="240" w:beforeAutospacing="0" w:after="240" w:afterAutospacing="0"/>
        <w:rPr>
          <w:rFonts w:ascii="Segoe UI" w:hAnsi="Segoe UI" w:cs="Segoe UI"/>
          <w:color w:val="576069"/>
        </w:rPr>
      </w:pPr>
      <w:r w:rsidRPr="001A1E5B">
        <w:rPr>
          <w:rStyle w:val="Strong"/>
          <w:rFonts w:ascii="Segoe UI" w:hAnsi="Segoe UI" w:cs="Segoe UI"/>
          <w:color w:val="576069"/>
        </w:rPr>
        <w:t>Practical:</w:t>
      </w:r>
      <w:r w:rsidRPr="001A1E5B">
        <w:rPr>
          <w:rStyle w:val="apple-converted-space"/>
          <w:rFonts w:ascii="Segoe UI" w:hAnsi="Segoe UI" w:cs="Segoe UI"/>
          <w:color w:val="576069"/>
        </w:rPr>
        <w:t> </w:t>
      </w:r>
      <w:r w:rsidRPr="001A1E5B">
        <w:rPr>
          <w:rFonts w:ascii="Segoe UI" w:hAnsi="Segoe UI" w:cs="Segoe UI"/>
          <w:color w:val="576069"/>
        </w:rPr>
        <w:t>It translates abstract investment criteria ("demonstrate traction," "assemble credible team") into concrete, sequenced actions with defined deliverables and timelines.</w:t>
      </w:r>
    </w:p>
    <w:p w14:paraId="3668AEA5" w14:textId="77777777" w:rsidR="001A1E5B" w:rsidRPr="001A1E5B" w:rsidRDefault="001A1E5B" w:rsidP="001A1E5B">
      <w:pPr>
        <w:pStyle w:val="NormalWeb"/>
        <w:numPr>
          <w:ilvl w:val="0"/>
          <w:numId w:val="10"/>
        </w:numPr>
        <w:spacing w:before="240" w:beforeAutospacing="0" w:after="240" w:afterAutospacing="0"/>
        <w:rPr>
          <w:rFonts w:ascii="Segoe UI" w:hAnsi="Segoe UI" w:cs="Segoe UI"/>
          <w:color w:val="576069"/>
        </w:rPr>
      </w:pPr>
      <w:r w:rsidRPr="001A1E5B">
        <w:rPr>
          <w:rStyle w:val="Strong"/>
          <w:rFonts w:ascii="Segoe UI" w:hAnsi="Segoe UI" w:cs="Segoe UI"/>
          <w:color w:val="576069"/>
        </w:rPr>
        <w:t>Integrative:</w:t>
      </w:r>
      <w:r w:rsidRPr="001A1E5B">
        <w:rPr>
          <w:rStyle w:val="apple-converted-space"/>
          <w:rFonts w:ascii="Segoe UI" w:hAnsi="Segoe UI" w:cs="Segoe UI"/>
          <w:color w:val="576069"/>
        </w:rPr>
        <w:t> </w:t>
      </w:r>
      <w:r w:rsidRPr="001A1E5B">
        <w:rPr>
          <w:rFonts w:ascii="Segoe UI" w:hAnsi="Segoe UI" w:cs="Segoe UI"/>
          <w:color w:val="576069"/>
        </w:rPr>
        <w:t>It bridges typically separate domains—technical validation, clinical partnerships, non-dilutive financing, team formation, and product demonstration—into a coherent operational framework.</w:t>
      </w:r>
    </w:p>
    <w:p w14:paraId="6900BBC4" w14:textId="6A710052"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 xml:space="preserve">The framework is illustrated through application to the Integrated Health Empowerment Program (IHEP), an AI-driven platform for chronic disease aftercare that employs patient-sovereign data architecture and edge computing. IHEP represents a characteristic deep-tech health venture: technically validated with extensive </w:t>
      </w:r>
      <w:r w:rsidR="00774EE4" w:rsidRPr="001A1E5B">
        <w:rPr>
          <w:rFonts w:ascii="Segoe UI" w:hAnsi="Segoe UI" w:cs="Segoe UI"/>
          <w:color w:val="576069"/>
        </w:rPr>
        <w:t>documentation yet</w:t>
      </w:r>
      <w:r w:rsidRPr="001A1E5B">
        <w:rPr>
          <w:rFonts w:ascii="Segoe UI" w:hAnsi="Segoe UI" w:cs="Segoe UI"/>
          <w:color w:val="576069"/>
        </w:rPr>
        <w:t xml:space="preserve"> facing the classic translation gap between concept and investable entity.</w:t>
      </w:r>
    </w:p>
    <w:p w14:paraId="5C304783" w14:textId="77777777" w:rsidR="001A1E5B" w:rsidRDefault="00216278" w:rsidP="001A1E5B">
      <w:pPr>
        <w:spacing w:before="360" w:after="360"/>
        <w:rPr>
          <w:rFonts w:ascii="Segoe UI" w:hAnsi="Segoe UI" w:cs="Segoe UI"/>
        </w:rPr>
      </w:pPr>
      <w:r>
        <w:rPr>
          <w:noProof/>
        </w:rPr>
        <w:pict w14:anchorId="3F6AF9B9">
          <v:rect id="_x0000_i1032" alt="" style="width:431.95pt;height:.05pt;mso-width-percent:0;mso-height-percent:0;mso-width-percent:0;mso-height-percent:0" o:hrpct="923" o:hralign="center" o:hrstd="t" o:hr="t" fillcolor="#a0a0a0" stroked="f"/>
        </w:pict>
      </w:r>
    </w:p>
    <w:p w14:paraId="138DE149" w14:textId="77777777" w:rsidR="00096EA0" w:rsidRDefault="00096EA0">
      <w:pPr>
        <w:rPr>
          <w:rFonts w:ascii="Segoe UI" w:eastAsia="Times New Roman" w:hAnsi="Segoe UI" w:cs="Segoe UI"/>
          <w:b/>
          <w:bCs/>
          <w:color w:val="576069"/>
          <w:sz w:val="32"/>
          <w:szCs w:val="32"/>
        </w:rPr>
      </w:pPr>
      <w:r>
        <w:br w:type="page"/>
      </w:r>
    </w:p>
    <w:p w14:paraId="4334495A" w14:textId="6F405F1D" w:rsidR="001A1E5B" w:rsidRPr="00096EA0" w:rsidRDefault="001A1E5B" w:rsidP="00096EA0">
      <w:pPr>
        <w:pStyle w:val="Heading1"/>
      </w:pPr>
      <w:r w:rsidRPr="00096EA0">
        <w:t>2. Background: The Integrated Health Empowerment Program</w:t>
      </w:r>
    </w:p>
    <w:p w14:paraId="47EED697" w14:textId="77777777" w:rsidR="001A1E5B" w:rsidRPr="001A1E5B" w:rsidRDefault="001A1E5B" w:rsidP="00096EA0">
      <w:pPr>
        <w:pStyle w:val="Heading2"/>
      </w:pPr>
      <w:r w:rsidRPr="001A1E5B">
        <w:t>2.1 Technical Overview</w:t>
      </w:r>
    </w:p>
    <w:p w14:paraId="30AB30FA"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The Integrated Health Empowerment Program (IHEP) is a digital health platform designed to address gaps in chronic disease aftercare through a "four-twin" digital ecosystem integrating clinical, behavioral, social, and financial dimensions of health. The architecture employs a morphogenetic self-healing design philosophy combined with patient-sovereign data governance, wherein patients maintain control of their protected health information (PHI) through self-hosted edge computing infrastructure.</w:t>
      </w:r>
    </w:p>
    <w:p w14:paraId="3282C3A8"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Technical feasibility has been validated through analysis demonstrating that contemporary edge hardware (ASUS NUC 15 Pro+ specification) can perform local inference using quantized large language models (70B-parameter class) while maintaining HIPAA compliance without cloud PHI transmission. The system architecture incorporates federated learning capabilities allowing collaborative model improvement across distributed edge nodes while preserving data sovereignty.</w:t>
      </w:r>
    </w:p>
    <w:p w14:paraId="5D98DFE4" w14:textId="77777777" w:rsidR="001A1E5B" w:rsidRPr="001A1E5B" w:rsidRDefault="001A1E5B" w:rsidP="00096EA0">
      <w:pPr>
        <w:pStyle w:val="Heading2"/>
      </w:pPr>
      <w:r w:rsidRPr="001A1E5B">
        <w:t>2.2 Strategic Documentation</w:t>
      </w:r>
    </w:p>
    <w:p w14:paraId="4CD22231"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Extensive strategic planning has produced multiple foundational documents:</w:t>
      </w:r>
    </w:p>
    <w:p w14:paraId="34768F03" w14:textId="77777777" w:rsidR="001A1E5B" w:rsidRPr="001A1E5B" w:rsidRDefault="001A1E5B" w:rsidP="001A1E5B">
      <w:pPr>
        <w:pStyle w:val="NormalWeb"/>
        <w:numPr>
          <w:ilvl w:val="0"/>
          <w:numId w:val="11"/>
        </w:numPr>
        <w:spacing w:before="240" w:beforeAutospacing="0" w:after="240" w:afterAutospacing="0"/>
        <w:rPr>
          <w:rFonts w:ascii="Segoe UI" w:hAnsi="Segoe UI" w:cs="Segoe UI"/>
          <w:color w:val="576069"/>
        </w:rPr>
      </w:pPr>
      <w:r w:rsidRPr="001A1E5B">
        <w:rPr>
          <w:rStyle w:val="Strong"/>
          <w:rFonts w:ascii="Segoe UI" w:hAnsi="Segoe UI" w:cs="Segoe UI"/>
          <w:color w:val="576069"/>
        </w:rPr>
        <w:t>IHEP System Architecture Overview v3.0</w:t>
      </w:r>
      <w:r w:rsidRPr="001A1E5B">
        <w:rPr>
          <w:rStyle w:val="apple-converted-space"/>
          <w:rFonts w:ascii="Segoe UI" w:hAnsi="Segoe UI" w:cs="Segoe UI"/>
          <w:color w:val="576069"/>
        </w:rPr>
        <w:t> </w:t>
      </w:r>
      <w:r w:rsidRPr="001A1E5B">
        <w:rPr>
          <w:rFonts w:ascii="Segoe UI" w:hAnsi="Segoe UI" w:cs="Segoe UI"/>
          <w:color w:val="576069"/>
        </w:rPr>
        <w:t>(IHEP-ARCH-2026-001): Comprehensive technical specifications including data flow diagrams, security architecture, and FHIR interoperability design.</w:t>
      </w:r>
    </w:p>
    <w:p w14:paraId="43593E6E" w14:textId="77777777" w:rsidR="001A1E5B" w:rsidRPr="001A1E5B" w:rsidRDefault="001A1E5B" w:rsidP="001A1E5B">
      <w:pPr>
        <w:pStyle w:val="NormalWeb"/>
        <w:numPr>
          <w:ilvl w:val="0"/>
          <w:numId w:val="11"/>
        </w:numPr>
        <w:spacing w:before="240" w:beforeAutospacing="0" w:after="240" w:afterAutospacing="0"/>
        <w:rPr>
          <w:rFonts w:ascii="Segoe UI" w:hAnsi="Segoe UI" w:cs="Segoe UI"/>
          <w:color w:val="576069"/>
        </w:rPr>
      </w:pPr>
      <w:r w:rsidRPr="001A1E5B">
        <w:rPr>
          <w:rStyle w:val="Strong"/>
          <w:rFonts w:ascii="Segoe UI" w:hAnsi="Segoe UI" w:cs="Segoe UI"/>
          <w:color w:val="576069"/>
        </w:rPr>
        <w:t>IHEP Multi-Phase Implementation Plan v2.0</w:t>
      </w:r>
      <w:r w:rsidRPr="001A1E5B">
        <w:rPr>
          <w:rStyle w:val="apple-converted-space"/>
          <w:rFonts w:ascii="Segoe UI" w:hAnsi="Segoe UI" w:cs="Segoe UI"/>
          <w:color w:val="576069"/>
        </w:rPr>
        <w:t> </w:t>
      </w:r>
      <w:r w:rsidRPr="001A1E5B">
        <w:rPr>
          <w:rFonts w:ascii="Segoe UI" w:hAnsi="Segoe UI" w:cs="Segoe UI"/>
          <w:color w:val="576069"/>
        </w:rPr>
        <w:t>(IHEP-IMPL-2026-001): Five-phase deployment roadmap spanning 36 months from pilot through scale.</w:t>
      </w:r>
    </w:p>
    <w:p w14:paraId="51BCE1B8" w14:textId="77777777" w:rsidR="001A1E5B" w:rsidRPr="001A1E5B" w:rsidRDefault="001A1E5B" w:rsidP="001A1E5B">
      <w:pPr>
        <w:pStyle w:val="NormalWeb"/>
        <w:numPr>
          <w:ilvl w:val="0"/>
          <w:numId w:val="11"/>
        </w:numPr>
        <w:spacing w:before="240" w:beforeAutospacing="0" w:after="240" w:afterAutospacing="0"/>
        <w:rPr>
          <w:rFonts w:ascii="Segoe UI" w:hAnsi="Segoe UI" w:cs="Segoe UI"/>
          <w:color w:val="576069"/>
        </w:rPr>
      </w:pPr>
      <w:r w:rsidRPr="001A1E5B">
        <w:rPr>
          <w:rStyle w:val="Strong"/>
          <w:rFonts w:ascii="Segoe UI" w:hAnsi="Segoe UI" w:cs="Segoe UI"/>
          <w:color w:val="576069"/>
        </w:rPr>
        <w:t>IHEP Project Summary v3.0</w:t>
      </w:r>
      <w:r w:rsidRPr="001A1E5B">
        <w:rPr>
          <w:rStyle w:val="apple-converted-space"/>
          <w:rFonts w:ascii="Segoe UI" w:hAnsi="Segoe UI" w:cs="Segoe UI"/>
          <w:color w:val="576069"/>
        </w:rPr>
        <w:t> </w:t>
      </w:r>
      <w:r w:rsidRPr="001A1E5B">
        <w:rPr>
          <w:rFonts w:ascii="Segoe UI" w:hAnsi="Segoe UI" w:cs="Segoe UI"/>
          <w:color w:val="576069"/>
        </w:rPr>
        <w:t>(IHEP-SUMMARY-2026-001): Executive overview positioning IHEP within the digital health landscape and articulating value propositions for multiple stakeholder classes.</w:t>
      </w:r>
    </w:p>
    <w:p w14:paraId="562C2EED" w14:textId="77777777" w:rsidR="001A1E5B" w:rsidRPr="001A1E5B" w:rsidRDefault="001A1E5B" w:rsidP="001A1E5B">
      <w:pPr>
        <w:pStyle w:val="NormalWeb"/>
        <w:numPr>
          <w:ilvl w:val="0"/>
          <w:numId w:val="11"/>
        </w:numPr>
        <w:spacing w:before="240" w:beforeAutospacing="0" w:after="240" w:afterAutospacing="0"/>
        <w:rPr>
          <w:rFonts w:ascii="Segoe UI" w:hAnsi="Segoe UI" w:cs="Segoe UI"/>
          <w:color w:val="576069"/>
        </w:rPr>
      </w:pPr>
      <w:r w:rsidRPr="001A1E5B">
        <w:rPr>
          <w:rStyle w:val="Strong"/>
          <w:rFonts w:ascii="Segoe UI" w:hAnsi="Segoe UI" w:cs="Segoe UI"/>
          <w:color w:val="576069"/>
        </w:rPr>
        <w:t>Patient-Sovereign PHI on Self-Hosted Edge Hardware: Technical Feasibility and Implementation Analysis</w:t>
      </w:r>
      <w:r w:rsidRPr="001A1E5B">
        <w:rPr>
          <w:rFonts w:ascii="Segoe UI" w:hAnsi="Segoe UI" w:cs="Segoe UI"/>
          <w:color w:val="576069"/>
        </w:rPr>
        <w:t>: Mathematical and architectural validation of edge-based PHI processing.</w:t>
      </w:r>
    </w:p>
    <w:p w14:paraId="78112731" w14:textId="77777777" w:rsidR="001A1E5B" w:rsidRPr="001A1E5B" w:rsidRDefault="001A1E5B" w:rsidP="00096EA0">
      <w:pPr>
        <w:pStyle w:val="Heading2"/>
      </w:pPr>
      <w:r w:rsidRPr="001A1E5B">
        <w:t>2.3 The Translation Problem</w:t>
      </w:r>
    </w:p>
    <w:p w14:paraId="45196E9F"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Despite this technical maturity and strategic documentation, IHEP exhibits the characteristic symptoms of the valley of death:</w:t>
      </w:r>
    </w:p>
    <w:p w14:paraId="7BB5B249"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Credibility Gap:</w:t>
      </w:r>
      <w:r w:rsidRPr="001A1E5B">
        <w:rPr>
          <w:rStyle w:val="apple-converted-space"/>
          <w:rFonts w:ascii="Segoe UI" w:hAnsi="Segoe UI" w:cs="Segoe UI"/>
          <w:color w:val="576069"/>
        </w:rPr>
        <w:t> </w:t>
      </w:r>
      <w:r w:rsidRPr="001A1E5B">
        <w:rPr>
          <w:rFonts w:ascii="Segoe UI" w:hAnsi="Segoe UI" w:cs="Segoe UI"/>
          <w:color w:val="576069"/>
        </w:rPr>
        <w:t>Documentation remains internal. Independent validation is absent. Stakeholders encounter extensive written materials but no tangible demonstrations or third-party verification.</w:t>
      </w:r>
    </w:p>
    <w:p w14:paraId="04858346"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Execution Gap:</w:t>
      </w:r>
      <w:r w:rsidRPr="001A1E5B">
        <w:rPr>
          <w:rStyle w:val="apple-converted-space"/>
          <w:rFonts w:ascii="Segoe UI" w:hAnsi="Segoe UI" w:cs="Segoe UI"/>
          <w:color w:val="576069"/>
        </w:rPr>
        <w:t> </w:t>
      </w:r>
      <w:r w:rsidRPr="001A1E5B">
        <w:rPr>
          <w:rFonts w:ascii="Segoe UI" w:hAnsi="Segoe UI" w:cs="Segoe UI"/>
          <w:color w:val="576069"/>
        </w:rPr>
        <w:t>No operational team exists beyond the founder. Clinical partnerships remain aspirational. No minimum viable product operates in a demonstration environment.</w:t>
      </w:r>
    </w:p>
    <w:p w14:paraId="1109C55C"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Funding Gap:</w:t>
      </w:r>
      <w:r w:rsidRPr="001A1E5B">
        <w:rPr>
          <w:rStyle w:val="apple-converted-space"/>
          <w:rFonts w:ascii="Segoe UI" w:hAnsi="Segoe UI" w:cs="Segoe UI"/>
          <w:color w:val="576069"/>
        </w:rPr>
        <w:t> </w:t>
      </w:r>
      <w:r w:rsidRPr="001A1E5B">
        <w:rPr>
          <w:rFonts w:ascii="Segoe UI" w:hAnsi="Segoe UI" w:cs="Segoe UI"/>
          <w:color w:val="576069"/>
        </w:rPr>
        <w:t>Strategic plans assume a Series Seed round will materialize, but without intermediate de-risking milestones that would make such investment attractive. Current positioning offers insufficient evidence of the traction, team, and technology-in-use that seed and Series A investors require.</w:t>
      </w:r>
    </w:p>
    <w:p w14:paraId="3EE5255A"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Commercialization Gap:</w:t>
      </w:r>
      <w:r w:rsidRPr="001A1E5B">
        <w:rPr>
          <w:rStyle w:val="apple-converted-space"/>
          <w:rFonts w:ascii="Segoe UI" w:hAnsi="Segoe UI" w:cs="Segoe UI"/>
          <w:color w:val="576069"/>
        </w:rPr>
        <w:t> </w:t>
      </w:r>
      <w:r w:rsidRPr="001A1E5B">
        <w:rPr>
          <w:rFonts w:ascii="Segoe UI" w:hAnsi="Segoe UI" w:cs="Segoe UI"/>
          <w:color w:val="576069"/>
        </w:rPr>
        <w:t>A sophisticated business model exists on paper—value propositions for health systems, payers, patients, and community partners—but lacks validation through pilot contracts, letters of intent, or revenue agreements.</w:t>
      </w:r>
    </w:p>
    <w:p w14:paraId="77D6B9BF"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This state is not unique to IHEP; it represents a predictable phase for deep-tech health ventures. The transition from validated concept to fundable entity requires not additional technical documentation but rather systematic execution of credibility-building, partnership-forming, and traction-generating activities. The Strategic Activation Framework provides the methodology for this transition.</w:t>
      </w:r>
    </w:p>
    <w:p w14:paraId="03A0BC3E" w14:textId="77777777" w:rsidR="001A1E5B" w:rsidRDefault="00216278" w:rsidP="001A1E5B">
      <w:pPr>
        <w:spacing w:before="360" w:after="360"/>
        <w:rPr>
          <w:rFonts w:ascii="Segoe UI" w:hAnsi="Segoe UI" w:cs="Segoe UI"/>
        </w:rPr>
      </w:pPr>
      <w:r>
        <w:rPr>
          <w:noProof/>
        </w:rPr>
        <w:pict w14:anchorId="05B92790">
          <v:rect id="_x0000_i1031" alt="" style="width:431.95pt;height:.05pt;mso-width-percent:0;mso-height-percent:0;mso-width-percent:0;mso-height-percent:0" o:hrpct="923" o:hralign="center" o:hrstd="t" o:hr="t" fillcolor="#a0a0a0" stroked="f"/>
        </w:pict>
      </w:r>
    </w:p>
    <w:p w14:paraId="6BA4FB9B" w14:textId="77777777" w:rsidR="00552022" w:rsidRDefault="00552022">
      <w:pPr>
        <w:rPr>
          <w:rFonts w:ascii="Segoe UI" w:eastAsia="Times New Roman" w:hAnsi="Segoe UI" w:cs="Segoe UI"/>
          <w:b/>
          <w:bCs/>
          <w:color w:val="548DD4" w:themeColor="text2" w:themeTint="99"/>
          <w:sz w:val="32"/>
          <w:szCs w:val="32"/>
        </w:rPr>
      </w:pPr>
      <w:r>
        <w:br w:type="page"/>
      </w:r>
    </w:p>
    <w:p w14:paraId="4862408F" w14:textId="30E8BCEF" w:rsidR="001A1E5B" w:rsidRPr="00096EA0" w:rsidRDefault="001A1E5B" w:rsidP="00096EA0">
      <w:pPr>
        <w:pStyle w:val="Heading1"/>
      </w:pPr>
      <w:r w:rsidRPr="00096EA0">
        <w:t>3. Methodology: Development of the Strategic Activation Framework</w:t>
      </w:r>
    </w:p>
    <w:p w14:paraId="7C5383F7" w14:textId="77777777" w:rsidR="001A1E5B" w:rsidRPr="001A1E5B" w:rsidRDefault="001A1E5B" w:rsidP="00096EA0">
      <w:pPr>
        <w:pStyle w:val="Heading2"/>
      </w:pPr>
      <w:r w:rsidRPr="001A1E5B">
        <w:t>3.1 Framework Development Approach</w:t>
      </w:r>
    </w:p>
    <w:p w14:paraId="2AFA88A7"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The Strategic Activation Framework was developed through synthesis of three evidence streams:</w:t>
      </w:r>
    </w:p>
    <w:p w14:paraId="68593420"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Evidence Stream 1: Digital Health Venture Trajectories</w:t>
      </w:r>
      <w:r w:rsidRPr="001A1E5B">
        <w:rPr>
          <w:rFonts w:ascii="Segoe UI" w:hAnsi="Segoe UI" w:cs="Segoe UI"/>
          <w:color w:val="576069"/>
        </w:rPr>
        <w:br/>
        <w:t>Analysis of documented case studies and venture post-mortems from digital health companies that successfully navigated from concept to Series A, identifying common milestones, sequencing patterns, and critical success factors. This included examination of ventures in chronic disease management, remote patient monitoring, and health equity technology.[15][6]</w:t>
      </w:r>
    </w:p>
    <w:p w14:paraId="41319813"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Evidence Stream 2: Series A Investment Criteria</w:t>
      </w:r>
      <w:r w:rsidRPr="001A1E5B">
        <w:rPr>
          <w:rFonts w:ascii="Segoe UI" w:hAnsi="Segoe UI" w:cs="Segoe UI"/>
          <w:color w:val="576069"/>
        </w:rPr>
        <w:br/>
        <w:t>Review of investor guidance, venture capital research, and practitioner literature articulating the specific evaluation criteria applied at the Series A stage in digital health. Key sources included investor interviews, funding trend analyses, and due diligence frameworks.[13][14][15][6]</w:t>
      </w:r>
    </w:p>
    <w:p w14:paraId="26A3F2B0"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Evidence Stream 3: Regulatory and Operational Constraints</w:t>
      </w:r>
      <w:r w:rsidRPr="001A1E5B">
        <w:rPr>
          <w:rFonts w:ascii="Segoe UI" w:hAnsi="Segoe UI" w:cs="Segoe UI"/>
          <w:color w:val="576069"/>
        </w:rPr>
        <w:br/>
        <w:t>Examination of the specific operational requirements for HIPAA-governed health technology ventures, including IRB processes for clinical research, EHR integration pathways, BAA requirements, and federal grant mechanisms such as NIH SBIR Phase I programs.</w:t>
      </w:r>
    </w:p>
    <w:p w14:paraId="7AA1FEFC" w14:textId="77777777" w:rsidR="001A1E5B" w:rsidRPr="001A1E5B" w:rsidRDefault="001A1E5B" w:rsidP="00096EA0">
      <w:pPr>
        <w:pStyle w:val="Heading2"/>
      </w:pPr>
      <w:r w:rsidRPr="001A1E5B">
        <w:t>3.2 Conceptual Foundation</w:t>
      </w:r>
    </w:p>
    <w:p w14:paraId="33BFFA77"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The framework treats the pre-Series A digital health venture as a complex adaptive system requiring targeted interventions to achieve measurable state changes. This systems perspective draws on implementation science's recognition that successful translation requires addressing multiple interacting domains simultaneously.[10][11]</w:t>
      </w:r>
    </w:p>
    <w:p w14:paraId="66F876E1"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The SAF identifies four critical gaps that must be systematically closed:</w:t>
      </w:r>
    </w:p>
    <w:p w14:paraId="64F572CC" w14:textId="77777777" w:rsidR="001A1E5B" w:rsidRPr="001A1E5B" w:rsidRDefault="001A1E5B" w:rsidP="001A1E5B">
      <w:pPr>
        <w:pStyle w:val="NormalWeb"/>
        <w:numPr>
          <w:ilvl w:val="0"/>
          <w:numId w:val="12"/>
        </w:numPr>
        <w:spacing w:before="240" w:beforeAutospacing="0" w:after="240" w:afterAutospacing="0"/>
        <w:rPr>
          <w:rFonts w:ascii="Segoe UI" w:hAnsi="Segoe UI" w:cs="Segoe UI"/>
          <w:color w:val="576069"/>
        </w:rPr>
      </w:pPr>
      <w:r w:rsidRPr="001A1E5B">
        <w:rPr>
          <w:rStyle w:val="Strong"/>
          <w:rFonts w:ascii="Segoe UI" w:hAnsi="Segoe UI" w:cs="Segoe UI"/>
          <w:color w:val="576069"/>
        </w:rPr>
        <w:t>Credibility Gap → Independent Validation:</w:t>
      </w:r>
      <w:r w:rsidRPr="001A1E5B">
        <w:rPr>
          <w:rStyle w:val="apple-converted-space"/>
          <w:rFonts w:ascii="Segoe UI" w:hAnsi="Segoe UI" w:cs="Segoe UI"/>
          <w:color w:val="576069"/>
        </w:rPr>
        <w:t> </w:t>
      </w:r>
      <w:r w:rsidRPr="001A1E5B">
        <w:rPr>
          <w:rFonts w:ascii="Segoe UI" w:hAnsi="Segoe UI" w:cs="Segoe UI"/>
          <w:color w:val="576069"/>
        </w:rPr>
        <w:t>Converting internal documentation into externally verified technical and clinical proof points.</w:t>
      </w:r>
    </w:p>
    <w:p w14:paraId="3741ECE1" w14:textId="77777777" w:rsidR="001A1E5B" w:rsidRPr="001A1E5B" w:rsidRDefault="001A1E5B" w:rsidP="001A1E5B">
      <w:pPr>
        <w:pStyle w:val="NormalWeb"/>
        <w:numPr>
          <w:ilvl w:val="0"/>
          <w:numId w:val="12"/>
        </w:numPr>
        <w:spacing w:before="240" w:beforeAutospacing="0" w:after="240" w:afterAutospacing="0"/>
        <w:rPr>
          <w:rFonts w:ascii="Segoe UI" w:hAnsi="Segoe UI" w:cs="Segoe UI"/>
          <w:color w:val="576069"/>
        </w:rPr>
      </w:pPr>
      <w:r w:rsidRPr="001A1E5B">
        <w:rPr>
          <w:rStyle w:val="Strong"/>
          <w:rFonts w:ascii="Segoe UI" w:hAnsi="Segoe UI" w:cs="Segoe UI"/>
          <w:color w:val="576069"/>
        </w:rPr>
        <w:t>Execution Gap → Operational Capacity:</w:t>
      </w:r>
      <w:r w:rsidRPr="001A1E5B">
        <w:rPr>
          <w:rStyle w:val="apple-converted-space"/>
          <w:rFonts w:ascii="Segoe UI" w:hAnsi="Segoe UI" w:cs="Segoe UI"/>
          <w:color w:val="576069"/>
        </w:rPr>
        <w:t> </w:t>
      </w:r>
      <w:r w:rsidRPr="001A1E5B">
        <w:rPr>
          <w:rFonts w:ascii="Segoe UI" w:hAnsi="Segoe UI" w:cs="Segoe UI"/>
          <w:color w:val="576069"/>
        </w:rPr>
        <w:t>Assembling minimum viable team and establishing foundational partnerships.</w:t>
      </w:r>
    </w:p>
    <w:p w14:paraId="7729355F" w14:textId="77777777" w:rsidR="001A1E5B" w:rsidRPr="001A1E5B" w:rsidRDefault="001A1E5B" w:rsidP="001A1E5B">
      <w:pPr>
        <w:pStyle w:val="NormalWeb"/>
        <w:numPr>
          <w:ilvl w:val="0"/>
          <w:numId w:val="12"/>
        </w:numPr>
        <w:spacing w:before="240" w:beforeAutospacing="0" w:after="240" w:afterAutospacing="0"/>
        <w:rPr>
          <w:rFonts w:ascii="Segoe UI" w:hAnsi="Segoe UI" w:cs="Segoe UI"/>
          <w:color w:val="576069"/>
        </w:rPr>
      </w:pPr>
      <w:r w:rsidRPr="001A1E5B">
        <w:rPr>
          <w:rStyle w:val="Strong"/>
          <w:rFonts w:ascii="Segoe UI" w:hAnsi="Segoe UI" w:cs="Segoe UI"/>
          <w:color w:val="576069"/>
        </w:rPr>
        <w:t>Funding Gap → Capital Sufficiency:</w:t>
      </w:r>
      <w:r w:rsidRPr="001A1E5B">
        <w:rPr>
          <w:rStyle w:val="apple-converted-space"/>
          <w:rFonts w:ascii="Segoe UI" w:hAnsi="Segoe UI" w:cs="Segoe UI"/>
          <w:color w:val="576069"/>
        </w:rPr>
        <w:t> </w:t>
      </w:r>
      <w:r w:rsidRPr="001A1E5B">
        <w:rPr>
          <w:rFonts w:ascii="Segoe UI" w:hAnsi="Segoe UI" w:cs="Segoe UI"/>
          <w:color w:val="576069"/>
        </w:rPr>
        <w:t>Securing non-dilutive financing and resource commitments that extend runway and reduce risk.</w:t>
      </w:r>
    </w:p>
    <w:p w14:paraId="02F18237" w14:textId="77777777" w:rsidR="001A1E5B" w:rsidRPr="001A1E5B" w:rsidRDefault="001A1E5B" w:rsidP="001A1E5B">
      <w:pPr>
        <w:pStyle w:val="NormalWeb"/>
        <w:numPr>
          <w:ilvl w:val="0"/>
          <w:numId w:val="12"/>
        </w:numPr>
        <w:spacing w:before="240" w:beforeAutospacing="0" w:after="240" w:afterAutospacing="0"/>
        <w:rPr>
          <w:rFonts w:ascii="Segoe UI" w:hAnsi="Segoe UI" w:cs="Segoe UI"/>
          <w:color w:val="576069"/>
        </w:rPr>
      </w:pPr>
      <w:r w:rsidRPr="001A1E5B">
        <w:rPr>
          <w:rStyle w:val="Strong"/>
          <w:rFonts w:ascii="Segoe UI" w:hAnsi="Segoe UI" w:cs="Segoe UI"/>
          <w:color w:val="576069"/>
        </w:rPr>
        <w:t>Commercialization Gap → Market Signal:</w:t>
      </w:r>
      <w:r w:rsidRPr="001A1E5B">
        <w:rPr>
          <w:rStyle w:val="apple-converted-space"/>
          <w:rFonts w:ascii="Segoe UI" w:hAnsi="Segoe UI" w:cs="Segoe UI"/>
          <w:color w:val="576069"/>
        </w:rPr>
        <w:t> </w:t>
      </w:r>
      <w:r w:rsidRPr="001A1E5B">
        <w:rPr>
          <w:rFonts w:ascii="Segoe UI" w:hAnsi="Segoe UI" w:cs="Segoe UI"/>
          <w:color w:val="576069"/>
        </w:rPr>
        <w:t>Generating initial evidence of demand through pilot agreements and revenue contracts.</w:t>
      </w:r>
    </w:p>
    <w:p w14:paraId="75CB897E" w14:textId="77777777" w:rsidR="00586127" w:rsidRDefault="00586127" w:rsidP="00096EA0">
      <w:pPr>
        <w:pStyle w:val="Heading2"/>
      </w:pPr>
    </w:p>
    <w:p w14:paraId="28575F9F" w14:textId="77777777" w:rsidR="00586127" w:rsidRDefault="00586127" w:rsidP="00096EA0">
      <w:pPr>
        <w:pStyle w:val="Heading2"/>
      </w:pPr>
    </w:p>
    <w:p w14:paraId="061D1F79" w14:textId="1C66A1BC" w:rsidR="001A1E5B" w:rsidRPr="001A1E5B" w:rsidRDefault="001A1E5B" w:rsidP="00096EA0">
      <w:pPr>
        <w:pStyle w:val="Heading2"/>
      </w:pPr>
      <w:r w:rsidRPr="001A1E5B">
        <w:t>3.3 Phase-Gated Architecture</w:t>
      </w:r>
    </w:p>
    <w:p w14:paraId="264D0DDF"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The framework employs a two-phase, sequential structure:</w:t>
      </w:r>
    </w:p>
    <w:p w14:paraId="7519F53A" w14:textId="77777777" w:rsidR="001A1E5B" w:rsidRPr="001A1E5B" w:rsidRDefault="001A1E5B" w:rsidP="001A1E5B">
      <w:pPr>
        <w:pStyle w:val="NormalWeb"/>
        <w:spacing w:before="0" w:beforeAutospacing="0" w:after="240" w:afterAutospacing="0"/>
        <w:rPr>
          <w:rFonts w:ascii="Segoe UI" w:hAnsi="Segoe UI" w:cs="Segoe UI"/>
          <w:color w:val="576069"/>
        </w:rPr>
      </w:pPr>
      <w:r w:rsidRPr="00B90CD0">
        <w:rPr>
          <w:rStyle w:val="Heading3Char"/>
        </w:rPr>
        <w:t>Phase 1 (90-Day Credibility Sprint): </w:t>
      </w:r>
      <w:r w:rsidRPr="001A1E5B">
        <w:rPr>
          <w:rFonts w:ascii="Segoe UI" w:hAnsi="Segoe UI" w:cs="Segoe UI"/>
          <w:color w:val="576069"/>
        </w:rPr>
        <w:t>Intensive focus on transforming the venture from documented concept to credible operating entity with demonstrable momentum. This phase prioritizes rapid execution of high-impact, foundational activities that collectively signal serious intent and capability to potential investors and partners.</w:t>
      </w:r>
    </w:p>
    <w:p w14:paraId="7FE1A6BB" w14:textId="77777777" w:rsidR="001A1E5B" w:rsidRPr="001A1E5B" w:rsidRDefault="001A1E5B" w:rsidP="001A1E5B">
      <w:pPr>
        <w:pStyle w:val="NormalWeb"/>
        <w:spacing w:before="0" w:beforeAutospacing="0" w:after="240" w:afterAutospacing="0"/>
        <w:rPr>
          <w:rFonts w:ascii="Segoe UI" w:hAnsi="Segoe UI" w:cs="Segoe UI"/>
          <w:color w:val="576069"/>
        </w:rPr>
      </w:pPr>
      <w:r w:rsidRPr="00B90CD0">
        <w:rPr>
          <w:rStyle w:val="Heading3Char"/>
        </w:rPr>
        <w:t>Phase 2 (Months 4–9, Series A Launchpad):</w:t>
      </w:r>
      <w:r w:rsidRPr="001A1E5B">
        <w:rPr>
          <w:rStyle w:val="apple-converted-space"/>
          <w:rFonts w:ascii="Segoe UI" w:hAnsi="Segoe UI" w:cs="Segoe UI"/>
          <w:color w:val="576069"/>
        </w:rPr>
        <w:t> </w:t>
      </w:r>
      <w:r w:rsidRPr="001A1E5B">
        <w:rPr>
          <w:rFonts w:ascii="Segoe UI" w:hAnsi="Segoe UI" w:cs="Segoe UI"/>
          <w:color w:val="576069"/>
        </w:rPr>
        <w:t>Transition to traction generation, focusing on activities that produce the specific evidence Series A investors require: early clinical data from pilot studies, first revenue contracts, formalized EHR integration pathways, and warm relationships with target investors.</w:t>
      </w:r>
    </w:p>
    <w:p w14:paraId="0EC64D19"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This sequential structure reflects venture capital investment logic: Phase 1 activities de-risk the venture to a level where clinical pilots and early commercial agreements become achievable, while Phase 2 activities generate the traction metrics that justify Series A valuation and investment.</w:t>
      </w:r>
    </w:p>
    <w:p w14:paraId="6888609E" w14:textId="77777777" w:rsidR="001A1E5B" w:rsidRDefault="00216278" w:rsidP="001A1E5B">
      <w:pPr>
        <w:spacing w:before="360" w:after="360"/>
        <w:rPr>
          <w:rFonts w:ascii="Segoe UI" w:hAnsi="Segoe UI" w:cs="Segoe UI"/>
        </w:rPr>
      </w:pPr>
      <w:r>
        <w:rPr>
          <w:noProof/>
        </w:rPr>
        <w:pict w14:anchorId="14B3B72D">
          <v:rect id="_x0000_i1030" alt="" style="width:431.95pt;height:.05pt;mso-width-percent:0;mso-height-percent:0;mso-width-percent:0;mso-height-percent:0" o:hrpct="923" o:hralign="center" o:hrstd="t" o:hr="t" fillcolor="#a0a0a0" stroked="f"/>
        </w:pict>
      </w:r>
    </w:p>
    <w:p w14:paraId="7CF3D2BE" w14:textId="77777777" w:rsidR="00552022" w:rsidRDefault="00552022">
      <w:pPr>
        <w:rPr>
          <w:rFonts w:ascii="Segoe UI" w:eastAsia="Times New Roman" w:hAnsi="Segoe UI" w:cs="Segoe UI"/>
          <w:b/>
          <w:bCs/>
          <w:color w:val="548DD4" w:themeColor="text2" w:themeTint="99"/>
          <w:sz w:val="32"/>
          <w:szCs w:val="32"/>
        </w:rPr>
      </w:pPr>
      <w:r>
        <w:br w:type="page"/>
      </w:r>
    </w:p>
    <w:p w14:paraId="52EF7180" w14:textId="01ED0560" w:rsidR="001A1E5B" w:rsidRPr="00096EA0" w:rsidRDefault="001A1E5B" w:rsidP="00096EA0">
      <w:pPr>
        <w:pStyle w:val="Heading1"/>
      </w:pPr>
      <w:r w:rsidRPr="00096EA0">
        <w:t>4. The Strategic Activation Framework</w:t>
      </w:r>
    </w:p>
    <w:p w14:paraId="46E22F1D" w14:textId="77777777" w:rsidR="001A1E5B" w:rsidRPr="001A1E5B" w:rsidRDefault="001A1E5B" w:rsidP="00096EA0">
      <w:pPr>
        <w:pStyle w:val="Heading2"/>
      </w:pPr>
      <w:r w:rsidRPr="001A1E5B">
        <w:t>4.1 Phase 1: The 90-Day Credibility Sprint</w:t>
      </w:r>
    </w:p>
    <w:p w14:paraId="6E364FC9"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Objective:</w:t>
      </w:r>
      <w:r w:rsidRPr="001A1E5B">
        <w:rPr>
          <w:rStyle w:val="apple-converted-space"/>
          <w:rFonts w:ascii="Segoe UI" w:hAnsi="Segoe UI" w:cs="Segoe UI"/>
          <w:color w:val="576069"/>
        </w:rPr>
        <w:t> </w:t>
      </w:r>
      <w:r w:rsidRPr="001A1E5B">
        <w:rPr>
          <w:rFonts w:ascii="Segoe UI" w:hAnsi="Segoe UI" w:cs="Segoe UI"/>
          <w:color w:val="576069"/>
        </w:rPr>
        <w:t>Transform IHEP from a documented concept into a credible, operating entity with demonstrable momentum and reduced risk profile.</w:t>
      </w:r>
    </w:p>
    <w:p w14:paraId="349FD392" w14:textId="77777777" w:rsidR="001A1E5B" w:rsidRPr="001A1E5B" w:rsidRDefault="001A1E5B" w:rsidP="001A1E5B">
      <w:pPr>
        <w:pStyle w:val="Heading4"/>
        <w:spacing w:before="360" w:after="240"/>
        <w:rPr>
          <w:rFonts w:ascii="Segoe UI" w:hAnsi="Segoe UI" w:cs="Segoe UI"/>
          <w:color w:val="576069"/>
        </w:rPr>
      </w:pPr>
      <w:r w:rsidRPr="001A1E5B">
        <w:rPr>
          <w:rFonts w:ascii="Segoe UI" w:hAnsi="Segoe UI" w:cs="Segoe UI"/>
          <w:color w:val="576069"/>
        </w:rPr>
        <w:t>Intervention 1: Fortify Technological and Clinical Narrative</w:t>
      </w:r>
    </w:p>
    <w:p w14:paraId="72846420"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Action 1.1 – Independent Technical Validation</w:t>
      </w:r>
    </w:p>
    <w:p w14:paraId="5C020287"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Partner with an accredited engineering laboratory or university research center (e.g., University of Miami Department of Electrical and Computer Engineering, Georgia Tech Healthcare Robotics Lab) to reproduce a critical technical benchmark from IHEP's feasibility analysis. Specifically, validate that the ASUS NUC 15 Pro+ edge hardware configuration can perform local inference using a quantized 70B-parameter clinical language model while maintaining acceptable latency and power consumption parameters.</w:t>
      </w:r>
    </w:p>
    <w:p w14:paraId="5427EC41"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Rationale:</w:t>
      </w:r>
      <w:r w:rsidRPr="001A1E5B">
        <w:rPr>
          <w:rStyle w:val="apple-converted-space"/>
          <w:rFonts w:ascii="Segoe UI" w:hAnsi="Segoe UI" w:cs="Segoe UI"/>
          <w:color w:val="576069"/>
        </w:rPr>
        <w:t> </w:t>
      </w:r>
      <w:r w:rsidRPr="001A1E5B">
        <w:rPr>
          <w:rFonts w:ascii="Segoe UI" w:hAnsi="Segoe UI" w:cs="Segoe UI"/>
          <w:color w:val="576069"/>
        </w:rPr>
        <w:t>Investor due diligence increasingly demands third-party technical validation, particularly for deep-tech ventures making novel architectural claims. Independent verification converts "we claim this works" into "a credible institution confirmed this works."</w:t>
      </w:r>
    </w:p>
    <w:p w14:paraId="1A9F5315"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Deliverable:</w:t>
      </w:r>
      <w:r w:rsidRPr="001A1E5B">
        <w:rPr>
          <w:rStyle w:val="apple-converted-space"/>
          <w:rFonts w:ascii="Segoe UI" w:hAnsi="Segoe UI" w:cs="Segoe UI"/>
          <w:color w:val="576069"/>
        </w:rPr>
        <w:t> </w:t>
      </w:r>
      <w:r w:rsidRPr="001A1E5B">
        <w:rPr>
          <w:rFonts w:ascii="Segoe UI" w:hAnsi="Segoe UI" w:cs="Segoe UI"/>
          <w:color w:val="576069"/>
        </w:rPr>
        <w:t>Public-facing "Independent Technical Validation Brief" co-authored with university partner, suitable for inclusion in investor data rooms and partnership discussions.</w:t>
      </w:r>
    </w:p>
    <w:p w14:paraId="6D42FB75"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Action 1.2 – Clinical Beacon Partnership</w:t>
      </w:r>
    </w:p>
    <w:p w14:paraId="3DB5A580"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Secure a single flagship academic medical center partnership targeting HIV aftercare as the initial indication. Priority targets include Jackson Memorial Hospital HIV/AIDS Program (Miami), Grady Health System Infectious Disease Program (Atlanta), or equivalent institutions with established HIV clinics serving populations likely to benefit from IHEP's equity-focused design.</w:t>
      </w:r>
    </w:p>
    <w:p w14:paraId="7C9AEBD9"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Co-develop a 50-patient feasibility study protocol and obtain IRB approval. The protocol should employ a pragmatic design suitable for SBIR Phase I execution, focusing on measurable outcomes such as medication adherence rates, engagement metrics (digital twin interactions per week), and patient-reported experience measures.</w:t>
      </w:r>
    </w:p>
    <w:p w14:paraId="5E56E78E"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Rationale:</w:t>
      </w:r>
      <w:r w:rsidRPr="001A1E5B">
        <w:rPr>
          <w:rStyle w:val="apple-converted-space"/>
          <w:rFonts w:ascii="Segoe UI" w:hAnsi="Segoe UI" w:cs="Segoe UI"/>
          <w:color w:val="576069"/>
        </w:rPr>
        <w:t> </w:t>
      </w:r>
      <w:r w:rsidRPr="001A1E5B">
        <w:rPr>
          <w:rFonts w:ascii="Segoe UI" w:hAnsi="Segoe UI" w:cs="Segoe UI"/>
          <w:color w:val="576069"/>
        </w:rPr>
        <w:t>Clinical partnerships signal that healthcare providers view the technology as credible and worth investigating. IRB approval demonstrates that the research approach meets ethical and scientific standards. Together, these mitigate investor concerns about clinical acceptability and regulatory risk.</w:t>
      </w:r>
    </w:p>
    <w:p w14:paraId="46FE18DD"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Deliverable:</w:t>
      </w:r>
      <w:r w:rsidRPr="001A1E5B">
        <w:rPr>
          <w:rStyle w:val="apple-converted-space"/>
          <w:rFonts w:ascii="Segoe UI" w:hAnsi="Segoe UI" w:cs="Segoe UI"/>
          <w:color w:val="576069"/>
        </w:rPr>
        <w:t> </w:t>
      </w:r>
      <w:r w:rsidRPr="001A1E5B">
        <w:rPr>
          <w:rFonts w:ascii="Segoe UI" w:hAnsi="Segoe UI" w:cs="Segoe UI"/>
          <w:color w:val="576069"/>
        </w:rPr>
        <w:t>Executed Letter of Intent (LOI) with academic medical center; IRB approval notice.</w:t>
      </w:r>
    </w:p>
    <w:p w14:paraId="1D0CADCE" w14:textId="77777777" w:rsidR="001A1E5B" w:rsidRPr="001A1E5B" w:rsidRDefault="001A1E5B" w:rsidP="001A1E5B">
      <w:pPr>
        <w:pStyle w:val="Heading4"/>
        <w:spacing w:before="360" w:after="240"/>
        <w:rPr>
          <w:rFonts w:ascii="Segoe UI" w:hAnsi="Segoe UI" w:cs="Segoe UI"/>
          <w:color w:val="576069"/>
        </w:rPr>
      </w:pPr>
      <w:r w:rsidRPr="001A1E5B">
        <w:rPr>
          <w:rFonts w:ascii="Segoe UI" w:hAnsi="Segoe UI" w:cs="Segoe UI"/>
          <w:color w:val="576069"/>
        </w:rPr>
        <w:t>Intervention 2: Execute Strategic Non-Dilutive Financing</w:t>
      </w:r>
    </w:p>
    <w:p w14:paraId="0A74714F"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Action 2.1 – SBIR Phase I Grant Submission</w:t>
      </w:r>
    </w:p>
    <w:p w14:paraId="302BA364"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Prepare and submit at least one NIH Small Business Innovation Research (SBIR) Phase I (R43) grant application targeting a tightly scoped, evaluable research question. Recommended focus: "Efficacy of Federated Learning for HIV Medication Adherence Prediction: A Multi-Site Edge Computing Feasibility Study."</w:t>
      </w:r>
    </w:p>
    <w:p w14:paraId="1527F5F1"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The application should propose a 12-month, $250,000–$300,000 project with three specific aims: (1) deploy IHEP edge architecture at 2–3 clinic sites, (2) train and validate federated adherence prediction models, (3) compare prediction accuracy and privacy preservation versus centralized alternatives.</w:t>
      </w:r>
    </w:p>
    <w:p w14:paraId="3912E462"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Rationale:</w:t>
      </w:r>
      <w:r w:rsidRPr="001A1E5B">
        <w:rPr>
          <w:rStyle w:val="apple-converted-space"/>
          <w:rFonts w:ascii="Segoe UI" w:hAnsi="Segoe UI" w:cs="Segoe UI"/>
          <w:color w:val="576069"/>
        </w:rPr>
        <w:t> </w:t>
      </w:r>
      <w:r w:rsidRPr="001A1E5B">
        <w:rPr>
          <w:rFonts w:ascii="Segoe UI" w:hAnsi="Segoe UI" w:cs="Segoe UI"/>
          <w:color w:val="576069"/>
        </w:rPr>
        <w:t>NIH SBIR Phase I grants provide non-dilutive capital specifically designed for technology feasibility validation. Success rates for well-prepared applications from teams with strong preliminary data and clinical partnerships are substantially higher than cold submissions. The funding provides 12-month runway extension and federal validation of the concept's scientific merit.</w:t>
      </w:r>
    </w:p>
    <w:p w14:paraId="24D06888"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Deliverable:</w:t>
      </w:r>
      <w:r w:rsidRPr="001A1E5B">
        <w:rPr>
          <w:rStyle w:val="apple-converted-space"/>
          <w:rFonts w:ascii="Segoe UI" w:hAnsi="Segoe UI" w:cs="Segoe UI"/>
          <w:color w:val="576069"/>
        </w:rPr>
        <w:t> </w:t>
      </w:r>
      <w:r w:rsidRPr="001A1E5B">
        <w:rPr>
          <w:rFonts w:ascii="Segoe UI" w:hAnsi="Segoe UI" w:cs="Segoe UI"/>
          <w:color w:val="576069"/>
        </w:rPr>
        <w:t>Submitted grant application with confirmation of receipt; target award notification within 6–9 months.</w:t>
      </w:r>
    </w:p>
    <w:p w14:paraId="6A46F695"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Action 2.2 – Strategic Cloud Partnership</w:t>
      </w:r>
    </w:p>
    <w:p w14:paraId="3F6E8F6A"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Apply for admission to Google Cloud for Startups, AWS Activate, or Microsoft for Startups programs targeting healthcare AI ventures. These programs offer substantial infrastructure credits ($100,000–$250,000 range) and technical support for qualifying startups.</w:t>
      </w:r>
    </w:p>
    <w:p w14:paraId="0F80B4D2"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Application materials should emphasize IHEP's AI/ML infrastructure requirements, HIPAA compliance design, and potential for edge-cloud hybrid architecture. Engage the vendor's healthcare solutions team for architectural review, positioning this as a potential showcase case for edge-enabled federated learning in healthcare.</w:t>
      </w:r>
    </w:p>
    <w:p w14:paraId="57A59190"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Rationale:</w:t>
      </w:r>
      <w:r w:rsidRPr="001A1E5B">
        <w:rPr>
          <w:rStyle w:val="apple-converted-space"/>
          <w:rFonts w:ascii="Segoe UI" w:hAnsi="Segoe UI" w:cs="Segoe UI"/>
          <w:color w:val="576069"/>
        </w:rPr>
        <w:t> </w:t>
      </w:r>
      <w:r w:rsidRPr="001A1E5B">
        <w:rPr>
          <w:rFonts w:ascii="Segoe UI" w:hAnsi="Segoe UI" w:cs="Segoe UI"/>
          <w:color w:val="576069"/>
        </w:rPr>
        <w:t>Cloud credits provide tangible operational runway extension while signaling ecosystem endorsement. Major cloud vendors actively seek healthcare AI reference customers, creating alignment of interests.</w:t>
      </w:r>
    </w:p>
    <w:p w14:paraId="05CE20C6"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Deliverable:</w:t>
      </w:r>
      <w:r w:rsidRPr="001A1E5B">
        <w:rPr>
          <w:rStyle w:val="apple-converted-space"/>
          <w:rFonts w:ascii="Segoe UI" w:hAnsi="Segoe UI" w:cs="Segoe UI"/>
          <w:color w:val="576069"/>
        </w:rPr>
        <w:t> </w:t>
      </w:r>
      <w:r w:rsidRPr="001A1E5B">
        <w:rPr>
          <w:rFonts w:ascii="Segoe UI" w:hAnsi="Segoe UI" w:cs="Segoe UI"/>
          <w:color w:val="576069"/>
        </w:rPr>
        <w:t>Partnership announcement; credit agreement; architectural review report.</w:t>
      </w:r>
    </w:p>
    <w:p w14:paraId="4FCC0F24" w14:textId="77777777" w:rsidR="001A1E5B" w:rsidRPr="001A1E5B" w:rsidRDefault="001A1E5B" w:rsidP="001A1E5B">
      <w:pPr>
        <w:pStyle w:val="Heading4"/>
        <w:spacing w:before="360" w:after="240"/>
        <w:rPr>
          <w:rFonts w:ascii="Segoe UI" w:hAnsi="Segoe UI" w:cs="Segoe UI"/>
          <w:color w:val="576069"/>
        </w:rPr>
      </w:pPr>
      <w:r w:rsidRPr="001A1E5B">
        <w:rPr>
          <w:rFonts w:ascii="Segoe UI" w:hAnsi="Segoe UI" w:cs="Segoe UI"/>
          <w:color w:val="576069"/>
        </w:rPr>
        <w:t>Intervention 3: Assemble Core Launch Team</w:t>
      </w:r>
    </w:p>
    <w:p w14:paraId="626DAF4B"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Action 3.1 – Hire Fractional Key Executives</w:t>
      </w:r>
    </w:p>
    <w:p w14:paraId="24EABA92"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Recruit two mission-critical, part-time leaders on equity-heavy compensation structures:</w:t>
      </w:r>
    </w:p>
    <w:p w14:paraId="5C044336" w14:textId="77777777" w:rsidR="001A1E5B" w:rsidRPr="001A1E5B" w:rsidRDefault="001A1E5B" w:rsidP="001A1E5B">
      <w:pPr>
        <w:pStyle w:val="NormalWeb"/>
        <w:numPr>
          <w:ilvl w:val="0"/>
          <w:numId w:val="13"/>
        </w:numPr>
        <w:spacing w:before="240" w:beforeAutospacing="0" w:after="240" w:afterAutospacing="0"/>
        <w:rPr>
          <w:rFonts w:ascii="Segoe UI" w:hAnsi="Segoe UI" w:cs="Segoe UI"/>
          <w:color w:val="576069"/>
        </w:rPr>
      </w:pPr>
      <w:r w:rsidRPr="001A1E5B">
        <w:rPr>
          <w:rStyle w:val="Strong"/>
          <w:rFonts w:ascii="Segoe UI" w:hAnsi="Segoe UI" w:cs="Segoe UI"/>
          <w:color w:val="576069"/>
        </w:rPr>
        <w:t>Fractional Chief Medical Officer (CMO):</w:t>
      </w:r>
      <w:r w:rsidRPr="001A1E5B">
        <w:rPr>
          <w:rStyle w:val="apple-converted-space"/>
          <w:rFonts w:ascii="Segoe UI" w:hAnsi="Segoe UI" w:cs="Segoe UI"/>
          <w:color w:val="576069"/>
        </w:rPr>
        <w:t> </w:t>
      </w:r>
      <w:r w:rsidRPr="001A1E5B">
        <w:rPr>
          <w:rFonts w:ascii="Segoe UI" w:hAnsi="Segoe UI" w:cs="Segoe UI"/>
          <w:color w:val="576069"/>
        </w:rPr>
        <w:t>A practicing HIV/Infectious Disease clinician with digital health research experience. Ideal candidate profile: faculty position at target clinical partner institution, prior involvement in at least one digital health pilot or trial, publication record in HIV care or health equity. Time commitment: 10–15 hours per week.</w:t>
      </w:r>
    </w:p>
    <w:p w14:paraId="2A935618" w14:textId="77777777" w:rsidR="001A1E5B" w:rsidRPr="001A1E5B" w:rsidRDefault="001A1E5B" w:rsidP="001A1E5B">
      <w:pPr>
        <w:pStyle w:val="NormalWeb"/>
        <w:numPr>
          <w:ilvl w:val="0"/>
          <w:numId w:val="13"/>
        </w:numPr>
        <w:spacing w:before="240" w:beforeAutospacing="0" w:after="240" w:afterAutospacing="0"/>
        <w:rPr>
          <w:rFonts w:ascii="Segoe UI" w:hAnsi="Segoe UI" w:cs="Segoe UI"/>
          <w:color w:val="576069"/>
        </w:rPr>
      </w:pPr>
      <w:r w:rsidRPr="001A1E5B">
        <w:rPr>
          <w:rStyle w:val="Strong"/>
          <w:rFonts w:ascii="Segoe UI" w:hAnsi="Segoe UI" w:cs="Segoe UI"/>
          <w:color w:val="576069"/>
        </w:rPr>
        <w:t>Founding Engineer/CTO:</w:t>
      </w:r>
      <w:r w:rsidRPr="001A1E5B">
        <w:rPr>
          <w:rStyle w:val="apple-converted-space"/>
          <w:rFonts w:ascii="Segoe UI" w:hAnsi="Segoe UI" w:cs="Segoe UI"/>
          <w:color w:val="576069"/>
        </w:rPr>
        <w:t> </w:t>
      </w:r>
      <w:r w:rsidRPr="001A1E5B">
        <w:rPr>
          <w:rFonts w:ascii="Segoe UI" w:hAnsi="Segoe UI" w:cs="Segoe UI"/>
          <w:color w:val="576069"/>
        </w:rPr>
        <w:t>An engineer with proven expertise in FHIR, HIPAA-compliant system architecture, and edge AI deployment. Ideal candidate profile: prior experience building healthcare applications that achieved production deployment, familiarity with HL7/FHIR standards, proficiency in federated learning frameworks. Time commitment: 20–30 hours per week initially, scaling to full-time upon funding.</w:t>
      </w:r>
    </w:p>
    <w:p w14:paraId="715AAAA3"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Rationale:</w:t>
      </w:r>
      <w:r w:rsidRPr="001A1E5B">
        <w:rPr>
          <w:rStyle w:val="apple-converted-space"/>
          <w:rFonts w:ascii="Segoe UI" w:hAnsi="Segoe UI" w:cs="Segoe UI"/>
          <w:color w:val="576069"/>
        </w:rPr>
        <w:t> </w:t>
      </w:r>
      <w:r w:rsidRPr="001A1E5B">
        <w:rPr>
          <w:rFonts w:ascii="Segoe UI" w:hAnsi="Segoe UI" w:cs="Segoe UI"/>
          <w:color w:val="576069"/>
        </w:rPr>
        <w:t>Investors consistently cite "team" as the most important evaluation criterion, particularly at early stages. A solo technical founder lacks credibility for healthcare execution. Adding a credible CMO and technical co-founder closes critical gaps in clinical validity and engineering execution capacity.[14][15]</w:t>
      </w:r>
    </w:p>
    <w:p w14:paraId="3E5119D7"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Deliverable:</w:t>
      </w:r>
      <w:r w:rsidRPr="001A1E5B">
        <w:rPr>
          <w:rStyle w:val="apple-converted-space"/>
          <w:rFonts w:ascii="Segoe UI" w:hAnsi="Segoe UI" w:cs="Segoe UI"/>
          <w:color w:val="576069"/>
        </w:rPr>
        <w:t> </w:t>
      </w:r>
      <w:r w:rsidRPr="001A1E5B">
        <w:rPr>
          <w:rFonts w:ascii="Segoe UI" w:hAnsi="Segoe UI" w:cs="Segoe UI"/>
          <w:color w:val="576069"/>
        </w:rPr>
        <w:t>Executed consulting agreements with equity provisions; public announcement of team additions.</w:t>
      </w:r>
    </w:p>
    <w:p w14:paraId="485912DD"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Action 3.2 – Constitute Advisory Boards</w:t>
      </w:r>
    </w:p>
    <w:p w14:paraId="1C35863F"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Formally launch two advisory structures:</w:t>
      </w:r>
    </w:p>
    <w:p w14:paraId="4C6BF02F" w14:textId="77777777" w:rsidR="001A1E5B" w:rsidRPr="001A1E5B" w:rsidRDefault="001A1E5B" w:rsidP="001A1E5B">
      <w:pPr>
        <w:pStyle w:val="NormalWeb"/>
        <w:numPr>
          <w:ilvl w:val="0"/>
          <w:numId w:val="14"/>
        </w:numPr>
        <w:spacing w:before="240" w:beforeAutospacing="0" w:after="240" w:afterAutospacing="0"/>
        <w:rPr>
          <w:rFonts w:ascii="Segoe UI" w:hAnsi="Segoe UI" w:cs="Segoe UI"/>
          <w:color w:val="576069"/>
        </w:rPr>
      </w:pPr>
      <w:r w:rsidRPr="001A1E5B">
        <w:rPr>
          <w:rStyle w:val="Strong"/>
          <w:rFonts w:ascii="Segoe UI" w:hAnsi="Segoe UI" w:cs="Segoe UI"/>
          <w:color w:val="576069"/>
        </w:rPr>
        <w:t>Community Advisory Board (CAB):</w:t>
      </w:r>
      <w:r w:rsidRPr="001A1E5B">
        <w:rPr>
          <w:rStyle w:val="apple-converted-space"/>
          <w:rFonts w:ascii="Segoe UI" w:hAnsi="Segoe UI" w:cs="Segoe UI"/>
          <w:color w:val="576069"/>
        </w:rPr>
        <w:t> </w:t>
      </w:r>
      <w:r w:rsidRPr="001A1E5B">
        <w:rPr>
          <w:rFonts w:ascii="Segoe UI" w:hAnsi="Segoe UI" w:cs="Segoe UI"/>
          <w:color w:val="576069"/>
        </w:rPr>
        <w:t>3–4 members representing lived experience with HIV and chronic disease management, particularly from communities experiencing health disparities. The CAB provides guidance on patient-centered design, cultural appropriateness, and trust-building with target communities.</w:t>
      </w:r>
    </w:p>
    <w:p w14:paraId="63EA17FC" w14:textId="77777777" w:rsidR="001A1E5B" w:rsidRPr="001A1E5B" w:rsidRDefault="001A1E5B" w:rsidP="001A1E5B">
      <w:pPr>
        <w:pStyle w:val="NormalWeb"/>
        <w:numPr>
          <w:ilvl w:val="0"/>
          <w:numId w:val="14"/>
        </w:numPr>
        <w:spacing w:before="240" w:beforeAutospacing="0" w:after="240" w:afterAutospacing="0"/>
        <w:rPr>
          <w:rFonts w:ascii="Segoe UI" w:hAnsi="Segoe UI" w:cs="Segoe UI"/>
          <w:color w:val="576069"/>
        </w:rPr>
      </w:pPr>
      <w:r w:rsidRPr="001A1E5B">
        <w:rPr>
          <w:rStyle w:val="Strong"/>
          <w:rFonts w:ascii="Segoe UI" w:hAnsi="Segoe UI" w:cs="Segoe UI"/>
          <w:color w:val="576069"/>
        </w:rPr>
        <w:t>Scientific Advisory Committee (SAC):</w:t>
      </w:r>
      <w:r w:rsidRPr="001A1E5B">
        <w:rPr>
          <w:rStyle w:val="apple-converted-space"/>
          <w:rFonts w:ascii="Segoe UI" w:hAnsi="Segoe UI" w:cs="Segoe UI"/>
          <w:color w:val="576069"/>
        </w:rPr>
        <w:t> </w:t>
      </w:r>
      <w:r w:rsidRPr="001A1E5B">
        <w:rPr>
          <w:rFonts w:ascii="Segoe UI" w:hAnsi="Segoe UI" w:cs="Segoe UI"/>
          <w:color w:val="576069"/>
        </w:rPr>
        <w:t>2–3 clinician-researchers with expertise in HIV care, digital health implementation, or health equity research. The SAC guides protocol design, regulatory strategy, and publication planning.</w:t>
      </w:r>
    </w:p>
    <w:p w14:paraId="26A70161"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Rationale:</w:t>
      </w:r>
      <w:r w:rsidRPr="001A1E5B">
        <w:rPr>
          <w:rStyle w:val="apple-converted-space"/>
          <w:rFonts w:ascii="Segoe UI" w:hAnsi="Segoe UI" w:cs="Segoe UI"/>
          <w:color w:val="576069"/>
        </w:rPr>
        <w:t> </w:t>
      </w:r>
      <w:r w:rsidRPr="001A1E5B">
        <w:rPr>
          <w:rFonts w:ascii="Segoe UI" w:hAnsi="Segoe UI" w:cs="Segoe UI"/>
          <w:color w:val="576069"/>
        </w:rPr>
        <w:t>CAB signals commitment to equity-focused design and community partnership—increasingly important for health equity technology ventures. SAC provides scientific credibility and access to clinical networks.[11][12]</w:t>
      </w:r>
    </w:p>
    <w:p w14:paraId="6FECB01D"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Deliverable:</w:t>
      </w:r>
      <w:r w:rsidRPr="001A1E5B">
        <w:rPr>
          <w:rStyle w:val="apple-converted-space"/>
          <w:rFonts w:ascii="Segoe UI" w:hAnsi="Segoe UI" w:cs="Segoe UI"/>
          <w:color w:val="576069"/>
        </w:rPr>
        <w:t> </w:t>
      </w:r>
      <w:r w:rsidRPr="001A1E5B">
        <w:rPr>
          <w:rFonts w:ascii="Segoe UI" w:hAnsi="Segoe UI" w:cs="Segoe UI"/>
          <w:color w:val="576069"/>
        </w:rPr>
        <w:t>Published CAB charter and member list; SAC terms of reference.</w:t>
      </w:r>
    </w:p>
    <w:p w14:paraId="662D4C7B" w14:textId="77777777" w:rsidR="001A1E5B" w:rsidRPr="001A1E5B" w:rsidRDefault="001A1E5B" w:rsidP="001A1E5B">
      <w:pPr>
        <w:pStyle w:val="Heading4"/>
        <w:spacing w:before="360" w:after="240"/>
        <w:rPr>
          <w:rFonts w:ascii="Segoe UI" w:hAnsi="Segoe UI" w:cs="Segoe UI"/>
          <w:color w:val="576069"/>
        </w:rPr>
      </w:pPr>
      <w:r w:rsidRPr="001A1E5B">
        <w:rPr>
          <w:rFonts w:ascii="Segoe UI" w:hAnsi="Segoe UI" w:cs="Segoe UI"/>
          <w:color w:val="576069"/>
        </w:rPr>
        <w:t>Intervention 4: Materialize Tangible Product Assets</w:t>
      </w:r>
    </w:p>
    <w:p w14:paraId="72DC05F0"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Action 4.1 – Develop Interactive Demo Environment</w:t>
      </w:r>
    </w:p>
    <w:p w14:paraId="7DDCC0AB"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Build a secure, dummy-data instance of the IHEP Digital Twin Dashboard using Three.js for immersive 3D visualization. The demo should showcase one complete patient journey: initial enrollment, baseline health assessment, personalized care plan generation, daily check-ins with adaptive nudges, medication adherence tracking, and 30-day progress visualization across all four twins (clinical, behavioral, social, financial).</w:t>
      </w:r>
    </w:p>
    <w:p w14:paraId="18D86353"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Deploy the demo to a password-protected cloud environment accessible to potential investors, partners, and advisors. The demo must run on standard web browsers without special software installation.</w:t>
      </w:r>
    </w:p>
    <w:p w14:paraId="40671CBA"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Rationale:</w:t>
      </w:r>
      <w:r w:rsidRPr="001A1E5B">
        <w:rPr>
          <w:rStyle w:val="apple-converted-space"/>
          <w:rFonts w:ascii="Segoe UI" w:hAnsi="Segoe UI" w:cs="Segoe UI"/>
          <w:color w:val="576069"/>
        </w:rPr>
        <w:t> </w:t>
      </w:r>
      <w:r w:rsidRPr="001A1E5B">
        <w:rPr>
          <w:rFonts w:ascii="Segoe UI" w:hAnsi="Segoe UI" w:cs="Segoe UI"/>
          <w:color w:val="576069"/>
        </w:rPr>
        <w:t>Investors and clinical partners struggle to evaluate written descriptions of complex digital health platforms. An interactive demo transforms "here's how we say it would work" into "here's how it actually works"—a critical perceptual shift. The demo becomes the centerpiece of partnership discussions and investor meetings.</w:t>
      </w:r>
    </w:p>
    <w:p w14:paraId="4EC5E08A"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Deliverable:</w:t>
      </w:r>
      <w:r w:rsidRPr="001A1E5B">
        <w:rPr>
          <w:rStyle w:val="apple-converted-space"/>
          <w:rFonts w:ascii="Segoe UI" w:hAnsi="Segoe UI" w:cs="Segoe UI"/>
          <w:color w:val="576069"/>
        </w:rPr>
        <w:t> </w:t>
      </w:r>
      <w:r w:rsidRPr="001A1E5B">
        <w:rPr>
          <w:rFonts w:ascii="Segoe UI" w:hAnsi="Segoe UI" w:cs="Segoe UI"/>
          <w:color w:val="576069"/>
        </w:rPr>
        <w:t>Live demo URL; 7-minute walkthrough video.</w:t>
      </w:r>
    </w:p>
    <w:p w14:paraId="1843E73A"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Action 4.2 – Create Targeted Value Proposition Collateral</w:t>
      </w:r>
    </w:p>
    <w:p w14:paraId="000A4E6D"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Develop two distinct one-page value proposition documents:</w:t>
      </w:r>
    </w:p>
    <w:p w14:paraId="266F6179" w14:textId="77777777" w:rsidR="001A1E5B" w:rsidRPr="001A1E5B" w:rsidRDefault="001A1E5B" w:rsidP="001A1E5B">
      <w:pPr>
        <w:pStyle w:val="NormalWeb"/>
        <w:numPr>
          <w:ilvl w:val="0"/>
          <w:numId w:val="15"/>
        </w:numPr>
        <w:spacing w:before="240" w:beforeAutospacing="0" w:after="240" w:afterAutospacing="0"/>
        <w:rPr>
          <w:rFonts w:ascii="Segoe UI" w:hAnsi="Segoe UI" w:cs="Segoe UI"/>
          <w:color w:val="576069"/>
        </w:rPr>
      </w:pPr>
      <w:r w:rsidRPr="001A1E5B">
        <w:rPr>
          <w:rStyle w:val="Strong"/>
          <w:rFonts w:ascii="Segoe UI" w:hAnsi="Segoe UI" w:cs="Segoe UI"/>
          <w:color w:val="576069"/>
        </w:rPr>
        <w:t>Health System ROI Sheet:</w:t>
      </w:r>
      <w:r w:rsidRPr="001A1E5B">
        <w:rPr>
          <w:rStyle w:val="apple-converted-space"/>
          <w:rFonts w:ascii="Segoe UI" w:hAnsi="Segoe UI" w:cs="Segoe UI"/>
          <w:color w:val="576069"/>
        </w:rPr>
        <w:t> </w:t>
      </w:r>
      <w:r w:rsidRPr="001A1E5B">
        <w:rPr>
          <w:rFonts w:ascii="Segoe UI" w:hAnsi="Segoe UI" w:cs="Segoe UI"/>
          <w:color w:val="576069"/>
        </w:rPr>
        <w:t>Quantified projections of cost savings, quality metric improvements, and value-based care revenue enhancement for a 500-patient HIV clinic implementing IHEP. Include assumptions, calculation methodology, and comparison to current standard of care.</w:t>
      </w:r>
    </w:p>
    <w:p w14:paraId="19FB2971" w14:textId="77777777" w:rsidR="001A1E5B" w:rsidRPr="001A1E5B" w:rsidRDefault="001A1E5B" w:rsidP="001A1E5B">
      <w:pPr>
        <w:pStyle w:val="NormalWeb"/>
        <w:numPr>
          <w:ilvl w:val="0"/>
          <w:numId w:val="15"/>
        </w:numPr>
        <w:spacing w:before="240" w:beforeAutospacing="0" w:after="240" w:afterAutospacing="0"/>
        <w:rPr>
          <w:rFonts w:ascii="Segoe UI" w:hAnsi="Segoe UI" w:cs="Segoe UI"/>
          <w:color w:val="576069"/>
        </w:rPr>
      </w:pPr>
      <w:r w:rsidRPr="001A1E5B">
        <w:rPr>
          <w:rStyle w:val="Strong"/>
          <w:rFonts w:ascii="Segoe UI" w:hAnsi="Segoe UI" w:cs="Segoe UI"/>
          <w:color w:val="576069"/>
        </w:rPr>
        <w:t>Patient Empowerment Sheet:</w:t>
      </w:r>
      <w:r w:rsidRPr="001A1E5B">
        <w:rPr>
          <w:rStyle w:val="apple-converted-space"/>
          <w:rFonts w:ascii="Segoe UI" w:hAnsi="Segoe UI" w:cs="Segoe UI"/>
          <w:color w:val="576069"/>
        </w:rPr>
        <w:t> </w:t>
      </w:r>
      <w:r w:rsidRPr="001A1E5B">
        <w:rPr>
          <w:rFonts w:ascii="Segoe UI" w:hAnsi="Segoe UI" w:cs="Segoe UI"/>
          <w:color w:val="576069"/>
        </w:rPr>
        <w:t>Visual, accessible explanation of how IHEP differs from conventional patient portals, emphasizing data sovereignty, holistic support across all four health dimensions, and community connection.</w:t>
      </w:r>
    </w:p>
    <w:p w14:paraId="537183EE"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Rationale:</w:t>
      </w:r>
      <w:r w:rsidRPr="001A1E5B">
        <w:rPr>
          <w:rStyle w:val="apple-converted-space"/>
          <w:rFonts w:ascii="Segoe UI" w:hAnsi="Segoe UI" w:cs="Segoe UI"/>
          <w:color w:val="576069"/>
        </w:rPr>
        <w:t> </w:t>
      </w:r>
      <w:r w:rsidRPr="001A1E5B">
        <w:rPr>
          <w:rFonts w:ascii="Segoe UI" w:hAnsi="Segoe UI" w:cs="Segoe UI"/>
          <w:color w:val="576069"/>
        </w:rPr>
        <w:t>Different stakeholders require different value narratives. Health systems care about ROI and quality metrics; patients care about control and support. Tailored collateral demonstrates sophisticated understanding of stakeholder needs.</w:t>
      </w:r>
    </w:p>
    <w:p w14:paraId="27617331" w14:textId="769CB4C8" w:rsidR="00A75954" w:rsidRPr="00552022" w:rsidRDefault="001A1E5B" w:rsidP="00552022">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Deliverable:</w:t>
      </w:r>
      <w:r w:rsidRPr="001A1E5B">
        <w:rPr>
          <w:rStyle w:val="apple-converted-space"/>
          <w:rFonts w:ascii="Segoe UI" w:hAnsi="Segoe UI" w:cs="Segoe UI"/>
          <w:color w:val="576069"/>
        </w:rPr>
        <w:t> </w:t>
      </w:r>
      <w:r w:rsidRPr="001A1E5B">
        <w:rPr>
          <w:rFonts w:ascii="Segoe UI" w:hAnsi="Segoe UI" w:cs="Segoe UI"/>
          <w:color w:val="576069"/>
        </w:rPr>
        <w:t>Two one-page PDFs suitable for email distribution and investor appendices.</w:t>
      </w:r>
    </w:p>
    <w:p w14:paraId="3E8BC61E" w14:textId="0AD1A2DB" w:rsidR="001A1E5B" w:rsidRPr="001A1E5B" w:rsidRDefault="001A1E5B" w:rsidP="00096EA0">
      <w:pPr>
        <w:pStyle w:val="Heading2"/>
      </w:pPr>
      <w:r w:rsidRPr="001A1E5B">
        <w:t>4.2 Phase 2: The Series A Launchpad (Months 4–9)</w:t>
      </w:r>
    </w:p>
    <w:p w14:paraId="133C4F82"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Objective:</w:t>
      </w:r>
      <w:r w:rsidRPr="001A1E5B">
        <w:rPr>
          <w:rStyle w:val="apple-converted-space"/>
          <w:rFonts w:ascii="Segoe UI" w:hAnsi="Segoe UI" w:cs="Segoe UI"/>
          <w:color w:val="576069"/>
        </w:rPr>
        <w:t> </w:t>
      </w:r>
      <w:r w:rsidRPr="001A1E5B">
        <w:rPr>
          <w:rFonts w:ascii="Segoe UI" w:hAnsi="Segoe UI" w:cs="Segoe UI"/>
          <w:color w:val="576069"/>
        </w:rPr>
        <w:t>Achieve specific milestones demanded by Series A investors: early traction evidence, clear commercial pathway, and fully de-risked team.</w:t>
      </w:r>
    </w:p>
    <w:p w14:paraId="0BC2E334" w14:textId="77777777" w:rsidR="001A1E5B" w:rsidRPr="001A1E5B" w:rsidRDefault="001A1E5B" w:rsidP="001A1E5B">
      <w:pPr>
        <w:pStyle w:val="Heading4"/>
        <w:spacing w:before="360" w:after="240"/>
        <w:rPr>
          <w:rFonts w:ascii="Segoe UI" w:hAnsi="Segoe UI" w:cs="Segoe UI"/>
          <w:color w:val="576069"/>
        </w:rPr>
      </w:pPr>
      <w:r w:rsidRPr="001A1E5B">
        <w:rPr>
          <w:rFonts w:ascii="Segoe UI" w:hAnsi="Segoe UI" w:cs="Segoe UI"/>
          <w:color w:val="576069"/>
        </w:rPr>
        <w:t>Intervention 5: Secure Anchor Pilot and Generate Early Data</w:t>
      </w:r>
    </w:p>
    <w:p w14:paraId="4E93057A"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Action 5.1 – Execute Feasibility Study</w:t>
      </w:r>
    </w:p>
    <w:p w14:paraId="7945ED03"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Launch the IRB-approved feasibility study using a "Wizard of Oz" methodology: patients interact with the IHEP interface and receive personalized nudges, while certain AI functions are initially human-mediated to accelerate deployment and gather user interaction data without waiting for full AI model training.</w:t>
      </w:r>
    </w:p>
    <w:p w14:paraId="0AA2882D"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Collect three categories of (1) engagement metrics (login frequency, feature utilization, response rates to nudges), (2) preliminary adherence signal (patient-reported medication taking, clinic appointment attendance), (3) qualitative feedback through structured interviews at 1-month and 3-month timepoints.</w:t>
      </w:r>
    </w:p>
    <w:p w14:paraId="184ED209"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Rationale:</w:t>
      </w:r>
      <w:r w:rsidRPr="001A1E5B">
        <w:rPr>
          <w:rStyle w:val="apple-converted-space"/>
          <w:rFonts w:ascii="Segoe UI" w:hAnsi="Segoe UI" w:cs="Segoe UI"/>
          <w:color w:val="576069"/>
        </w:rPr>
        <w:t> </w:t>
      </w:r>
      <w:r w:rsidRPr="001A1E5B">
        <w:rPr>
          <w:rFonts w:ascii="Segoe UI" w:hAnsi="Segoe UI" w:cs="Segoe UI"/>
          <w:color w:val="576069"/>
        </w:rPr>
        <w:t>The Wizard of Oz approach allows rapid pilot launch while AI models continue training, accelerating time to data. Six-month interim data provides sufficient signal for Series A discussions even if the full 12-month study is incomplete.</w:t>
      </w:r>
    </w:p>
    <w:p w14:paraId="22DC52C7"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Deliverable:</w:t>
      </w:r>
      <w:r w:rsidRPr="001A1E5B">
        <w:rPr>
          <w:rStyle w:val="apple-converted-space"/>
          <w:rFonts w:ascii="Segoe UI" w:hAnsi="Segoe UI" w:cs="Segoe UI"/>
          <w:color w:val="576069"/>
        </w:rPr>
        <w:t> </w:t>
      </w:r>
      <w:r w:rsidRPr="001A1E5B">
        <w:rPr>
          <w:rFonts w:ascii="Segoe UI" w:hAnsi="Segoe UI" w:cs="Segoe UI"/>
          <w:color w:val="576069"/>
        </w:rPr>
        <w:t>6-Month Interim Data Report with key findings on engagement and preliminary adherence trends.</w:t>
      </w:r>
    </w:p>
    <w:p w14:paraId="796055E9"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Action 5.2 – Land First Revenue Contract</w:t>
      </w:r>
    </w:p>
    <w:p w14:paraId="7FCCBFA1"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Secure a pilot-to-purchase agreement with a Federally Qualified Health Center (FQHC) serving populations with high chronic disease burden. Target: 12-month pilot contract valued at minimum $50,000 ($5,000 initial pilot + $45,000 conditional on pilot success metrics), with clear terms for expansion to full patient population upon achieving pre-defined outcomes.</w:t>
      </w:r>
    </w:p>
    <w:p w14:paraId="6CE08A95"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Structure the agreement to emphasize recurring revenue potential: position IHEP as a per-patient-per-month (PPPM) service with pricing that scales with deployment size.</w:t>
      </w:r>
    </w:p>
    <w:p w14:paraId="7D316325"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Rationale:</w:t>
      </w:r>
      <w:r w:rsidRPr="001A1E5B">
        <w:rPr>
          <w:rStyle w:val="apple-converted-space"/>
          <w:rFonts w:ascii="Segoe UI" w:hAnsi="Segoe UI" w:cs="Segoe UI"/>
          <w:color w:val="576069"/>
        </w:rPr>
        <w:t> </w:t>
      </w:r>
      <w:r w:rsidRPr="001A1E5B">
        <w:rPr>
          <w:rFonts w:ascii="Segoe UI" w:hAnsi="Segoe UI" w:cs="Segoe UI"/>
          <w:color w:val="576069"/>
        </w:rPr>
        <w:t>First revenue is a watershed event for investor perception. Even small contract value demonstrates that a healthcare entity is willing to pay for the solution—validating willingness-to-pay assumptions and commercial viability. FQHC partnerships specifically signal commitment to health equity, aligning with IHEP's mission positioning.</w:t>
      </w:r>
    </w:p>
    <w:p w14:paraId="6AB58DBB"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Deliverable:</w:t>
      </w:r>
      <w:r w:rsidRPr="001A1E5B">
        <w:rPr>
          <w:rStyle w:val="apple-converted-space"/>
          <w:rFonts w:ascii="Segoe UI" w:hAnsi="Segoe UI" w:cs="Segoe UI"/>
          <w:color w:val="576069"/>
        </w:rPr>
        <w:t> </w:t>
      </w:r>
      <w:r w:rsidRPr="001A1E5B">
        <w:rPr>
          <w:rFonts w:ascii="Segoe UI" w:hAnsi="Segoe UI" w:cs="Segoe UI"/>
          <w:color w:val="576069"/>
        </w:rPr>
        <w:t>Signed contract; initial ARR of ≥$5,000 with clear pathway to $50,000.</w:t>
      </w:r>
    </w:p>
    <w:p w14:paraId="520B328C" w14:textId="77777777" w:rsidR="001A1E5B" w:rsidRPr="001A1E5B" w:rsidRDefault="001A1E5B" w:rsidP="001A1E5B">
      <w:pPr>
        <w:pStyle w:val="Heading4"/>
        <w:spacing w:before="360" w:after="240"/>
        <w:rPr>
          <w:rFonts w:ascii="Segoe UI" w:hAnsi="Segoe UI" w:cs="Segoe UI"/>
          <w:color w:val="576069"/>
        </w:rPr>
      </w:pPr>
      <w:r w:rsidRPr="001A1E5B">
        <w:rPr>
          <w:rFonts w:ascii="Segoe UI" w:hAnsi="Segoe UI" w:cs="Segoe UI"/>
          <w:color w:val="576069"/>
        </w:rPr>
        <w:t>Intervention 6: Formalize Roadmap to Revenue</w:t>
      </w:r>
    </w:p>
    <w:p w14:paraId="129F091E"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Action 6.1 – Develop Detailed Commercial Model</w:t>
      </w:r>
    </w:p>
    <w:p w14:paraId="7A2D78B8"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Create a granular unit economics model projecting cost, revenue, and margin per health system deployment and per patient. The model should include:</w:t>
      </w:r>
    </w:p>
    <w:p w14:paraId="3D7D2D38" w14:textId="77777777" w:rsidR="001A1E5B" w:rsidRPr="001A1E5B" w:rsidRDefault="001A1E5B" w:rsidP="001A1E5B">
      <w:pPr>
        <w:numPr>
          <w:ilvl w:val="0"/>
          <w:numId w:val="16"/>
        </w:numPr>
        <w:spacing w:before="100" w:beforeAutospacing="1" w:after="100" w:afterAutospacing="1" w:line="240" w:lineRule="auto"/>
        <w:rPr>
          <w:rFonts w:ascii="Segoe UI" w:hAnsi="Segoe UI" w:cs="Segoe UI"/>
          <w:color w:val="576069"/>
        </w:rPr>
      </w:pPr>
      <w:r w:rsidRPr="001A1E5B">
        <w:rPr>
          <w:rFonts w:ascii="Segoe UI" w:hAnsi="Segoe UI" w:cs="Segoe UI"/>
          <w:color w:val="576069"/>
        </w:rPr>
        <w:t>Customer acquisition cost (CAC) by channel (direct sales, partnerships, health equity accelerators)</w:t>
      </w:r>
    </w:p>
    <w:p w14:paraId="063C9949" w14:textId="77777777" w:rsidR="001A1E5B" w:rsidRPr="001A1E5B" w:rsidRDefault="001A1E5B" w:rsidP="001A1E5B">
      <w:pPr>
        <w:numPr>
          <w:ilvl w:val="0"/>
          <w:numId w:val="16"/>
        </w:numPr>
        <w:spacing w:before="60" w:after="100" w:afterAutospacing="1" w:line="240" w:lineRule="auto"/>
        <w:rPr>
          <w:rFonts w:ascii="Segoe UI" w:hAnsi="Segoe UI" w:cs="Segoe UI"/>
          <w:color w:val="576069"/>
        </w:rPr>
      </w:pPr>
      <w:r w:rsidRPr="001A1E5B">
        <w:rPr>
          <w:rFonts w:ascii="Segoe UI" w:hAnsi="Segoe UI" w:cs="Segoe UI"/>
          <w:color w:val="576069"/>
        </w:rPr>
        <w:t>Implementation cost per site (technical integration, training, ongoing support)</w:t>
      </w:r>
    </w:p>
    <w:p w14:paraId="5DD13420" w14:textId="77777777" w:rsidR="001A1E5B" w:rsidRPr="001A1E5B" w:rsidRDefault="001A1E5B" w:rsidP="001A1E5B">
      <w:pPr>
        <w:numPr>
          <w:ilvl w:val="0"/>
          <w:numId w:val="16"/>
        </w:numPr>
        <w:spacing w:before="60" w:after="100" w:afterAutospacing="1" w:line="240" w:lineRule="auto"/>
        <w:rPr>
          <w:rFonts w:ascii="Segoe UI" w:hAnsi="Segoe UI" w:cs="Segoe UI"/>
          <w:color w:val="576069"/>
        </w:rPr>
      </w:pPr>
      <w:r w:rsidRPr="001A1E5B">
        <w:rPr>
          <w:rFonts w:ascii="Segoe UI" w:hAnsi="Segoe UI" w:cs="Segoe UI"/>
          <w:color w:val="576069"/>
        </w:rPr>
        <w:t>Recurring revenue per patient per month (PPPM) with tiered pricing by feature set</w:t>
      </w:r>
    </w:p>
    <w:p w14:paraId="3DC988B7" w14:textId="77777777" w:rsidR="001A1E5B" w:rsidRPr="001A1E5B" w:rsidRDefault="001A1E5B" w:rsidP="001A1E5B">
      <w:pPr>
        <w:numPr>
          <w:ilvl w:val="0"/>
          <w:numId w:val="16"/>
        </w:numPr>
        <w:spacing w:before="60" w:after="100" w:afterAutospacing="1" w:line="240" w:lineRule="auto"/>
        <w:rPr>
          <w:rFonts w:ascii="Segoe UI" w:hAnsi="Segoe UI" w:cs="Segoe UI"/>
          <w:color w:val="576069"/>
        </w:rPr>
      </w:pPr>
      <w:r w:rsidRPr="001A1E5B">
        <w:rPr>
          <w:rFonts w:ascii="Segoe UI" w:hAnsi="Segoe UI" w:cs="Segoe UI"/>
          <w:color w:val="576069"/>
        </w:rPr>
        <w:t>Gross margin analysis and break-even point per deployment</w:t>
      </w:r>
    </w:p>
    <w:p w14:paraId="778EAD31" w14:textId="77777777" w:rsidR="001A1E5B" w:rsidRPr="001A1E5B" w:rsidRDefault="001A1E5B" w:rsidP="001A1E5B">
      <w:pPr>
        <w:numPr>
          <w:ilvl w:val="0"/>
          <w:numId w:val="16"/>
        </w:numPr>
        <w:spacing w:before="60" w:after="100" w:afterAutospacing="1" w:line="240" w:lineRule="auto"/>
        <w:rPr>
          <w:rFonts w:ascii="Segoe UI" w:hAnsi="Segoe UI" w:cs="Segoe UI"/>
          <w:color w:val="576069"/>
        </w:rPr>
      </w:pPr>
      <w:r w:rsidRPr="001A1E5B">
        <w:rPr>
          <w:rFonts w:ascii="Segoe UI" w:hAnsi="Segoe UI" w:cs="Segoe UI"/>
          <w:color w:val="576069"/>
        </w:rPr>
        <w:t>Five-year revenue projection with clear assumptions about market penetration, churn, and expansion revenue</w:t>
      </w:r>
    </w:p>
    <w:p w14:paraId="37973367"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Rationale:</w:t>
      </w:r>
      <w:r w:rsidRPr="001A1E5B">
        <w:rPr>
          <w:rStyle w:val="apple-converted-space"/>
          <w:rFonts w:ascii="Segoe UI" w:hAnsi="Segoe UI" w:cs="Segoe UI"/>
          <w:color w:val="576069"/>
        </w:rPr>
        <w:t> </w:t>
      </w:r>
      <w:r w:rsidRPr="001A1E5B">
        <w:rPr>
          <w:rFonts w:ascii="Segoe UI" w:hAnsi="Segoe UI" w:cs="Segoe UI"/>
          <w:color w:val="576069"/>
        </w:rPr>
        <w:t>Series A investors scrutinize unit economics intensely. The model demonstrates that the business can scale profitably and provides the foundation for valuation discussions.[15]</w:t>
      </w:r>
    </w:p>
    <w:p w14:paraId="3E9BC0F9"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Deliverable:</w:t>
      </w:r>
      <w:r w:rsidRPr="001A1E5B">
        <w:rPr>
          <w:rStyle w:val="apple-converted-space"/>
          <w:rFonts w:ascii="Segoe UI" w:hAnsi="Segoe UI" w:cs="Segoe UI"/>
          <w:color w:val="576069"/>
        </w:rPr>
        <w:t> </w:t>
      </w:r>
      <w:r w:rsidRPr="001A1E5B">
        <w:rPr>
          <w:rFonts w:ascii="Segoe UI" w:hAnsi="Segoe UI" w:cs="Segoe UI"/>
          <w:color w:val="576069"/>
        </w:rPr>
        <w:t>Unit economics model as Series A investment deck appendix; sensitivity analysis showing break-even scenarios.</w:t>
      </w:r>
    </w:p>
    <w:p w14:paraId="7846E007"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Action 6.2 – Initiate EHR Integration Process</w:t>
      </w:r>
    </w:p>
    <w:p w14:paraId="520D6900"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Submit formal application to Epic App Orchard or Cerner/Oracle Health Code program. The application should demonstrate:</w:t>
      </w:r>
    </w:p>
    <w:p w14:paraId="6781F399" w14:textId="77777777" w:rsidR="001A1E5B" w:rsidRPr="001A1E5B" w:rsidRDefault="001A1E5B" w:rsidP="001A1E5B">
      <w:pPr>
        <w:numPr>
          <w:ilvl w:val="0"/>
          <w:numId w:val="17"/>
        </w:numPr>
        <w:spacing w:before="100" w:beforeAutospacing="1" w:after="100" w:afterAutospacing="1" w:line="240" w:lineRule="auto"/>
        <w:rPr>
          <w:rFonts w:ascii="Segoe UI" w:hAnsi="Segoe UI" w:cs="Segoe UI"/>
          <w:color w:val="576069"/>
        </w:rPr>
      </w:pPr>
      <w:r w:rsidRPr="001A1E5B">
        <w:rPr>
          <w:rFonts w:ascii="Segoe UI" w:hAnsi="Segoe UI" w:cs="Segoe UI"/>
          <w:color w:val="576069"/>
        </w:rPr>
        <w:t>FHIR R4 API compliance (build against public sandboxes and document conformance)</w:t>
      </w:r>
    </w:p>
    <w:p w14:paraId="7F6B232C" w14:textId="77777777" w:rsidR="001A1E5B" w:rsidRPr="001A1E5B" w:rsidRDefault="001A1E5B" w:rsidP="001A1E5B">
      <w:pPr>
        <w:numPr>
          <w:ilvl w:val="0"/>
          <w:numId w:val="17"/>
        </w:numPr>
        <w:spacing w:before="60" w:after="100" w:afterAutospacing="1" w:line="240" w:lineRule="auto"/>
        <w:rPr>
          <w:rFonts w:ascii="Segoe UI" w:hAnsi="Segoe UI" w:cs="Segoe UI"/>
          <w:color w:val="576069"/>
        </w:rPr>
      </w:pPr>
      <w:r w:rsidRPr="001A1E5B">
        <w:rPr>
          <w:rFonts w:ascii="Segoe UI" w:hAnsi="Segoe UI" w:cs="Segoe UI"/>
          <w:color w:val="576069"/>
        </w:rPr>
        <w:t>Security architecture meeting BAA requirements</w:t>
      </w:r>
    </w:p>
    <w:p w14:paraId="4C315315" w14:textId="77777777" w:rsidR="001A1E5B" w:rsidRPr="001A1E5B" w:rsidRDefault="001A1E5B" w:rsidP="001A1E5B">
      <w:pPr>
        <w:numPr>
          <w:ilvl w:val="0"/>
          <w:numId w:val="17"/>
        </w:numPr>
        <w:spacing w:before="60" w:after="100" w:afterAutospacing="1" w:line="240" w:lineRule="auto"/>
        <w:rPr>
          <w:rFonts w:ascii="Segoe UI" w:hAnsi="Segoe UI" w:cs="Segoe UI"/>
          <w:color w:val="576069"/>
        </w:rPr>
      </w:pPr>
      <w:r w:rsidRPr="001A1E5B">
        <w:rPr>
          <w:rFonts w:ascii="Segoe UI" w:hAnsi="Segoe UI" w:cs="Segoe UI"/>
          <w:color w:val="576069"/>
        </w:rPr>
        <w:t>Privacy and data governance documentation</w:t>
      </w:r>
    </w:p>
    <w:p w14:paraId="1B4D2F76" w14:textId="77777777" w:rsidR="001A1E5B" w:rsidRPr="001A1E5B" w:rsidRDefault="001A1E5B" w:rsidP="001A1E5B">
      <w:pPr>
        <w:numPr>
          <w:ilvl w:val="0"/>
          <w:numId w:val="17"/>
        </w:numPr>
        <w:spacing w:before="60" w:after="100" w:afterAutospacing="1" w:line="240" w:lineRule="auto"/>
        <w:rPr>
          <w:rFonts w:ascii="Segoe UI" w:hAnsi="Segoe UI" w:cs="Segoe UI"/>
          <w:color w:val="576069"/>
        </w:rPr>
      </w:pPr>
      <w:r w:rsidRPr="001A1E5B">
        <w:rPr>
          <w:rFonts w:ascii="Segoe UI" w:hAnsi="Segoe UI" w:cs="Segoe UI"/>
          <w:color w:val="576069"/>
        </w:rPr>
        <w:t>User interface mockups showing EHR-embedded workflows</w:t>
      </w:r>
    </w:p>
    <w:p w14:paraId="7B228BBE"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Acknowledge that certification requires security testing and SMART on FHIR compliance validation, processes that may require several months even after technical readiness.</w:t>
      </w:r>
    </w:p>
    <w:p w14:paraId="7757FBF8"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Rationale:</w:t>
      </w:r>
      <w:r w:rsidRPr="001A1E5B">
        <w:rPr>
          <w:rStyle w:val="apple-converted-space"/>
          <w:rFonts w:ascii="Segoe UI" w:hAnsi="Segoe UI" w:cs="Segoe UI"/>
          <w:color w:val="576069"/>
        </w:rPr>
        <w:t> </w:t>
      </w:r>
      <w:r w:rsidRPr="001A1E5B">
        <w:rPr>
          <w:rFonts w:ascii="Segoe UI" w:hAnsi="Segoe UI" w:cs="Segoe UI"/>
          <w:color w:val="576069"/>
        </w:rPr>
        <w:t>EHR integration is essential for digital health scale. Initiating the process signals awareness of interoperability requirements and provides investors concrete evidence that IHEP is building toward production-grade deployment.</w:t>
      </w:r>
    </w:p>
    <w:p w14:paraId="056A545B"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Deliverable:</w:t>
      </w:r>
      <w:r w:rsidRPr="001A1E5B">
        <w:rPr>
          <w:rStyle w:val="apple-converted-space"/>
          <w:rFonts w:ascii="Segoe UI" w:hAnsi="Segoe UI" w:cs="Segoe UI"/>
          <w:color w:val="576069"/>
        </w:rPr>
        <w:t> </w:t>
      </w:r>
      <w:r w:rsidRPr="001A1E5B">
        <w:rPr>
          <w:rFonts w:ascii="Segoe UI" w:hAnsi="Segoe UI" w:cs="Segoe UI"/>
          <w:color w:val="576069"/>
        </w:rPr>
        <w:t>Application submission confirmation; preliminary feedback from Epic or Cerner integration team.</w:t>
      </w:r>
    </w:p>
    <w:p w14:paraId="5B32D2E4" w14:textId="77777777" w:rsidR="001A1E5B" w:rsidRPr="001A1E5B" w:rsidRDefault="001A1E5B" w:rsidP="001A1E5B">
      <w:pPr>
        <w:pStyle w:val="Heading4"/>
        <w:spacing w:before="360" w:after="240"/>
        <w:rPr>
          <w:rFonts w:ascii="Segoe UI" w:hAnsi="Segoe UI" w:cs="Segoe UI"/>
          <w:color w:val="576069"/>
        </w:rPr>
      </w:pPr>
      <w:r w:rsidRPr="001A1E5B">
        <w:rPr>
          <w:rFonts w:ascii="Segoe UI" w:hAnsi="Segoe UI" w:cs="Segoe UI"/>
          <w:color w:val="576069"/>
        </w:rPr>
        <w:t>Intervention 7: Stage the Series A Financing Round</w:t>
      </w:r>
    </w:p>
    <w:p w14:paraId="47D158A2"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Action 7.1 – Identify and Engage Specialist Investors</w:t>
      </w:r>
    </w:p>
    <w:p w14:paraId="45421698"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Create a target list of 15–20 venture capital firms with demonstrated investment thesis alignment: digital health focus, health equity mission compatibility, Series A stage activity, and prior investments in chronic disease or underserved populations.</w:t>
      </w:r>
    </w:p>
    <w:p w14:paraId="13699399"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Priority categories include:</w:t>
      </w:r>
    </w:p>
    <w:p w14:paraId="545007E8" w14:textId="77777777" w:rsidR="001A1E5B" w:rsidRPr="001A1E5B" w:rsidRDefault="001A1E5B" w:rsidP="001A1E5B">
      <w:pPr>
        <w:numPr>
          <w:ilvl w:val="0"/>
          <w:numId w:val="18"/>
        </w:numPr>
        <w:spacing w:before="100" w:beforeAutospacing="1" w:after="100" w:afterAutospacing="1" w:line="240" w:lineRule="auto"/>
        <w:rPr>
          <w:rFonts w:ascii="Segoe UI" w:hAnsi="Segoe UI" w:cs="Segoe UI"/>
          <w:color w:val="576069"/>
        </w:rPr>
      </w:pPr>
      <w:r w:rsidRPr="001A1E5B">
        <w:rPr>
          <w:rFonts w:ascii="Segoe UI" w:hAnsi="Segoe UI" w:cs="Segoe UI"/>
          <w:color w:val="576069"/>
        </w:rPr>
        <w:t>Digital health-focused funds (e.g., OMERS Ventures, Rock Health Ventures)</w:t>
      </w:r>
    </w:p>
    <w:p w14:paraId="1D4C3962" w14:textId="77777777" w:rsidR="001A1E5B" w:rsidRPr="001A1E5B" w:rsidRDefault="001A1E5B" w:rsidP="001A1E5B">
      <w:pPr>
        <w:numPr>
          <w:ilvl w:val="0"/>
          <w:numId w:val="18"/>
        </w:numPr>
        <w:spacing w:before="60" w:after="100" w:afterAutospacing="1" w:line="240" w:lineRule="auto"/>
        <w:rPr>
          <w:rFonts w:ascii="Segoe UI" w:hAnsi="Segoe UI" w:cs="Segoe UI"/>
          <w:color w:val="576069"/>
        </w:rPr>
      </w:pPr>
      <w:r w:rsidRPr="001A1E5B">
        <w:rPr>
          <w:rFonts w:ascii="Segoe UI" w:hAnsi="Segoe UI" w:cs="Segoe UI"/>
          <w:color w:val="576069"/>
        </w:rPr>
        <w:t>Health equity-focused investors</w:t>
      </w:r>
    </w:p>
    <w:p w14:paraId="10421FE0" w14:textId="77777777" w:rsidR="001A1E5B" w:rsidRPr="001A1E5B" w:rsidRDefault="001A1E5B" w:rsidP="001A1E5B">
      <w:pPr>
        <w:numPr>
          <w:ilvl w:val="0"/>
          <w:numId w:val="18"/>
        </w:numPr>
        <w:spacing w:before="60" w:after="100" w:afterAutospacing="1" w:line="240" w:lineRule="auto"/>
        <w:rPr>
          <w:rFonts w:ascii="Segoe UI" w:hAnsi="Segoe UI" w:cs="Segoe UI"/>
          <w:color w:val="576069"/>
        </w:rPr>
      </w:pPr>
      <w:r w:rsidRPr="001A1E5B">
        <w:rPr>
          <w:rFonts w:ascii="Segoe UI" w:hAnsi="Segoe UI" w:cs="Segoe UI"/>
          <w:color w:val="576069"/>
        </w:rPr>
        <w:t>Firms with prior HIV or chronic disease investments</w:t>
      </w:r>
    </w:p>
    <w:p w14:paraId="53CD7B7D" w14:textId="77777777" w:rsidR="001A1E5B" w:rsidRPr="001A1E5B" w:rsidRDefault="001A1E5B" w:rsidP="001A1E5B">
      <w:pPr>
        <w:numPr>
          <w:ilvl w:val="0"/>
          <w:numId w:val="18"/>
        </w:numPr>
        <w:spacing w:before="60" w:after="100" w:afterAutospacing="1" w:line="240" w:lineRule="auto"/>
        <w:rPr>
          <w:rFonts w:ascii="Segoe UI" w:hAnsi="Segoe UI" w:cs="Segoe UI"/>
          <w:color w:val="576069"/>
        </w:rPr>
      </w:pPr>
      <w:r w:rsidRPr="001A1E5B">
        <w:rPr>
          <w:rFonts w:ascii="Segoe UI" w:hAnsi="Segoe UI" w:cs="Segoe UI"/>
          <w:color w:val="576069"/>
        </w:rPr>
        <w:t>Corporate venture arms of major health systems or payers</w:t>
      </w:r>
    </w:p>
    <w:p w14:paraId="0D073D36"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Begin quarterly update communications: concise email updates highlighting milestone achievement, data emerging from pilot, and partnership announcements.</w:t>
      </w:r>
    </w:p>
    <w:p w14:paraId="69C3E914"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Rationale:</w:t>
      </w:r>
      <w:r w:rsidRPr="001A1E5B">
        <w:rPr>
          <w:rStyle w:val="apple-converted-space"/>
          <w:rFonts w:ascii="Segoe UI" w:hAnsi="Segoe UI" w:cs="Segoe UI"/>
          <w:color w:val="576069"/>
        </w:rPr>
        <w:t> </w:t>
      </w:r>
      <w:r w:rsidRPr="001A1E5B">
        <w:rPr>
          <w:rFonts w:ascii="Segoe UI" w:hAnsi="Segoe UI" w:cs="Segoe UI"/>
          <w:color w:val="576069"/>
        </w:rPr>
        <w:t>Series A fundraising requires 6–9 month lead time from initial contact to term sheet. Establishing relationships early through regular updates builds familiarity and positions IHEP as a known entity when formal fundraising begins.[15]</w:t>
      </w:r>
    </w:p>
    <w:p w14:paraId="1BD18167"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Deliverable:</w:t>
      </w:r>
      <w:r w:rsidRPr="001A1E5B">
        <w:rPr>
          <w:rStyle w:val="apple-converted-space"/>
          <w:rFonts w:ascii="Segoe UI" w:hAnsi="Segoe UI" w:cs="Segoe UI"/>
          <w:color w:val="576069"/>
        </w:rPr>
        <w:t> </w:t>
      </w:r>
      <w:r w:rsidRPr="001A1E5B">
        <w:rPr>
          <w:rFonts w:ascii="Segoe UI" w:hAnsi="Segoe UI" w:cs="Segoe UI"/>
          <w:color w:val="576069"/>
        </w:rPr>
        <w:t>Target investor list; quarterly update calendar; initial investor outreach initiated.</w:t>
      </w:r>
    </w:p>
    <w:p w14:paraId="4F5E1DCA" w14:textId="608CEB2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Action 7.2 – Define Series A Use of Funds</w:t>
      </w:r>
    </w:p>
    <w:p w14:paraId="68A9B243"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Prepare a detailed allocation plan for $8M–$12M Series A capital focused on scaling:</w:t>
      </w:r>
    </w:p>
    <w:p w14:paraId="5128930C" w14:textId="77777777" w:rsidR="001A1E5B" w:rsidRPr="001A1E5B" w:rsidRDefault="001A1E5B" w:rsidP="001A1E5B">
      <w:pPr>
        <w:numPr>
          <w:ilvl w:val="0"/>
          <w:numId w:val="19"/>
        </w:numPr>
        <w:spacing w:before="100" w:beforeAutospacing="1" w:after="100" w:afterAutospacing="1" w:line="240" w:lineRule="auto"/>
        <w:rPr>
          <w:rFonts w:ascii="Segoe UI" w:hAnsi="Segoe UI" w:cs="Segoe UI"/>
          <w:color w:val="576069"/>
        </w:rPr>
      </w:pPr>
      <w:r w:rsidRPr="001A1E5B">
        <w:rPr>
          <w:rFonts w:ascii="Segoe UI" w:hAnsi="Segoe UI" w:cs="Segoe UI"/>
          <w:color w:val="576069"/>
        </w:rPr>
        <w:t>Team scaling: 8–10 key hires (VP of Clinical Affairs, Head of Product, 3 engineers, 2 implementation specialists, operations manager)</w:t>
      </w:r>
    </w:p>
    <w:p w14:paraId="1C9E23FB" w14:textId="77777777" w:rsidR="001A1E5B" w:rsidRPr="001A1E5B" w:rsidRDefault="001A1E5B" w:rsidP="001A1E5B">
      <w:pPr>
        <w:numPr>
          <w:ilvl w:val="0"/>
          <w:numId w:val="19"/>
        </w:numPr>
        <w:spacing w:before="60" w:after="100" w:afterAutospacing="1" w:line="240" w:lineRule="auto"/>
        <w:rPr>
          <w:rFonts w:ascii="Segoe UI" w:hAnsi="Segoe UI" w:cs="Segoe UI"/>
          <w:color w:val="576069"/>
        </w:rPr>
      </w:pPr>
      <w:r w:rsidRPr="001A1E5B">
        <w:rPr>
          <w:rFonts w:ascii="Segoe UI" w:hAnsi="Segoe UI" w:cs="Segoe UI"/>
          <w:color w:val="576069"/>
        </w:rPr>
        <w:t>Go-to-market: Direct sales capability, conference presence, marketing materials</w:t>
      </w:r>
    </w:p>
    <w:p w14:paraId="79D707E2" w14:textId="77777777" w:rsidR="001A1E5B" w:rsidRPr="001A1E5B" w:rsidRDefault="001A1E5B" w:rsidP="001A1E5B">
      <w:pPr>
        <w:numPr>
          <w:ilvl w:val="0"/>
          <w:numId w:val="19"/>
        </w:numPr>
        <w:spacing w:before="60" w:after="100" w:afterAutospacing="1" w:line="240" w:lineRule="auto"/>
        <w:rPr>
          <w:rFonts w:ascii="Segoe UI" w:hAnsi="Segoe UI" w:cs="Segoe UI"/>
          <w:color w:val="576069"/>
        </w:rPr>
      </w:pPr>
      <w:r w:rsidRPr="001A1E5B">
        <w:rPr>
          <w:rFonts w:ascii="Segoe UI" w:hAnsi="Segoe UI" w:cs="Segoe UI"/>
          <w:color w:val="576069"/>
        </w:rPr>
        <w:t>Product development: EHR integration completion, additional disease condition modules, patient mobile app</w:t>
      </w:r>
    </w:p>
    <w:p w14:paraId="49564FAE" w14:textId="77777777" w:rsidR="001A1E5B" w:rsidRPr="001A1E5B" w:rsidRDefault="001A1E5B" w:rsidP="001A1E5B">
      <w:pPr>
        <w:numPr>
          <w:ilvl w:val="0"/>
          <w:numId w:val="19"/>
        </w:numPr>
        <w:spacing w:before="60" w:after="100" w:afterAutospacing="1" w:line="240" w:lineRule="auto"/>
        <w:rPr>
          <w:rFonts w:ascii="Segoe UI" w:hAnsi="Segoe UI" w:cs="Segoe UI"/>
          <w:color w:val="576069"/>
        </w:rPr>
      </w:pPr>
      <w:r w:rsidRPr="001A1E5B">
        <w:rPr>
          <w:rFonts w:ascii="Segoe UI" w:hAnsi="Segoe UI" w:cs="Segoe UI"/>
          <w:color w:val="576069"/>
        </w:rPr>
        <w:t>Clinical validation: Expansion to 3–5 additional sites, support for publications</w:t>
      </w:r>
    </w:p>
    <w:p w14:paraId="0F3B9351" w14:textId="77777777" w:rsidR="001A1E5B" w:rsidRPr="001A1E5B" w:rsidRDefault="001A1E5B" w:rsidP="001A1E5B">
      <w:pPr>
        <w:numPr>
          <w:ilvl w:val="0"/>
          <w:numId w:val="19"/>
        </w:numPr>
        <w:spacing w:before="60" w:after="100" w:afterAutospacing="1" w:line="240" w:lineRule="auto"/>
        <w:rPr>
          <w:rFonts w:ascii="Segoe UI" w:hAnsi="Segoe UI" w:cs="Segoe UI"/>
          <w:color w:val="576069"/>
        </w:rPr>
      </w:pPr>
      <w:r w:rsidRPr="001A1E5B">
        <w:rPr>
          <w:rFonts w:ascii="Segoe UI" w:hAnsi="Segoe UI" w:cs="Segoe UI"/>
          <w:color w:val="576069"/>
        </w:rPr>
        <w:t>Infrastructure: Production cloud environment, security certifications (SOC 2, HITRUST)</w:t>
      </w:r>
    </w:p>
    <w:p w14:paraId="7B8F3A60"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Rationale:</w:t>
      </w:r>
      <w:r w:rsidRPr="001A1E5B">
        <w:rPr>
          <w:rStyle w:val="apple-converted-space"/>
          <w:rFonts w:ascii="Segoe UI" w:hAnsi="Segoe UI" w:cs="Segoe UI"/>
          <w:color w:val="576069"/>
        </w:rPr>
        <w:t> </w:t>
      </w:r>
      <w:r w:rsidRPr="001A1E5B">
        <w:rPr>
          <w:rFonts w:ascii="Segoe UI" w:hAnsi="Segoe UI" w:cs="Segoe UI"/>
          <w:color w:val="576069"/>
        </w:rPr>
        <w:t>Investors must understand how capital will translate into growth milestones. The use of funds plan demonstrates strategic thinking about the pathway from Series A to Series B.[15]</w:t>
      </w:r>
    </w:p>
    <w:p w14:paraId="40BF7EAB"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Emphasis"/>
          <w:rFonts w:ascii="Segoe UI" w:hAnsi="Segoe UI" w:cs="Segoe UI"/>
          <w:color w:val="576069"/>
        </w:rPr>
        <w:t>Deliverable:</w:t>
      </w:r>
      <w:r w:rsidRPr="001A1E5B">
        <w:rPr>
          <w:rStyle w:val="apple-converted-space"/>
          <w:rFonts w:ascii="Segoe UI" w:hAnsi="Segoe UI" w:cs="Segoe UI"/>
          <w:color w:val="576069"/>
        </w:rPr>
        <w:t> </w:t>
      </w:r>
      <w:r w:rsidRPr="001A1E5B">
        <w:rPr>
          <w:rFonts w:ascii="Segoe UI" w:hAnsi="Segoe UI" w:cs="Segoe UI"/>
          <w:color w:val="576069"/>
        </w:rPr>
        <w:t>"Use of Funds" document with milestone-based deployment timeline.</w:t>
      </w:r>
    </w:p>
    <w:p w14:paraId="0D6B4176" w14:textId="77777777" w:rsidR="001A1E5B" w:rsidRDefault="00216278" w:rsidP="001A1E5B">
      <w:pPr>
        <w:spacing w:before="360" w:after="360"/>
        <w:rPr>
          <w:rFonts w:ascii="Segoe UI" w:hAnsi="Segoe UI" w:cs="Segoe UI"/>
        </w:rPr>
      </w:pPr>
      <w:r>
        <w:rPr>
          <w:noProof/>
        </w:rPr>
        <w:pict w14:anchorId="774B173C">
          <v:rect id="_x0000_i1029" alt="" style="width:431.95pt;height:.05pt;mso-width-percent:0;mso-height-percent:0;mso-width-percent:0;mso-height-percent:0" o:hrpct="923" o:hralign="center" o:hrstd="t" o:hr="t" fillcolor="#a0a0a0" stroked="f"/>
        </w:pict>
      </w:r>
    </w:p>
    <w:p w14:paraId="0773D633" w14:textId="77777777" w:rsidR="00552022" w:rsidRDefault="00552022">
      <w:pPr>
        <w:rPr>
          <w:rFonts w:ascii="Segoe UI" w:eastAsia="Times New Roman" w:hAnsi="Segoe UI" w:cs="Segoe UI"/>
          <w:b/>
          <w:bCs/>
          <w:color w:val="548DD4" w:themeColor="text2" w:themeTint="99"/>
          <w:sz w:val="32"/>
          <w:szCs w:val="32"/>
        </w:rPr>
      </w:pPr>
      <w:r>
        <w:br w:type="page"/>
      </w:r>
    </w:p>
    <w:p w14:paraId="66BB0F73" w14:textId="6DE1B89A" w:rsidR="001A1E5B" w:rsidRPr="001A1E5B" w:rsidRDefault="001A1E5B" w:rsidP="00096EA0">
      <w:pPr>
        <w:pStyle w:val="Heading1"/>
      </w:pPr>
      <w:r w:rsidRPr="001A1E5B">
        <w:t>5. Expected Results and Outcomes</w:t>
      </w:r>
    </w:p>
    <w:p w14:paraId="314CA8D6"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Successful implementation of the Strategic Activation Framework is projected to yield the following measurable outcomes within 9–12 months: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9"/>
        <w:gridCol w:w="4138"/>
        <w:gridCol w:w="2093"/>
      </w:tblGrid>
      <w:tr w:rsidR="001A1E5B" w14:paraId="7FB12A5B" w14:textId="77777777" w:rsidTr="0034379C">
        <w:trPr>
          <w:tblHeader/>
        </w:trPr>
        <w:tc>
          <w:tcPr>
            <w:tcW w:w="2445" w:type="dxa"/>
            <w:tcMar>
              <w:top w:w="90" w:type="dxa"/>
              <w:left w:w="195" w:type="dxa"/>
              <w:bottom w:w="90" w:type="dxa"/>
              <w:right w:w="195" w:type="dxa"/>
            </w:tcMar>
            <w:hideMark/>
          </w:tcPr>
          <w:p w14:paraId="64F5EF75" w14:textId="77777777" w:rsidR="001A1E5B" w:rsidRPr="001A1E5B" w:rsidRDefault="001A1E5B" w:rsidP="0034379C">
            <w:pPr>
              <w:spacing w:after="240"/>
              <w:rPr>
                <w:rFonts w:ascii="Segoe UI" w:hAnsi="Segoe UI" w:cs="Segoe UI"/>
                <w:b/>
                <w:bCs/>
                <w:color w:val="576069"/>
              </w:rPr>
            </w:pPr>
            <w:r w:rsidRPr="001A1E5B">
              <w:rPr>
                <w:rStyle w:val="Strong"/>
                <w:rFonts w:ascii="Segoe UI" w:hAnsi="Segoe UI" w:cs="Segoe UI"/>
                <w:color w:val="576069"/>
              </w:rPr>
              <w:t>Outcome Domain</w:t>
            </w:r>
          </w:p>
        </w:tc>
        <w:tc>
          <w:tcPr>
            <w:tcW w:w="4410" w:type="dxa"/>
            <w:tcMar>
              <w:top w:w="90" w:type="dxa"/>
              <w:left w:w="195" w:type="dxa"/>
              <w:bottom w:w="90" w:type="dxa"/>
              <w:right w:w="195" w:type="dxa"/>
            </w:tcMar>
            <w:hideMark/>
          </w:tcPr>
          <w:p w14:paraId="49F053EA" w14:textId="77777777" w:rsidR="001A1E5B" w:rsidRPr="001A1E5B" w:rsidRDefault="001A1E5B" w:rsidP="0034379C">
            <w:pPr>
              <w:spacing w:after="240"/>
              <w:rPr>
                <w:rFonts w:ascii="Segoe UI" w:hAnsi="Segoe UI" w:cs="Segoe UI"/>
                <w:b/>
                <w:bCs/>
                <w:color w:val="576069"/>
              </w:rPr>
            </w:pPr>
            <w:r w:rsidRPr="001A1E5B">
              <w:rPr>
                <w:rStyle w:val="Strong"/>
                <w:rFonts w:ascii="Segoe UI" w:hAnsi="Segoe UI" w:cs="Segoe UI"/>
                <w:color w:val="576069"/>
              </w:rPr>
              <w:t>Specific Metric/KPI</w:t>
            </w:r>
          </w:p>
        </w:tc>
        <w:tc>
          <w:tcPr>
            <w:tcW w:w="2175" w:type="dxa"/>
            <w:tcMar>
              <w:top w:w="90" w:type="dxa"/>
              <w:left w:w="195" w:type="dxa"/>
              <w:bottom w:w="90" w:type="dxa"/>
              <w:right w:w="195" w:type="dxa"/>
            </w:tcMar>
            <w:hideMark/>
          </w:tcPr>
          <w:p w14:paraId="23D00DE1" w14:textId="77777777" w:rsidR="001A1E5B" w:rsidRPr="001A1E5B" w:rsidRDefault="001A1E5B" w:rsidP="0034379C">
            <w:pPr>
              <w:spacing w:after="240"/>
              <w:rPr>
                <w:rFonts w:ascii="Segoe UI" w:hAnsi="Segoe UI" w:cs="Segoe UI"/>
                <w:b/>
                <w:bCs/>
                <w:color w:val="576069"/>
              </w:rPr>
            </w:pPr>
            <w:r w:rsidRPr="001A1E5B">
              <w:rPr>
                <w:rStyle w:val="Strong"/>
                <w:rFonts w:ascii="Segoe UI" w:hAnsi="Segoe UI" w:cs="Segoe UI"/>
                <w:color w:val="576069"/>
              </w:rPr>
              <w:t>Target</w:t>
            </w:r>
          </w:p>
        </w:tc>
      </w:tr>
      <w:tr w:rsidR="001A1E5B" w14:paraId="0F69FCDC" w14:textId="77777777" w:rsidTr="0034379C">
        <w:tc>
          <w:tcPr>
            <w:tcW w:w="2445" w:type="dxa"/>
            <w:tcMar>
              <w:top w:w="90" w:type="dxa"/>
              <w:left w:w="195" w:type="dxa"/>
              <w:bottom w:w="90" w:type="dxa"/>
              <w:right w:w="195" w:type="dxa"/>
            </w:tcMar>
            <w:hideMark/>
          </w:tcPr>
          <w:p w14:paraId="4AB2D90C" w14:textId="77777777" w:rsidR="001A1E5B" w:rsidRPr="001A1E5B" w:rsidRDefault="001A1E5B" w:rsidP="0034379C">
            <w:pPr>
              <w:spacing w:after="240"/>
              <w:rPr>
                <w:rFonts w:ascii="Segoe UI" w:hAnsi="Segoe UI" w:cs="Segoe UI"/>
                <w:color w:val="576069"/>
              </w:rPr>
            </w:pPr>
            <w:r w:rsidRPr="001A1E5B">
              <w:rPr>
                <w:rFonts w:ascii="Segoe UI" w:hAnsi="Segoe UI" w:cs="Segoe UI"/>
                <w:color w:val="576069"/>
              </w:rPr>
              <w:t>Technical Credibility</w:t>
            </w:r>
          </w:p>
        </w:tc>
        <w:tc>
          <w:tcPr>
            <w:tcW w:w="4410" w:type="dxa"/>
            <w:tcMar>
              <w:top w:w="90" w:type="dxa"/>
              <w:left w:w="195" w:type="dxa"/>
              <w:bottom w:w="90" w:type="dxa"/>
              <w:right w:w="195" w:type="dxa"/>
            </w:tcMar>
            <w:hideMark/>
          </w:tcPr>
          <w:p w14:paraId="4A3D8217" w14:textId="77777777" w:rsidR="001A1E5B" w:rsidRPr="001A1E5B" w:rsidRDefault="001A1E5B" w:rsidP="0034379C">
            <w:pPr>
              <w:spacing w:after="240"/>
              <w:rPr>
                <w:rFonts w:ascii="Segoe UI" w:hAnsi="Segoe UI" w:cs="Segoe UI"/>
                <w:color w:val="576069"/>
              </w:rPr>
            </w:pPr>
            <w:r w:rsidRPr="001A1E5B">
              <w:rPr>
                <w:rFonts w:ascii="Segoe UI" w:hAnsi="Segoe UI" w:cs="Segoe UI"/>
                <w:color w:val="576069"/>
              </w:rPr>
              <w:t>Independent Validation Report Published</w:t>
            </w:r>
          </w:p>
        </w:tc>
        <w:tc>
          <w:tcPr>
            <w:tcW w:w="2175" w:type="dxa"/>
            <w:tcMar>
              <w:top w:w="90" w:type="dxa"/>
              <w:left w:w="195" w:type="dxa"/>
              <w:bottom w:w="90" w:type="dxa"/>
              <w:right w:w="195" w:type="dxa"/>
            </w:tcMar>
            <w:hideMark/>
          </w:tcPr>
          <w:p w14:paraId="34B4994D" w14:textId="77777777" w:rsidR="001A1E5B" w:rsidRPr="001A1E5B" w:rsidRDefault="001A1E5B" w:rsidP="0034379C">
            <w:pPr>
              <w:spacing w:after="240"/>
              <w:rPr>
                <w:rFonts w:ascii="Segoe UI" w:hAnsi="Segoe UI" w:cs="Segoe UI"/>
                <w:color w:val="576069"/>
              </w:rPr>
            </w:pPr>
            <w:r w:rsidRPr="001A1E5B">
              <w:rPr>
                <w:rFonts w:ascii="Segoe UI" w:hAnsi="Segoe UI" w:cs="Segoe UI"/>
                <w:color w:val="576069"/>
              </w:rPr>
              <w:t>1 Report</w:t>
            </w:r>
          </w:p>
        </w:tc>
      </w:tr>
      <w:tr w:rsidR="001A1E5B" w14:paraId="40E46E4F" w14:textId="77777777" w:rsidTr="0034379C">
        <w:tc>
          <w:tcPr>
            <w:tcW w:w="2445" w:type="dxa"/>
            <w:tcMar>
              <w:top w:w="90" w:type="dxa"/>
              <w:left w:w="195" w:type="dxa"/>
              <w:bottom w:w="90" w:type="dxa"/>
              <w:right w:w="195" w:type="dxa"/>
            </w:tcMar>
            <w:hideMark/>
          </w:tcPr>
          <w:p w14:paraId="70164E40" w14:textId="77777777" w:rsidR="001A1E5B" w:rsidRPr="001A1E5B" w:rsidRDefault="001A1E5B" w:rsidP="0034379C">
            <w:pPr>
              <w:spacing w:after="240"/>
              <w:rPr>
                <w:rFonts w:ascii="Segoe UI" w:hAnsi="Segoe UI" w:cs="Segoe UI"/>
                <w:color w:val="576069"/>
              </w:rPr>
            </w:pPr>
            <w:r w:rsidRPr="001A1E5B">
              <w:rPr>
                <w:rFonts w:ascii="Segoe UI" w:hAnsi="Segoe UI" w:cs="Segoe UI"/>
                <w:color w:val="576069"/>
              </w:rPr>
              <w:t>Clinical Validation</w:t>
            </w:r>
          </w:p>
        </w:tc>
        <w:tc>
          <w:tcPr>
            <w:tcW w:w="4410" w:type="dxa"/>
            <w:tcMar>
              <w:top w:w="90" w:type="dxa"/>
              <w:left w:w="195" w:type="dxa"/>
              <w:bottom w:w="90" w:type="dxa"/>
              <w:right w:w="195" w:type="dxa"/>
            </w:tcMar>
            <w:hideMark/>
          </w:tcPr>
          <w:p w14:paraId="22C4CE49" w14:textId="77777777" w:rsidR="001A1E5B" w:rsidRPr="001A1E5B" w:rsidRDefault="001A1E5B" w:rsidP="0034379C">
            <w:pPr>
              <w:spacing w:after="240"/>
              <w:rPr>
                <w:rFonts w:ascii="Segoe UI" w:hAnsi="Segoe UI" w:cs="Segoe UI"/>
                <w:color w:val="576069"/>
              </w:rPr>
            </w:pPr>
            <w:r w:rsidRPr="001A1E5B">
              <w:rPr>
                <w:rFonts w:ascii="Segoe UI" w:hAnsi="Segoe UI" w:cs="Segoe UI"/>
                <w:color w:val="576069"/>
              </w:rPr>
              <w:t>IRB-Approved Protocol; LOI with AMC</w:t>
            </w:r>
          </w:p>
        </w:tc>
        <w:tc>
          <w:tcPr>
            <w:tcW w:w="2175" w:type="dxa"/>
            <w:tcMar>
              <w:top w:w="90" w:type="dxa"/>
              <w:left w:w="195" w:type="dxa"/>
              <w:bottom w:w="90" w:type="dxa"/>
              <w:right w:w="195" w:type="dxa"/>
            </w:tcMar>
            <w:hideMark/>
          </w:tcPr>
          <w:p w14:paraId="732A82AF" w14:textId="77777777" w:rsidR="001A1E5B" w:rsidRPr="001A1E5B" w:rsidRDefault="001A1E5B" w:rsidP="0034379C">
            <w:pPr>
              <w:spacing w:after="240"/>
              <w:rPr>
                <w:rFonts w:ascii="Segoe UI" w:hAnsi="Segoe UI" w:cs="Segoe UI"/>
                <w:color w:val="576069"/>
              </w:rPr>
            </w:pPr>
            <w:r w:rsidRPr="001A1E5B">
              <w:rPr>
                <w:rFonts w:ascii="Segoe UI" w:hAnsi="Segoe UI" w:cs="Segoe UI"/>
                <w:color w:val="576069"/>
              </w:rPr>
              <w:t>1 of Each</w:t>
            </w:r>
          </w:p>
        </w:tc>
      </w:tr>
      <w:tr w:rsidR="0034379C" w14:paraId="25EE7B3A" w14:textId="77777777" w:rsidTr="0034379C">
        <w:tc>
          <w:tcPr>
            <w:tcW w:w="2445" w:type="dxa"/>
            <w:tcMar>
              <w:top w:w="90" w:type="dxa"/>
              <w:left w:w="195" w:type="dxa"/>
              <w:bottom w:w="90" w:type="dxa"/>
              <w:right w:w="195" w:type="dxa"/>
            </w:tcMar>
            <w:hideMark/>
          </w:tcPr>
          <w:p w14:paraId="16689469"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Financial Stability</w:t>
            </w:r>
          </w:p>
        </w:tc>
        <w:tc>
          <w:tcPr>
            <w:tcW w:w="4410" w:type="dxa"/>
            <w:tcMar>
              <w:top w:w="90" w:type="dxa"/>
              <w:left w:w="195" w:type="dxa"/>
              <w:bottom w:w="90" w:type="dxa"/>
              <w:right w:w="195" w:type="dxa"/>
            </w:tcMar>
          </w:tcPr>
          <w:p w14:paraId="45122D1A" w14:textId="23637405" w:rsidR="0034379C" w:rsidRPr="001A1E5B" w:rsidRDefault="0034379C" w:rsidP="0034379C">
            <w:pPr>
              <w:spacing w:after="240"/>
              <w:rPr>
                <w:rFonts w:ascii="Segoe UI" w:hAnsi="Segoe UI" w:cs="Segoe UI"/>
                <w:color w:val="576069"/>
              </w:rPr>
            </w:pPr>
            <w:r w:rsidRPr="001A1E5B">
              <w:rPr>
                <w:rFonts w:ascii="Segoe UI" w:hAnsi="Segoe UI" w:cs="Segoe UI"/>
                <w:color w:val="576069"/>
              </w:rPr>
              <w:t>Non-Dilutive Grant Funding Secured</w:t>
            </w:r>
          </w:p>
        </w:tc>
        <w:tc>
          <w:tcPr>
            <w:tcW w:w="2175" w:type="dxa"/>
            <w:tcMar>
              <w:top w:w="90" w:type="dxa"/>
              <w:left w:w="195" w:type="dxa"/>
              <w:bottom w:w="90" w:type="dxa"/>
              <w:right w:w="195" w:type="dxa"/>
            </w:tcMar>
            <w:hideMark/>
          </w:tcPr>
          <w:p w14:paraId="655917AF"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≥$250K</w:t>
            </w:r>
          </w:p>
        </w:tc>
      </w:tr>
      <w:tr w:rsidR="0034379C" w14:paraId="6618F555" w14:textId="77777777" w:rsidTr="0034379C">
        <w:tc>
          <w:tcPr>
            <w:tcW w:w="2445" w:type="dxa"/>
            <w:tcMar>
              <w:top w:w="90" w:type="dxa"/>
              <w:left w:w="195" w:type="dxa"/>
              <w:bottom w:w="90" w:type="dxa"/>
              <w:right w:w="195" w:type="dxa"/>
            </w:tcMar>
            <w:hideMark/>
          </w:tcPr>
          <w:p w14:paraId="48FA3411"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Financial Stability</w:t>
            </w:r>
          </w:p>
        </w:tc>
        <w:tc>
          <w:tcPr>
            <w:tcW w:w="4410" w:type="dxa"/>
            <w:tcMar>
              <w:top w:w="90" w:type="dxa"/>
              <w:left w:w="195" w:type="dxa"/>
              <w:bottom w:w="90" w:type="dxa"/>
              <w:right w:w="195" w:type="dxa"/>
            </w:tcMar>
            <w:hideMark/>
          </w:tcPr>
          <w:p w14:paraId="41AC3B67"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Cloud Infrastructure Credits</w:t>
            </w:r>
          </w:p>
        </w:tc>
        <w:tc>
          <w:tcPr>
            <w:tcW w:w="2175" w:type="dxa"/>
            <w:tcMar>
              <w:top w:w="90" w:type="dxa"/>
              <w:left w:w="195" w:type="dxa"/>
              <w:bottom w:w="90" w:type="dxa"/>
              <w:right w:w="195" w:type="dxa"/>
            </w:tcMar>
            <w:hideMark/>
          </w:tcPr>
          <w:p w14:paraId="076FC659"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≥$100K</w:t>
            </w:r>
          </w:p>
        </w:tc>
      </w:tr>
      <w:tr w:rsidR="0034379C" w14:paraId="750F2484" w14:textId="77777777" w:rsidTr="0034379C">
        <w:tc>
          <w:tcPr>
            <w:tcW w:w="2445" w:type="dxa"/>
            <w:tcMar>
              <w:top w:w="90" w:type="dxa"/>
              <w:left w:w="195" w:type="dxa"/>
              <w:bottom w:w="90" w:type="dxa"/>
              <w:right w:w="195" w:type="dxa"/>
            </w:tcMar>
            <w:hideMark/>
          </w:tcPr>
          <w:p w14:paraId="6688B623"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Team Development</w:t>
            </w:r>
          </w:p>
        </w:tc>
        <w:tc>
          <w:tcPr>
            <w:tcW w:w="4410" w:type="dxa"/>
            <w:tcMar>
              <w:top w:w="90" w:type="dxa"/>
              <w:left w:w="195" w:type="dxa"/>
              <w:bottom w:w="90" w:type="dxa"/>
              <w:right w:w="195" w:type="dxa"/>
            </w:tcMar>
            <w:hideMark/>
          </w:tcPr>
          <w:p w14:paraId="25C04B03" w14:textId="3208BCEF" w:rsidR="0034379C" w:rsidRPr="001A1E5B" w:rsidRDefault="0034379C" w:rsidP="0034379C">
            <w:pPr>
              <w:spacing w:after="240"/>
              <w:rPr>
                <w:rFonts w:ascii="Segoe UI" w:hAnsi="Segoe UI" w:cs="Segoe UI"/>
                <w:color w:val="576069"/>
              </w:rPr>
            </w:pPr>
            <w:r w:rsidRPr="001A1E5B">
              <w:rPr>
                <w:rFonts w:ascii="Segoe UI" w:hAnsi="Segoe UI" w:cs="Segoe UI"/>
                <w:color w:val="576069"/>
              </w:rPr>
              <w:t xml:space="preserve">Key Fractional </w:t>
            </w:r>
            <w:r w:rsidR="00774EE4" w:rsidRPr="001A1E5B">
              <w:rPr>
                <w:rFonts w:ascii="Segoe UI" w:hAnsi="Segoe UI" w:cs="Segoe UI"/>
                <w:color w:val="576069"/>
              </w:rPr>
              <w:t>Hires:</w:t>
            </w:r>
            <w:r w:rsidRPr="001A1E5B">
              <w:rPr>
                <w:rFonts w:ascii="Segoe UI" w:hAnsi="Segoe UI" w:cs="Segoe UI"/>
                <w:color w:val="576069"/>
              </w:rPr>
              <w:t xml:space="preserve"> CAB Formed</w:t>
            </w:r>
          </w:p>
        </w:tc>
        <w:tc>
          <w:tcPr>
            <w:tcW w:w="2175" w:type="dxa"/>
            <w:tcMar>
              <w:top w:w="90" w:type="dxa"/>
              <w:left w:w="195" w:type="dxa"/>
              <w:bottom w:w="90" w:type="dxa"/>
              <w:right w:w="195" w:type="dxa"/>
            </w:tcMar>
            <w:hideMark/>
          </w:tcPr>
          <w:p w14:paraId="5D0A73F3"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2 Hires; 4 CAB Members</w:t>
            </w:r>
          </w:p>
        </w:tc>
      </w:tr>
      <w:tr w:rsidR="0034379C" w14:paraId="3719102C" w14:textId="77777777" w:rsidTr="0034379C">
        <w:tc>
          <w:tcPr>
            <w:tcW w:w="2445" w:type="dxa"/>
            <w:tcMar>
              <w:top w:w="90" w:type="dxa"/>
              <w:left w:w="195" w:type="dxa"/>
              <w:bottom w:w="90" w:type="dxa"/>
              <w:right w:w="195" w:type="dxa"/>
            </w:tcMar>
            <w:hideMark/>
          </w:tcPr>
          <w:p w14:paraId="60F8C3BA"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Product Demonstration</w:t>
            </w:r>
          </w:p>
        </w:tc>
        <w:tc>
          <w:tcPr>
            <w:tcW w:w="4410" w:type="dxa"/>
            <w:tcMar>
              <w:top w:w="90" w:type="dxa"/>
              <w:left w:w="195" w:type="dxa"/>
              <w:bottom w:w="90" w:type="dxa"/>
              <w:right w:w="195" w:type="dxa"/>
            </w:tcMar>
            <w:hideMark/>
          </w:tcPr>
          <w:p w14:paraId="4279A670"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Interactive Demo Environment</w:t>
            </w:r>
          </w:p>
        </w:tc>
        <w:tc>
          <w:tcPr>
            <w:tcW w:w="2175" w:type="dxa"/>
            <w:tcMar>
              <w:top w:w="90" w:type="dxa"/>
              <w:left w:w="195" w:type="dxa"/>
              <w:bottom w:w="90" w:type="dxa"/>
              <w:right w:w="195" w:type="dxa"/>
            </w:tcMar>
            <w:hideMark/>
          </w:tcPr>
          <w:p w14:paraId="4FF2F7CB"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1 Live Demo</w:t>
            </w:r>
          </w:p>
        </w:tc>
      </w:tr>
      <w:tr w:rsidR="0034379C" w14:paraId="7B691FE8" w14:textId="77777777" w:rsidTr="0034379C">
        <w:tc>
          <w:tcPr>
            <w:tcW w:w="2445" w:type="dxa"/>
            <w:tcMar>
              <w:top w:w="90" w:type="dxa"/>
              <w:left w:w="195" w:type="dxa"/>
              <w:bottom w:w="90" w:type="dxa"/>
              <w:right w:w="195" w:type="dxa"/>
            </w:tcMar>
            <w:hideMark/>
          </w:tcPr>
          <w:p w14:paraId="578E3143"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Early Commercial Traction</w:t>
            </w:r>
          </w:p>
        </w:tc>
        <w:tc>
          <w:tcPr>
            <w:tcW w:w="4410" w:type="dxa"/>
            <w:tcMar>
              <w:top w:w="90" w:type="dxa"/>
              <w:left w:w="195" w:type="dxa"/>
              <w:bottom w:w="90" w:type="dxa"/>
              <w:right w:w="195" w:type="dxa"/>
            </w:tcMar>
            <w:hideMark/>
          </w:tcPr>
          <w:p w14:paraId="0504C9E9"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Pilot Contract Revenue (ARR)</w:t>
            </w:r>
          </w:p>
        </w:tc>
        <w:tc>
          <w:tcPr>
            <w:tcW w:w="2175" w:type="dxa"/>
            <w:tcMar>
              <w:top w:w="90" w:type="dxa"/>
              <w:left w:w="195" w:type="dxa"/>
              <w:bottom w:w="90" w:type="dxa"/>
              <w:right w:w="195" w:type="dxa"/>
            </w:tcMar>
            <w:hideMark/>
          </w:tcPr>
          <w:p w14:paraId="23C298B5"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≥$5,000</w:t>
            </w:r>
          </w:p>
        </w:tc>
      </w:tr>
      <w:tr w:rsidR="0034379C" w14:paraId="56E368B5" w14:textId="77777777" w:rsidTr="0034379C">
        <w:tc>
          <w:tcPr>
            <w:tcW w:w="2445" w:type="dxa"/>
            <w:tcMar>
              <w:top w:w="90" w:type="dxa"/>
              <w:left w:w="195" w:type="dxa"/>
              <w:bottom w:w="90" w:type="dxa"/>
              <w:right w:w="195" w:type="dxa"/>
            </w:tcMar>
            <w:hideMark/>
          </w:tcPr>
          <w:p w14:paraId="0AFA046A"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Investor Readiness</w:t>
            </w:r>
          </w:p>
        </w:tc>
        <w:tc>
          <w:tcPr>
            <w:tcW w:w="4410" w:type="dxa"/>
            <w:tcMar>
              <w:top w:w="90" w:type="dxa"/>
              <w:left w:w="195" w:type="dxa"/>
              <w:bottom w:w="90" w:type="dxa"/>
              <w:right w:w="195" w:type="dxa"/>
            </w:tcMar>
            <w:hideMark/>
          </w:tcPr>
          <w:p w14:paraId="34881706"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Target VC Firms Engaged</w:t>
            </w:r>
          </w:p>
        </w:tc>
        <w:tc>
          <w:tcPr>
            <w:tcW w:w="2175" w:type="dxa"/>
            <w:tcMar>
              <w:top w:w="90" w:type="dxa"/>
              <w:left w:w="195" w:type="dxa"/>
              <w:bottom w:w="90" w:type="dxa"/>
              <w:right w:w="195" w:type="dxa"/>
            </w:tcMar>
            <w:hideMark/>
          </w:tcPr>
          <w:p w14:paraId="63E803B7"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15–20 Firms</w:t>
            </w:r>
          </w:p>
        </w:tc>
      </w:tr>
      <w:tr w:rsidR="0034379C" w14:paraId="7D423C99" w14:textId="77777777" w:rsidTr="0034379C">
        <w:tc>
          <w:tcPr>
            <w:tcW w:w="2445" w:type="dxa"/>
            <w:tcMar>
              <w:top w:w="90" w:type="dxa"/>
              <w:left w:w="195" w:type="dxa"/>
              <w:bottom w:w="90" w:type="dxa"/>
              <w:right w:w="195" w:type="dxa"/>
            </w:tcMar>
            <w:hideMark/>
          </w:tcPr>
          <w:p w14:paraId="6D34D0CD"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Clinical Data</w:t>
            </w:r>
          </w:p>
        </w:tc>
        <w:tc>
          <w:tcPr>
            <w:tcW w:w="4410" w:type="dxa"/>
            <w:tcMar>
              <w:top w:w="90" w:type="dxa"/>
              <w:left w:w="195" w:type="dxa"/>
              <w:bottom w:w="90" w:type="dxa"/>
              <w:right w:w="195" w:type="dxa"/>
            </w:tcMar>
            <w:hideMark/>
          </w:tcPr>
          <w:p w14:paraId="1E3B3BA4"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Feasibility Study Interim Report</w:t>
            </w:r>
          </w:p>
        </w:tc>
        <w:tc>
          <w:tcPr>
            <w:tcW w:w="2175" w:type="dxa"/>
            <w:tcMar>
              <w:top w:w="90" w:type="dxa"/>
              <w:left w:w="195" w:type="dxa"/>
              <w:bottom w:w="90" w:type="dxa"/>
              <w:right w:w="195" w:type="dxa"/>
            </w:tcMar>
            <w:hideMark/>
          </w:tcPr>
          <w:p w14:paraId="616BBD18"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1 Report (6-month)</w:t>
            </w:r>
          </w:p>
        </w:tc>
      </w:tr>
      <w:tr w:rsidR="0034379C" w14:paraId="771FA2EE" w14:textId="77777777" w:rsidTr="0034379C">
        <w:tc>
          <w:tcPr>
            <w:tcW w:w="2445" w:type="dxa"/>
            <w:tcMar>
              <w:top w:w="90" w:type="dxa"/>
              <w:left w:w="195" w:type="dxa"/>
              <w:bottom w:w="90" w:type="dxa"/>
              <w:right w:w="195" w:type="dxa"/>
            </w:tcMar>
            <w:hideMark/>
          </w:tcPr>
          <w:p w14:paraId="711BB596"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Interoperability Path</w:t>
            </w:r>
          </w:p>
        </w:tc>
        <w:tc>
          <w:tcPr>
            <w:tcW w:w="4410" w:type="dxa"/>
            <w:tcMar>
              <w:top w:w="90" w:type="dxa"/>
              <w:left w:w="195" w:type="dxa"/>
              <w:bottom w:w="90" w:type="dxa"/>
              <w:right w:w="195" w:type="dxa"/>
            </w:tcMar>
            <w:hideMark/>
          </w:tcPr>
          <w:p w14:paraId="4F122D02"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EHR Integration Application Submitted</w:t>
            </w:r>
          </w:p>
        </w:tc>
        <w:tc>
          <w:tcPr>
            <w:tcW w:w="2175" w:type="dxa"/>
            <w:tcMar>
              <w:top w:w="90" w:type="dxa"/>
              <w:left w:w="195" w:type="dxa"/>
              <w:bottom w:w="90" w:type="dxa"/>
              <w:right w:w="195" w:type="dxa"/>
            </w:tcMar>
            <w:hideMark/>
          </w:tcPr>
          <w:p w14:paraId="075586C3" w14:textId="77777777" w:rsidR="0034379C" w:rsidRPr="001A1E5B" w:rsidRDefault="0034379C" w:rsidP="0034379C">
            <w:pPr>
              <w:spacing w:after="240"/>
              <w:rPr>
                <w:rFonts w:ascii="Segoe UI" w:hAnsi="Segoe UI" w:cs="Segoe UI"/>
                <w:color w:val="576069"/>
              </w:rPr>
            </w:pPr>
            <w:r w:rsidRPr="001A1E5B">
              <w:rPr>
                <w:rFonts w:ascii="Segoe UI" w:hAnsi="Segoe UI" w:cs="Segoe UI"/>
                <w:color w:val="576069"/>
              </w:rPr>
              <w:t>Epic or Cerner</w:t>
            </w:r>
          </w:p>
        </w:tc>
      </w:tr>
    </w:tbl>
    <w:p w14:paraId="13BA783A" w14:textId="77777777" w:rsidR="001A1E5B" w:rsidRPr="0034379C" w:rsidRDefault="001A1E5B" w:rsidP="001A1E5B">
      <w:pPr>
        <w:pStyle w:val="NormalWeb"/>
        <w:spacing w:before="0" w:beforeAutospacing="0" w:after="240" w:afterAutospacing="0"/>
        <w:rPr>
          <w:rFonts w:ascii="Segoe UI" w:hAnsi="Segoe UI" w:cs="Segoe UI"/>
          <w:i/>
          <w:iCs/>
          <w:color w:val="576069"/>
        </w:rPr>
      </w:pPr>
      <w:r w:rsidRPr="0034379C">
        <w:rPr>
          <w:rStyle w:val="Strong"/>
          <w:rFonts w:ascii="Segoe UI" w:hAnsi="Segoe UI" w:cs="Segoe UI"/>
          <w:i/>
          <w:iCs/>
          <w:color w:val="576069"/>
        </w:rPr>
        <w:t>Table 1.</w:t>
      </w:r>
      <w:r w:rsidRPr="0034379C">
        <w:rPr>
          <w:rStyle w:val="apple-converted-space"/>
          <w:rFonts w:ascii="Segoe UI" w:hAnsi="Segoe UI" w:cs="Segoe UI"/>
          <w:i/>
          <w:iCs/>
          <w:color w:val="576069"/>
        </w:rPr>
        <w:t> </w:t>
      </w:r>
      <w:r w:rsidRPr="0034379C">
        <w:rPr>
          <w:rFonts w:ascii="Segoe UI" w:hAnsi="Segoe UI" w:cs="Segoe UI"/>
          <w:i/>
          <w:iCs/>
          <w:color w:val="576069"/>
        </w:rPr>
        <w:t>Expected Outcomes of Strategic Activation Framework Implementation</w:t>
      </w:r>
    </w:p>
    <w:p w14:paraId="25A302D0" w14:textId="77777777" w:rsidR="00096EA0" w:rsidRDefault="00096EA0" w:rsidP="001A1E5B">
      <w:pPr>
        <w:pStyle w:val="NormalWeb"/>
        <w:spacing w:before="0" w:beforeAutospacing="0" w:after="240" w:afterAutospacing="0"/>
        <w:rPr>
          <w:rFonts w:ascii="Segoe UI" w:hAnsi="Segoe UI" w:cs="Segoe UI"/>
          <w:color w:val="576069"/>
        </w:rPr>
      </w:pPr>
    </w:p>
    <w:p w14:paraId="73A314F8" w14:textId="41A658A1"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These outcomes collectively transform IHEP's risk profile across the dimensions Series A investors evaluate:</w:t>
      </w:r>
    </w:p>
    <w:p w14:paraId="52686E5F"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Team Risk → Mitigated:</w:t>
      </w:r>
      <w:r w:rsidRPr="001A1E5B">
        <w:rPr>
          <w:rStyle w:val="apple-converted-space"/>
          <w:rFonts w:ascii="Segoe UI" w:hAnsi="Segoe UI" w:cs="Segoe UI"/>
          <w:color w:val="576069"/>
        </w:rPr>
        <w:t> </w:t>
      </w:r>
      <w:r w:rsidRPr="001A1E5B">
        <w:rPr>
          <w:rFonts w:ascii="Segoe UI" w:hAnsi="Segoe UI" w:cs="Segoe UI"/>
          <w:color w:val="576069"/>
        </w:rPr>
        <w:t>Addition of credible CMO and CTO closes execution capability gaps. Advisory structures provide scientific and community credibility.</w:t>
      </w:r>
    </w:p>
    <w:p w14:paraId="0B5F0B28"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Technology Risk → Reduced:</w:t>
      </w:r>
      <w:r w:rsidRPr="001A1E5B">
        <w:rPr>
          <w:rStyle w:val="apple-converted-space"/>
          <w:rFonts w:ascii="Segoe UI" w:hAnsi="Segoe UI" w:cs="Segoe UI"/>
          <w:color w:val="576069"/>
        </w:rPr>
        <w:t> </w:t>
      </w:r>
      <w:r w:rsidRPr="001A1E5B">
        <w:rPr>
          <w:rFonts w:ascii="Segoe UI" w:hAnsi="Segoe UI" w:cs="Segoe UI"/>
          <w:color w:val="576069"/>
        </w:rPr>
        <w:t>Independent validation and live demo prove technical feasibility. Cloud partnership signals ecosystem support.</w:t>
      </w:r>
    </w:p>
    <w:p w14:paraId="583BAC6F"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Market Risk → Addressed:</w:t>
      </w:r>
      <w:r w:rsidRPr="001A1E5B">
        <w:rPr>
          <w:rStyle w:val="apple-converted-space"/>
          <w:rFonts w:ascii="Segoe UI" w:hAnsi="Segoe UI" w:cs="Segoe UI"/>
          <w:color w:val="576069"/>
        </w:rPr>
        <w:t> </w:t>
      </w:r>
      <w:r w:rsidRPr="001A1E5B">
        <w:rPr>
          <w:rFonts w:ascii="Segoe UI" w:hAnsi="Segoe UI" w:cs="Segoe UI"/>
          <w:color w:val="576069"/>
        </w:rPr>
        <w:t>First revenue contract and clinical pilot partnership demonstrate demand and willingness-to-pay from target customers.</w:t>
      </w:r>
    </w:p>
    <w:p w14:paraId="0453134B"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Execution Risk → Lowered:</w:t>
      </w:r>
      <w:r w:rsidRPr="001A1E5B">
        <w:rPr>
          <w:rStyle w:val="apple-converted-space"/>
          <w:rFonts w:ascii="Segoe UI" w:hAnsi="Segoe UI" w:cs="Segoe UI"/>
          <w:color w:val="576069"/>
        </w:rPr>
        <w:t> </w:t>
      </w:r>
      <w:r w:rsidRPr="001A1E5B">
        <w:rPr>
          <w:rFonts w:ascii="Segoe UI" w:hAnsi="Segoe UI" w:cs="Segoe UI"/>
          <w:color w:val="576069"/>
        </w:rPr>
        <w:t>Achievement of defined milestones on timeline demonstrates founder's ability to execute systematically.</w:t>
      </w:r>
    </w:p>
    <w:p w14:paraId="0217C61E"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Funding Risk → Deferred:</w:t>
      </w:r>
      <w:r w:rsidRPr="001A1E5B">
        <w:rPr>
          <w:rStyle w:val="apple-converted-space"/>
          <w:rFonts w:ascii="Segoe UI" w:hAnsi="Segoe UI" w:cs="Segoe UI"/>
          <w:color w:val="576069"/>
        </w:rPr>
        <w:t> </w:t>
      </w:r>
      <w:r w:rsidRPr="001A1E5B">
        <w:rPr>
          <w:rFonts w:ascii="Segoe UI" w:hAnsi="Segoe UI" w:cs="Segoe UI"/>
          <w:color w:val="576069"/>
        </w:rPr>
        <w:t>Non-dilutive capital extends runway, reducing time pressure and negotiating leverage concerns.</w:t>
      </w:r>
    </w:p>
    <w:p w14:paraId="65182445" w14:textId="77777777" w:rsidR="001A1E5B" w:rsidRDefault="00216278" w:rsidP="001A1E5B">
      <w:pPr>
        <w:spacing w:before="360" w:after="360"/>
        <w:rPr>
          <w:rFonts w:ascii="Segoe UI" w:hAnsi="Segoe UI" w:cs="Segoe UI"/>
        </w:rPr>
      </w:pPr>
      <w:r>
        <w:rPr>
          <w:noProof/>
        </w:rPr>
        <w:pict w14:anchorId="00D974F8">
          <v:rect id="_x0000_i1028" alt="" style="width:431.95pt;height:.05pt;mso-width-percent:0;mso-height-percent:0;mso-width-percent:0;mso-height-percent:0" o:hrpct="923" o:hralign="center" o:hrstd="t" o:hr="t" fillcolor="#a0a0a0" stroked="f"/>
        </w:pict>
      </w:r>
    </w:p>
    <w:p w14:paraId="1A2739D1" w14:textId="77777777" w:rsidR="00552022" w:rsidRDefault="00552022">
      <w:pPr>
        <w:rPr>
          <w:rFonts w:ascii="Segoe UI" w:eastAsia="Times New Roman" w:hAnsi="Segoe UI" w:cs="Segoe UI"/>
          <w:b/>
          <w:bCs/>
          <w:color w:val="548DD4" w:themeColor="text2" w:themeTint="99"/>
          <w:sz w:val="32"/>
          <w:szCs w:val="32"/>
        </w:rPr>
      </w:pPr>
      <w:r>
        <w:br w:type="page"/>
      </w:r>
    </w:p>
    <w:p w14:paraId="6A344DD2" w14:textId="2ADDCDA7" w:rsidR="001A1E5B" w:rsidRPr="001A1E5B" w:rsidRDefault="001A1E5B" w:rsidP="00096EA0">
      <w:pPr>
        <w:pStyle w:val="Heading1"/>
      </w:pPr>
      <w:r w:rsidRPr="001A1E5B">
        <w:t>6. Discussion</w:t>
      </w:r>
    </w:p>
    <w:p w14:paraId="739A7190" w14:textId="77777777" w:rsidR="001A1E5B" w:rsidRPr="001A1E5B" w:rsidRDefault="001A1E5B" w:rsidP="00096EA0">
      <w:pPr>
        <w:pStyle w:val="Heading2"/>
      </w:pPr>
      <w:r w:rsidRPr="001A1E5B">
        <w:t>6.1 Theoretical Contribution</w:t>
      </w:r>
    </w:p>
    <w:p w14:paraId="0703A052"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The Strategic Activation Framework contributes to the intersection of implementation science and entrepreneurship by providing a structured translation methodology specifically designed for the valley of death phase. Existing implementation frameworks such as CFIR and DH-EquIR address the deployment of ready technologies into clinical settings. The SAF operates at an earlier phase, addressing how validated concepts become deployment-ready technologies.[10][11]</w:t>
      </w:r>
    </w:p>
    <w:p w14:paraId="312A18C5"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This represents a form of "pre-implementation" framework—a gap identified but not yet systematically addressed in the literature. The framework synthesizes constructs from multiple domains (technology validation, clinical partnership formation, capital acquisition, team assembly) into a coherent, sequenced methodology. This integration is itself a contribution, as these domains are typically addressed independently in disparate literatures.</w:t>
      </w:r>
    </w:p>
    <w:p w14:paraId="37051323" w14:textId="77777777" w:rsidR="001A1E5B" w:rsidRPr="001A1E5B" w:rsidRDefault="001A1E5B" w:rsidP="00096EA0">
      <w:pPr>
        <w:pStyle w:val="Heading2"/>
      </w:pPr>
      <w:r w:rsidRPr="001A1E5B">
        <w:t>6.2 Practical Implications</w:t>
      </w:r>
    </w:p>
    <w:p w14:paraId="58BBE9D3"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For digital health founders, the SAF provides actionable guidance for the most challenging phase of venture development. Rather than generic advice to "get traction" or "build a team," the framework specifies exactly what forms of traction matter for Series A positioning, in what sequence activities should be executed, and how different interventions reinforce each other.</w:t>
      </w:r>
    </w:p>
    <w:p w14:paraId="3C0621C3"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For accelerators and innovation support programs, the framework offers a curriculum structure. Programs targeting early-stage health technology ventures can organize support services (mentorship, technical assistance, network access) around the SAF's phased structure, ensuring that ventures receive appropriate support at each translational stage.</w:t>
      </w:r>
    </w:p>
    <w:p w14:paraId="524A1513"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For health innovation policy, the framework highlights the critical importance of non-dilutive financing mechanisms such as SBIR grants in bridging the valley of death. The SAF explicitly positions grant funding not as an alternative to venture capital but as a strategic tool for de-risking ventures to a point where VC investment becomes rational.</w:t>
      </w:r>
    </w:p>
    <w:p w14:paraId="7F174E91" w14:textId="77777777" w:rsidR="001A1E5B" w:rsidRPr="001A1E5B" w:rsidRDefault="001A1E5B" w:rsidP="00096EA0">
      <w:pPr>
        <w:pStyle w:val="Heading2"/>
      </w:pPr>
      <w:r w:rsidRPr="001A1E5B">
        <w:t>6.3 Limitations and Boundary Conditions</w:t>
      </w:r>
    </w:p>
    <w:p w14:paraId="3C2E1A9F"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The Strategic Activation Framework was developed through analysis of digital health venture trajectories and application to a single case (IHEP). Several limitations warrant acknowledgment:</w:t>
      </w:r>
    </w:p>
    <w:p w14:paraId="4FC008AC"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Generalizability:</w:t>
      </w:r>
      <w:r w:rsidRPr="001A1E5B">
        <w:rPr>
          <w:rStyle w:val="apple-converted-space"/>
          <w:rFonts w:ascii="Segoe UI" w:hAnsi="Segoe UI" w:cs="Segoe UI"/>
          <w:color w:val="576069"/>
        </w:rPr>
        <w:t> </w:t>
      </w:r>
      <w:r w:rsidRPr="001A1E5B">
        <w:rPr>
          <w:rFonts w:ascii="Segoe UI" w:hAnsi="Segoe UI" w:cs="Segoe UI"/>
          <w:color w:val="576069"/>
        </w:rPr>
        <w:t>While the framework's structure should apply to deep-tech health ventures broadly, specific actions and timelines may require adaptation for different technology categories (diagnostics vs. therapeutics vs. digital health) or regulatory pathways (FDA Class II devices vs. clinical decision support vs. wellness applications).</w:t>
      </w:r>
    </w:p>
    <w:p w14:paraId="15199032"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Resource Requirements:</w:t>
      </w:r>
      <w:r w:rsidRPr="001A1E5B">
        <w:rPr>
          <w:rStyle w:val="apple-converted-space"/>
          <w:rFonts w:ascii="Segoe UI" w:hAnsi="Segoe UI" w:cs="Segoe UI"/>
          <w:color w:val="576069"/>
        </w:rPr>
        <w:t> </w:t>
      </w:r>
      <w:r w:rsidRPr="001A1E5B">
        <w:rPr>
          <w:rFonts w:ascii="Segoe UI" w:hAnsi="Segoe UI" w:cs="Segoe UI"/>
          <w:color w:val="576069"/>
        </w:rPr>
        <w:t>The framework assumes founder availability for intensive execution, access to academic or clinical institutional partners, and sufficient capital to hire fractional executives and build demonstration artifacts. Ventures lacking these resources may require modified approaches.</w:t>
      </w:r>
    </w:p>
    <w:p w14:paraId="10BD7C40"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Market Timing:</w:t>
      </w:r>
      <w:r w:rsidRPr="001A1E5B">
        <w:rPr>
          <w:rStyle w:val="apple-converted-space"/>
          <w:rFonts w:ascii="Segoe UI" w:hAnsi="Segoe UI" w:cs="Segoe UI"/>
          <w:color w:val="576069"/>
        </w:rPr>
        <w:t> </w:t>
      </w:r>
      <w:r w:rsidRPr="001A1E5B">
        <w:rPr>
          <w:rFonts w:ascii="Segoe UI" w:hAnsi="Segoe UI" w:cs="Segoe UI"/>
          <w:color w:val="576069"/>
        </w:rPr>
        <w:t>The framework reflects Series A investment criteria as of 2025–2026. Investment criteria evolve with market conditions; during periods of exceptionally loose or tight capital availability, emphasis on specific milestones may shift.[2][1]</w:t>
      </w:r>
    </w:p>
    <w:p w14:paraId="50544B90"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Clinical Indication Specificity:</w:t>
      </w:r>
      <w:r w:rsidRPr="001A1E5B">
        <w:rPr>
          <w:rStyle w:val="apple-converted-space"/>
          <w:rFonts w:ascii="Segoe UI" w:hAnsi="Segoe UI" w:cs="Segoe UI"/>
          <w:color w:val="576069"/>
        </w:rPr>
        <w:t> </w:t>
      </w:r>
      <w:r w:rsidRPr="001A1E5B">
        <w:rPr>
          <w:rFonts w:ascii="Segoe UI" w:hAnsi="Segoe UI" w:cs="Segoe UI"/>
          <w:color w:val="576069"/>
        </w:rPr>
        <w:t>IHEP targets HIV aftercare, an indication with established clinical outcomes, active research communities, and federal funding support. Ventures targeting less-established indications or entirely novel intervention modalities may face different validation requirements.</w:t>
      </w:r>
    </w:p>
    <w:p w14:paraId="4CE3A283" w14:textId="77777777" w:rsidR="001A1E5B" w:rsidRPr="001A1E5B" w:rsidRDefault="001A1E5B" w:rsidP="00096EA0">
      <w:pPr>
        <w:pStyle w:val="Heading2"/>
      </w:pPr>
      <w:r w:rsidRPr="001A1E5B">
        <w:t>6.4 Alternative Approaches</w:t>
      </w:r>
    </w:p>
    <w:p w14:paraId="53DE5534"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The SAF represents one methodology for bridging the valley of death. Alternative or complementary approaches include:</w:t>
      </w:r>
    </w:p>
    <w:p w14:paraId="7A77AF90" w14:textId="77777777" w:rsidR="00552022" w:rsidRDefault="00552022" w:rsidP="001A1E5B">
      <w:pPr>
        <w:pStyle w:val="NormalWeb"/>
        <w:spacing w:before="0" w:beforeAutospacing="0" w:after="240" w:afterAutospacing="0"/>
        <w:rPr>
          <w:rStyle w:val="Strong"/>
          <w:rFonts w:ascii="Segoe UI" w:hAnsi="Segoe UI" w:cs="Segoe UI"/>
          <w:color w:val="576069"/>
        </w:rPr>
      </w:pPr>
    </w:p>
    <w:p w14:paraId="13778F06" w14:textId="392FD128"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Corporate Partnership Strategy:</w:t>
      </w:r>
      <w:r w:rsidRPr="001A1E5B">
        <w:rPr>
          <w:rStyle w:val="apple-converted-space"/>
          <w:rFonts w:ascii="Segoe UI" w:hAnsi="Segoe UI" w:cs="Segoe UI"/>
          <w:color w:val="576069"/>
        </w:rPr>
        <w:t> </w:t>
      </w:r>
      <w:r w:rsidRPr="001A1E5B">
        <w:rPr>
          <w:rFonts w:ascii="Segoe UI" w:hAnsi="Segoe UI" w:cs="Segoe UI"/>
          <w:color w:val="576069"/>
        </w:rPr>
        <w:t>Rather than building toward VC-backed independence, partner early with a large health system or payer as strategic investor and pilot site. This trades some autonomy for capital and market access.[7]</w:t>
      </w:r>
    </w:p>
    <w:p w14:paraId="6CB69891"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Bootstrapped Growth:</w:t>
      </w:r>
      <w:r w:rsidRPr="001A1E5B">
        <w:rPr>
          <w:rStyle w:val="apple-converted-space"/>
          <w:rFonts w:ascii="Segoe UI" w:hAnsi="Segoe UI" w:cs="Segoe UI"/>
          <w:color w:val="576069"/>
        </w:rPr>
        <w:t> </w:t>
      </w:r>
      <w:r w:rsidRPr="001A1E5B">
        <w:rPr>
          <w:rFonts w:ascii="Segoe UI" w:hAnsi="Segoe UI" w:cs="Segoe UI"/>
          <w:color w:val="576069"/>
        </w:rPr>
        <w:t>Focus exclusively on revenue generation from early pilots, scaling organically without venture capital. This requires lower initial capital intensity and longer timelines to scale.[6]</w:t>
      </w:r>
    </w:p>
    <w:p w14:paraId="3407E624"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Style w:val="Strong"/>
          <w:rFonts w:ascii="Segoe UI" w:hAnsi="Segoe UI" w:cs="Segoe UI"/>
          <w:color w:val="576069"/>
        </w:rPr>
        <w:t>Academic Spinout Model:</w:t>
      </w:r>
      <w:r w:rsidRPr="001A1E5B">
        <w:rPr>
          <w:rStyle w:val="apple-converted-space"/>
          <w:rFonts w:ascii="Segoe UI" w:hAnsi="Segoe UI" w:cs="Segoe UI"/>
          <w:color w:val="576069"/>
        </w:rPr>
        <w:t> </w:t>
      </w:r>
      <w:r w:rsidRPr="001A1E5B">
        <w:rPr>
          <w:rFonts w:ascii="Segoe UI" w:hAnsi="Segoe UI" w:cs="Segoe UI"/>
          <w:color w:val="576069"/>
        </w:rPr>
        <w:t>Remain embedded within university infrastructure longer, leveraging institutional resources and grant funding before formal company formation.[7]</w:t>
      </w:r>
    </w:p>
    <w:p w14:paraId="2E14C979"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The optimal approach depends on founder goals, technology capital intensity, market timing, and available resources. The SAF is most appropriate for ventures seeking venture-backed growth and possessing technology requiring significant validation before revenue-generating deployment.</w:t>
      </w:r>
    </w:p>
    <w:p w14:paraId="6E81EAFD" w14:textId="77777777" w:rsidR="001A1E5B" w:rsidRPr="001A1E5B" w:rsidRDefault="001A1E5B" w:rsidP="00096EA0">
      <w:pPr>
        <w:pStyle w:val="Heading2"/>
      </w:pPr>
      <w:r w:rsidRPr="001A1E5B">
        <w:t>6.5 Future Research Directions</w:t>
      </w:r>
    </w:p>
    <w:p w14:paraId="0920E96B"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Validation of the Strategic Activation Framework requires empirical research tracking outcomes for ventures that systematically apply the methodology versus those that do not. Specific research questions include:</w:t>
      </w:r>
    </w:p>
    <w:p w14:paraId="4EA76AF0" w14:textId="77777777" w:rsidR="001A1E5B" w:rsidRPr="001A1E5B" w:rsidRDefault="001A1E5B" w:rsidP="001A1E5B">
      <w:pPr>
        <w:pStyle w:val="NormalWeb"/>
        <w:numPr>
          <w:ilvl w:val="0"/>
          <w:numId w:val="20"/>
        </w:numPr>
        <w:spacing w:before="240" w:beforeAutospacing="0" w:after="240" w:afterAutospacing="0"/>
        <w:rPr>
          <w:rFonts w:ascii="Segoe UI" w:hAnsi="Segoe UI" w:cs="Segoe UI"/>
          <w:color w:val="576069"/>
        </w:rPr>
      </w:pPr>
      <w:r w:rsidRPr="001A1E5B">
        <w:rPr>
          <w:rStyle w:val="Strong"/>
          <w:rFonts w:ascii="Segoe UI" w:hAnsi="Segoe UI" w:cs="Segoe UI"/>
          <w:color w:val="576069"/>
        </w:rPr>
        <w:t>Comparative Effectiveness:</w:t>
      </w:r>
      <w:r w:rsidRPr="001A1E5B">
        <w:rPr>
          <w:rStyle w:val="apple-converted-space"/>
          <w:rFonts w:ascii="Segoe UI" w:hAnsi="Segoe UI" w:cs="Segoe UI"/>
          <w:color w:val="576069"/>
        </w:rPr>
        <w:t> </w:t>
      </w:r>
      <w:r w:rsidRPr="001A1E5B">
        <w:rPr>
          <w:rFonts w:ascii="Segoe UI" w:hAnsi="Segoe UI" w:cs="Segoe UI"/>
          <w:color w:val="576069"/>
        </w:rPr>
        <w:t>Do ventures following the SAF achieve Series A funding at higher rates or shorter timelines than comparable ventures using ad hoc approaches?</w:t>
      </w:r>
    </w:p>
    <w:p w14:paraId="07BE5474" w14:textId="77777777" w:rsidR="001A1E5B" w:rsidRPr="001A1E5B" w:rsidRDefault="001A1E5B" w:rsidP="001A1E5B">
      <w:pPr>
        <w:pStyle w:val="NormalWeb"/>
        <w:numPr>
          <w:ilvl w:val="0"/>
          <w:numId w:val="20"/>
        </w:numPr>
        <w:spacing w:before="240" w:beforeAutospacing="0" w:after="240" w:afterAutospacing="0"/>
        <w:rPr>
          <w:rFonts w:ascii="Segoe UI" w:hAnsi="Segoe UI" w:cs="Segoe UI"/>
          <w:color w:val="576069"/>
        </w:rPr>
      </w:pPr>
      <w:r w:rsidRPr="001A1E5B">
        <w:rPr>
          <w:rStyle w:val="Strong"/>
          <w:rFonts w:ascii="Segoe UI" w:hAnsi="Segoe UI" w:cs="Segoe UI"/>
          <w:color w:val="576069"/>
        </w:rPr>
        <w:t>Optimal Sequencing:</w:t>
      </w:r>
      <w:r w:rsidRPr="001A1E5B">
        <w:rPr>
          <w:rStyle w:val="apple-converted-space"/>
          <w:rFonts w:ascii="Segoe UI" w:hAnsi="Segoe UI" w:cs="Segoe UI"/>
          <w:color w:val="576069"/>
        </w:rPr>
        <w:t> </w:t>
      </w:r>
      <w:r w:rsidRPr="001A1E5B">
        <w:rPr>
          <w:rFonts w:ascii="Segoe UI" w:hAnsi="Segoe UI" w:cs="Segoe UI"/>
          <w:color w:val="576069"/>
        </w:rPr>
        <w:t>Is the proposed action sequence optimal, or do alternative orderings produce superior outcomes? For example, should clinical partnerships precede or follow team assembly?</w:t>
      </w:r>
    </w:p>
    <w:p w14:paraId="2BBAA2C2" w14:textId="77777777" w:rsidR="001A1E5B" w:rsidRPr="001A1E5B" w:rsidRDefault="001A1E5B" w:rsidP="001A1E5B">
      <w:pPr>
        <w:pStyle w:val="NormalWeb"/>
        <w:numPr>
          <w:ilvl w:val="0"/>
          <w:numId w:val="20"/>
        </w:numPr>
        <w:spacing w:before="240" w:beforeAutospacing="0" w:after="240" w:afterAutospacing="0"/>
        <w:rPr>
          <w:rFonts w:ascii="Segoe UI" w:hAnsi="Segoe UI" w:cs="Segoe UI"/>
          <w:color w:val="576069"/>
        </w:rPr>
      </w:pPr>
      <w:r w:rsidRPr="001A1E5B">
        <w:rPr>
          <w:rStyle w:val="Strong"/>
          <w:rFonts w:ascii="Segoe UI" w:hAnsi="Segoe UI" w:cs="Segoe UI"/>
          <w:color w:val="576069"/>
        </w:rPr>
        <w:t>Critical Path Analysis:</w:t>
      </w:r>
      <w:r w:rsidRPr="001A1E5B">
        <w:rPr>
          <w:rStyle w:val="apple-converted-space"/>
          <w:rFonts w:ascii="Segoe UI" w:hAnsi="Segoe UI" w:cs="Segoe UI"/>
          <w:color w:val="576069"/>
        </w:rPr>
        <w:t> </w:t>
      </w:r>
      <w:r w:rsidRPr="001A1E5B">
        <w:rPr>
          <w:rFonts w:ascii="Segoe UI" w:hAnsi="Segoe UI" w:cs="Segoe UI"/>
          <w:color w:val="576069"/>
        </w:rPr>
        <w:t>Which interventions are truly necessary versus helpful? Can the framework be streamlined without sacrificing effectiveness?</w:t>
      </w:r>
    </w:p>
    <w:p w14:paraId="3202C44B" w14:textId="77777777" w:rsidR="001A1E5B" w:rsidRPr="001A1E5B" w:rsidRDefault="001A1E5B" w:rsidP="001A1E5B">
      <w:pPr>
        <w:pStyle w:val="NormalWeb"/>
        <w:numPr>
          <w:ilvl w:val="0"/>
          <w:numId w:val="20"/>
        </w:numPr>
        <w:spacing w:before="240" w:beforeAutospacing="0" w:after="240" w:afterAutospacing="0"/>
        <w:rPr>
          <w:rFonts w:ascii="Segoe UI" w:hAnsi="Segoe UI" w:cs="Segoe UI"/>
          <w:color w:val="576069"/>
        </w:rPr>
      </w:pPr>
      <w:r w:rsidRPr="001A1E5B">
        <w:rPr>
          <w:rStyle w:val="Strong"/>
          <w:rFonts w:ascii="Segoe UI" w:hAnsi="Segoe UI" w:cs="Segoe UI"/>
          <w:color w:val="576069"/>
        </w:rPr>
        <w:t>Sector Adaptation:</w:t>
      </w:r>
      <w:r w:rsidRPr="001A1E5B">
        <w:rPr>
          <w:rStyle w:val="apple-converted-space"/>
          <w:rFonts w:ascii="Segoe UI" w:hAnsi="Segoe UI" w:cs="Segoe UI"/>
          <w:color w:val="576069"/>
        </w:rPr>
        <w:t> </w:t>
      </w:r>
      <w:r w:rsidRPr="001A1E5B">
        <w:rPr>
          <w:rFonts w:ascii="Segoe UI" w:hAnsi="Segoe UI" w:cs="Segoe UI"/>
          <w:color w:val="576069"/>
        </w:rPr>
        <w:t>How must the framework be modified for digital therapeutics requiring FDA clearance, or for AI diagnostic tools requiring clinical validation studies with different designs?</w:t>
      </w:r>
    </w:p>
    <w:p w14:paraId="2F314697" w14:textId="77777777" w:rsidR="001A1E5B" w:rsidRPr="001A1E5B" w:rsidRDefault="001A1E5B" w:rsidP="001A1E5B">
      <w:pPr>
        <w:pStyle w:val="NormalWeb"/>
        <w:numPr>
          <w:ilvl w:val="0"/>
          <w:numId w:val="20"/>
        </w:numPr>
        <w:spacing w:before="240" w:beforeAutospacing="0" w:after="240" w:afterAutospacing="0"/>
        <w:rPr>
          <w:rFonts w:ascii="Segoe UI" w:hAnsi="Segoe UI" w:cs="Segoe UI"/>
          <w:color w:val="576069"/>
        </w:rPr>
      </w:pPr>
      <w:r w:rsidRPr="001A1E5B">
        <w:rPr>
          <w:rStyle w:val="Strong"/>
          <w:rFonts w:ascii="Segoe UI" w:hAnsi="Segoe UI" w:cs="Segoe UI"/>
          <w:color w:val="576069"/>
        </w:rPr>
        <w:t>Long-Term Outcomes:</w:t>
      </w:r>
      <w:r w:rsidRPr="001A1E5B">
        <w:rPr>
          <w:rStyle w:val="apple-converted-space"/>
          <w:rFonts w:ascii="Segoe UI" w:hAnsi="Segoe UI" w:cs="Segoe UI"/>
          <w:color w:val="576069"/>
        </w:rPr>
        <w:t> </w:t>
      </w:r>
      <w:r w:rsidRPr="001A1E5B">
        <w:rPr>
          <w:rFonts w:ascii="Segoe UI" w:hAnsi="Segoe UI" w:cs="Segoe UI"/>
          <w:color w:val="576069"/>
        </w:rPr>
        <w:t>Do ventures that achieve Series A through the SAF methodology demonstrate superior post-funding performance (Series B achievement rates, clinical impact, revenue growth) compared to alternatives?</w:t>
      </w:r>
    </w:p>
    <w:p w14:paraId="106DE46D"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Longitudinal cohort studies tracking venture progression through the framework would provide valuable evidence for refinement and optimization.</w:t>
      </w:r>
    </w:p>
    <w:p w14:paraId="62E0EDB5" w14:textId="77777777" w:rsidR="001A1E5B" w:rsidRDefault="00216278" w:rsidP="001A1E5B">
      <w:pPr>
        <w:spacing w:before="360" w:after="360"/>
        <w:rPr>
          <w:rFonts w:ascii="Segoe UI" w:hAnsi="Segoe UI" w:cs="Segoe UI"/>
        </w:rPr>
      </w:pPr>
      <w:r>
        <w:rPr>
          <w:noProof/>
        </w:rPr>
        <w:pict w14:anchorId="4F1FE530">
          <v:rect id="_x0000_i1027" alt="" style="width:431.95pt;height:.05pt;mso-width-percent:0;mso-height-percent:0;mso-width-percent:0;mso-height-percent:0" o:hrpct="923" o:hralign="center" o:hrstd="t" o:hr="t" fillcolor="#a0a0a0" stroked="f"/>
        </w:pict>
      </w:r>
    </w:p>
    <w:p w14:paraId="4BDB05ED" w14:textId="77777777" w:rsidR="00552022" w:rsidRDefault="00552022">
      <w:pPr>
        <w:rPr>
          <w:rFonts w:ascii="Segoe UI" w:eastAsia="Times New Roman" w:hAnsi="Segoe UI" w:cs="Segoe UI"/>
          <w:b/>
          <w:bCs/>
          <w:color w:val="548DD4" w:themeColor="text2" w:themeTint="99"/>
          <w:sz w:val="32"/>
          <w:szCs w:val="32"/>
        </w:rPr>
      </w:pPr>
      <w:r>
        <w:br w:type="page"/>
      </w:r>
    </w:p>
    <w:p w14:paraId="6A0C16DD" w14:textId="27679565" w:rsidR="001A1E5B" w:rsidRPr="001A1E5B" w:rsidRDefault="001A1E5B" w:rsidP="00096EA0">
      <w:pPr>
        <w:pStyle w:val="Heading1"/>
      </w:pPr>
      <w:r w:rsidRPr="001A1E5B">
        <w:t>7. Conclusion</w:t>
      </w:r>
    </w:p>
    <w:p w14:paraId="6CD5FB84"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The valley of death represents a critical bottleneck in health innovation translation. Promising technologies with validated potential fail to reach patients not because of scientific inadequacy but because founders lack structured methodologies for executing the complex sequence of activities required to bridge from concept to investable entity.</w:t>
      </w:r>
    </w:p>
    <w:p w14:paraId="681EF1FC"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The Strategic Activation Framework addresses this gap by providing a phase-gated, evidence-based approach specifically designed for deep-tech digital health ventures. Applied to the Integrated Health Empowerment Program, the framework identifies concrete actions across eight intervention categories, sequenced to systematically reduce risk and build credibility in ways aligned with Series A investor evaluation criteria.</w:t>
      </w:r>
    </w:p>
    <w:p w14:paraId="06363421"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For IHEP specifically, immediate adoption of this framework as the operational plan for the next 9–12 months is recommended, with resources allocated to initiate the 90-Day Credibility Sprint within 30 days. Priority actions include SBIR grant submission, clinical partnership development, fractional executive recruitment, and interactive demo construction. Progress should be measured rigorously against the defined KPIs and used as the core narrative for investor and partner communications.</w:t>
      </w:r>
    </w:p>
    <w:p w14:paraId="687A98D2"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More broadly, the Strategic Activation Framework contributes a replicable methodology for health innovation translation, with applications extending beyond individual ventures to accelerator program design and innovation policy development. By systematically converting technical capital into the forms of capital required for growth financing—social capital (team, advisors), demonstration capital (tangible product, data), and commercial capital (revenue, partnerships)—the SAF provides a roadmap for transforming validated concepts into vehicles for patient impact and market value creation.</w:t>
      </w:r>
    </w:p>
    <w:p w14:paraId="4245B164"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The journey from concept to Series A is not a failure of imagination but a challenge of systematic execution. The Strategic Activation Framework provides the structure, sequence, and specificity required for that execution.</w:t>
      </w:r>
    </w:p>
    <w:p w14:paraId="06B321E6" w14:textId="77777777" w:rsidR="001A1E5B" w:rsidRDefault="00216278" w:rsidP="001A1E5B">
      <w:pPr>
        <w:spacing w:before="360" w:after="360"/>
        <w:rPr>
          <w:rFonts w:ascii="Segoe UI" w:hAnsi="Segoe UI" w:cs="Segoe UI"/>
        </w:rPr>
      </w:pPr>
      <w:r>
        <w:rPr>
          <w:noProof/>
        </w:rPr>
        <w:pict w14:anchorId="5B42BC7A">
          <v:rect id="_x0000_i1026" alt="" style="width:431.95pt;height:.05pt;mso-width-percent:0;mso-height-percent:0;mso-width-percent:0;mso-height-percent:0" o:hrpct="923" o:hralign="center" o:hrstd="t" o:hr="t" fillcolor="#a0a0a0" stroked="f"/>
        </w:pict>
      </w:r>
    </w:p>
    <w:p w14:paraId="21281C7E" w14:textId="77777777" w:rsidR="001A1E5B" w:rsidRPr="001A1E5B" w:rsidRDefault="001A1E5B" w:rsidP="00096EA0">
      <w:pPr>
        <w:pStyle w:val="Heading2"/>
      </w:pPr>
      <w:r w:rsidRPr="001A1E5B">
        <w:t>References</w:t>
      </w:r>
    </w:p>
    <w:p w14:paraId="1AD9E07F"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Rock Health. (2022).</w:t>
      </w:r>
      <w:r w:rsidRPr="001A1E5B">
        <w:rPr>
          <w:rStyle w:val="apple-converted-space"/>
          <w:rFonts w:ascii="Segoe UI" w:hAnsi="Segoe UI" w:cs="Segoe UI"/>
          <w:color w:val="576069"/>
        </w:rPr>
        <w:t> </w:t>
      </w:r>
      <w:r w:rsidRPr="001A1E5B">
        <w:rPr>
          <w:rStyle w:val="Emphasis"/>
          <w:rFonts w:ascii="Segoe UI" w:hAnsi="Segoe UI" w:cs="Segoe UI"/>
          <w:color w:val="576069"/>
        </w:rPr>
        <w:t>2021 Year End Digital Health Funding Report</w:t>
      </w:r>
      <w:r w:rsidRPr="001A1E5B">
        <w:rPr>
          <w:rFonts w:ascii="Segoe UI" w:hAnsi="Segoe UI" w:cs="Segoe UI"/>
          <w:color w:val="576069"/>
        </w:rPr>
        <w:t>. Rock Health Research.[1]</w:t>
      </w:r>
    </w:p>
    <w:p w14:paraId="33862FFE"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American Hospital Association. (2025, February 17). 4 signs that this might be a stronger year for digital health funding.</w:t>
      </w:r>
      <w:r w:rsidRPr="001A1E5B">
        <w:rPr>
          <w:rStyle w:val="apple-converted-space"/>
          <w:rFonts w:ascii="Segoe UI" w:hAnsi="Segoe UI" w:cs="Segoe UI"/>
          <w:color w:val="576069"/>
        </w:rPr>
        <w:t> </w:t>
      </w:r>
      <w:r w:rsidRPr="001A1E5B">
        <w:rPr>
          <w:rStyle w:val="Emphasis"/>
          <w:rFonts w:ascii="Segoe UI" w:hAnsi="Segoe UI" w:cs="Segoe UI"/>
          <w:color w:val="576069"/>
        </w:rPr>
        <w:t>AHA Center for Health Innovation Market Scan</w:t>
      </w:r>
      <w:r w:rsidRPr="001A1E5B">
        <w:rPr>
          <w:rFonts w:ascii="Segoe UI" w:hAnsi="Segoe UI" w:cs="Segoe UI"/>
          <w:color w:val="576069"/>
        </w:rPr>
        <w:t>. https://www.aha.org/aha-center-health-innovation-market-scan/2025-02-18-4-signs-might-be-stronger-year-digital-health-funding[2]</w:t>
      </w:r>
    </w:p>
    <w:p w14:paraId="3DEC0488"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American Heart Association. (2021, June 22). What drives innovation in CV health?</w:t>
      </w:r>
      <w:r w:rsidRPr="001A1E5B">
        <w:rPr>
          <w:rStyle w:val="apple-converted-space"/>
          <w:rFonts w:ascii="Segoe UI" w:hAnsi="Segoe UI" w:cs="Segoe UI"/>
          <w:color w:val="576069"/>
        </w:rPr>
        <w:t> </w:t>
      </w:r>
      <w:r w:rsidRPr="001A1E5B">
        <w:rPr>
          <w:rStyle w:val="Emphasis"/>
          <w:rFonts w:ascii="Segoe UI" w:hAnsi="Segoe UI" w:cs="Segoe UI"/>
          <w:color w:val="576069"/>
        </w:rPr>
        <w:t>Strategic Initiatives</w:t>
      </w:r>
      <w:r w:rsidRPr="001A1E5B">
        <w:rPr>
          <w:rFonts w:ascii="Segoe UI" w:hAnsi="Segoe UI" w:cs="Segoe UI"/>
          <w:color w:val="576069"/>
        </w:rPr>
        <w:t>. https://ahahealthtech.org/strategic-initiatives/what-drives-innovation-in-cv-health/[3]</w:t>
      </w:r>
    </w:p>
    <w:p w14:paraId="2276A668"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Medical University of South Carolina. (2025, August 6). MUSC launches $30M in venture funds to boost health innovation.</w:t>
      </w:r>
      <w:r w:rsidRPr="001A1E5B">
        <w:rPr>
          <w:rStyle w:val="apple-converted-space"/>
          <w:rFonts w:ascii="Segoe UI" w:hAnsi="Segoe UI" w:cs="Segoe UI"/>
          <w:color w:val="576069"/>
        </w:rPr>
        <w:t> </w:t>
      </w:r>
      <w:r w:rsidRPr="001A1E5B">
        <w:rPr>
          <w:rStyle w:val="Emphasis"/>
          <w:rFonts w:ascii="Segoe UI" w:hAnsi="Segoe UI" w:cs="Segoe UI"/>
          <w:color w:val="576069"/>
        </w:rPr>
        <w:t>Becker's Hospital Review</w:t>
      </w:r>
      <w:r w:rsidRPr="001A1E5B">
        <w:rPr>
          <w:rFonts w:ascii="Segoe UI" w:hAnsi="Segoe UI" w:cs="Segoe UI"/>
          <w:color w:val="576069"/>
        </w:rPr>
        <w:t>. https://www.beckershospitalreview.com/healthcare-information-technology/innovation/[4]</w:t>
      </w:r>
    </w:p>
    <w:p w14:paraId="3CDAA4D2" w14:textId="3067DB18"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Deloitte Center for Health Solutions &amp; AdvaMed. (2017).</w:t>
      </w:r>
      <w:r w:rsidRPr="001A1E5B">
        <w:rPr>
          <w:rStyle w:val="apple-converted-space"/>
          <w:rFonts w:ascii="Segoe UI" w:hAnsi="Segoe UI" w:cs="Segoe UI"/>
          <w:color w:val="576069"/>
        </w:rPr>
        <w:t> </w:t>
      </w:r>
      <w:r w:rsidRPr="001A1E5B">
        <w:rPr>
          <w:rStyle w:val="Emphasis"/>
          <w:rFonts w:ascii="Segoe UI" w:hAnsi="Segoe UI" w:cs="Segoe UI"/>
          <w:color w:val="576069"/>
        </w:rPr>
        <w:t xml:space="preserve">Out of the valley of death: How can entrepreneurs, corporations, and investors reinvigorate early-stage </w:t>
      </w:r>
      <w:r w:rsidR="00774EE4" w:rsidRPr="001A1E5B">
        <w:rPr>
          <w:rStyle w:val="Emphasis"/>
          <w:rFonts w:ascii="Segoe UI" w:hAnsi="Segoe UI" w:cs="Segoe UI"/>
          <w:color w:val="576069"/>
        </w:rPr>
        <w:t>MedTech</w:t>
      </w:r>
      <w:r w:rsidRPr="001A1E5B">
        <w:rPr>
          <w:rStyle w:val="Emphasis"/>
          <w:rFonts w:ascii="Segoe UI" w:hAnsi="Segoe UI" w:cs="Segoe UI"/>
          <w:color w:val="576069"/>
        </w:rPr>
        <w:t xml:space="preserve"> innovation?</w:t>
      </w:r>
      <w:r w:rsidRPr="001A1E5B">
        <w:rPr>
          <w:rStyle w:val="apple-converted-space"/>
          <w:rFonts w:ascii="Segoe UI" w:hAnsi="Segoe UI" w:cs="Segoe UI"/>
          <w:color w:val="576069"/>
        </w:rPr>
        <w:t> </w:t>
      </w:r>
      <w:r w:rsidRPr="001A1E5B">
        <w:rPr>
          <w:rFonts w:ascii="Segoe UI" w:hAnsi="Segoe UI" w:cs="Segoe UI"/>
          <w:color w:val="576069"/>
        </w:rPr>
        <w:t>https://www.advamed.org/wp-content/uploads/2017/01/medtech_innovation_report_2017.pdf[5]</w:t>
      </w:r>
    </w:p>
    <w:p w14:paraId="2AF1D93E"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Arrive Health. (2022, June 16). Leaping from seed to Series A for digital health startups proves difficult. https://arrivehealth.com/press/leaping-from-seed-to-series-a-for-digital-health-startups-proves-difficult/[6]</w:t>
      </w:r>
    </w:p>
    <w:p w14:paraId="1B27E7E8"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EIT Health. (2025, May 20). EIT Health supports 17 promising deep tech start-ups bridge the valley of death. https://eithealth.eu/news-article/eit-health-supports-17-promising-deep-tech-start-ups-bridge-the-valley-of-death/[7]</w:t>
      </w:r>
    </w:p>
    <w:p w14:paraId="64F87497"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Healthcare Financial Management Association. (2025, April 24). Implications of the VC market contraction for healthcare leaders. https://www.hfma.org/finance-and-business-strategy/[8]</w:t>
      </w:r>
    </w:p>
    <w:p w14:paraId="2A9D9F5F"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Translational Behavioral Medicine. (2025, January 15). Reported use of implementation science theories, models, and frameworks in digital health implementation studies.</w:t>
      </w:r>
      <w:r w:rsidRPr="001A1E5B">
        <w:rPr>
          <w:rStyle w:val="apple-converted-space"/>
          <w:rFonts w:ascii="Segoe UI" w:hAnsi="Segoe UI" w:cs="Segoe UI"/>
          <w:color w:val="576069"/>
        </w:rPr>
        <w:t> </w:t>
      </w:r>
      <w:r w:rsidRPr="001A1E5B">
        <w:rPr>
          <w:rStyle w:val="Emphasis"/>
          <w:rFonts w:ascii="Segoe UI" w:hAnsi="Segoe UI" w:cs="Segoe UI"/>
          <w:color w:val="576069"/>
        </w:rPr>
        <w:t>Oxford Academic</w:t>
      </w:r>
      <w:r w:rsidRPr="001A1E5B">
        <w:rPr>
          <w:rFonts w:ascii="Segoe UI" w:hAnsi="Segoe UI" w:cs="Segoe UI"/>
          <w:color w:val="576069"/>
        </w:rPr>
        <w:t>. https://academic.oup.com/tbm/article/15/1/ibaf043/8250790[9]</w:t>
      </w:r>
    </w:p>
    <w:p w14:paraId="7BF7C32B"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Damschroder, L. J., Aron, D. C., Keith, R. E., Kirsh, S. R., Alexander, J. A., &amp; Lowery, J. C. (2009). Fostering implementation of health services research findings into practice: A consolidated framework for advancing implementation science.</w:t>
      </w:r>
      <w:r w:rsidRPr="001A1E5B">
        <w:rPr>
          <w:rStyle w:val="apple-converted-space"/>
          <w:rFonts w:ascii="Segoe UI" w:hAnsi="Segoe UI" w:cs="Segoe UI"/>
          <w:color w:val="576069"/>
        </w:rPr>
        <w:t> </w:t>
      </w:r>
      <w:r w:rsidRPr="001A1E5B">
        <w:rPr>
          <w:rStyle w:val="Emphasis"/>
          <w:rFonts w:ascii="Segoe UI" w:hAnsi="Segoe UI" w:cs="Segoe UI"/>
          <w:color w:val="576069"/>
        </w:rPr>
        <w:t>Implementation Science</w:t>
      </w:r>
      <w:r w:rsidRPr="001A1E5B">
        <w:rPr>
          <w:rFonts w:ascii="Segoe UI" w:hAnsi="Segoe UI" w:cs="Segoe UI"/>
          <w:color w:val="576069"/>
        </w:rPr>
        <w:t>, 4(1), 50.[10]</w:t>
      </w:r>
    </w:p>
    <w:p w14:paraId="6B0749A5"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Olayiwola, J. N., Magaña, C., Harmon, A., Ye, J., Esposito, E., Hsueh, L., Alapati, N., Cox, E. M., Jones, M., Golden, S., &amp; Rodriguez, J. A. (2024). Construction of the Digital Health Equity-Focused Implementation Research (DH-EquIR) conceptual model.</w:t>
      </w:r>
      <w:r w:rsidRPr="001A1E5B">
        <w:rPr>
          <w:rStyle w:val="apple-converted-space"/>
          <w:rFonts w:ascii="Segoe UI" w:hAnsi="Segoe UI" w:cs="Segoe UI"/>
          <w:color w:val="576069"/>
        </w:rPr>
        <w:t> </w:t>
      </w:r>
      <w:r w:rsidRPr="001A1E5B">
        <w:rPr>
          <w:rStyle w:val="Emphasis"/>
          <w:rFonts w:ascii="Segoe UI" w:hAnsi="Segoe UI" w:cs="Segoe UI"/>
          <w:color w:val="576069"/>
        </w:rPr>
        <w:t>PLOS Digital Health</w:t>
      </w:r>
      <w:r w:rsidRPr="001A1E5B">
        <w:rPr>
          <w:rFonts w:ascii="Segoe UI" w:hAnsi="Segoe UI" w:cs="Segoe UI"/>
          <w:color w:val="576069"/>
        </w:rPr>
        <w:t>, 3(5), e0000509. https://doi.org/10.1371/journal.pdig.0000509[11]</w:t>
      </w:r>
    </w:p>
    <w:p w14:paraId="11A136E8"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Lyles, C. R., Aulakh, V., Jameson, W., Schillinger, D., Yee, H., &amp; Sarkar, U. (2024). Development of an evidence- and consensus-based Digital Healthcare Equity Framework.</w:t>
      </w:r>
      <w:r w:rsidRPr="001A1E5B">
        <w:rPr>
          <w:rStyle w:val="apple-converted-space"/>
          <w:rFonts w:ascii="Segoe UI" w:hAnsi="Segoe UI" w:cs="Segoe UI"/>
          <w:color w:val="576069"/>
        </w:rPr>
        <w:t> </w:t>
      </w:r>
      <w:r w:rsidRPr="001A1E5B">
        <w:rPr>
          <w:rStyle w:val="Emphasis"/>
          <w:rFonts w:ascii="Segoe UI" w:hAnsi="Segoe UI" w:cs="Segoe UI"/>
          <w:color w:val="576069"/>
        </w:rPr>
        <w:t>JAMIA Open</w:t>
      </w:r>
      <w:r w:rsidRPr="001A1E5B">
        <w:rPr>
          <w:rFonts w:ascii="Segoe UI" w:hAnsi="Segoe UI" w:cs="Segoe UI"/>
          <w:color w:val="576069"/>
        </w:rPr>
        <w:t>, 7(4), ooae136. https://doi.org/10.1093/jamiaopen/ooae136[12]</w:t>
      </w:r>
    </w:p>
    <w:p w14:paraId="70C40E69"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Founder Shield. (2025, September 8). Digital health funding: A guide to risk management for every startup stage. https://foundershield.com/blog/digital-health-funding-guide/[13]</w:t>
      </w:r>
    </w:p>
    <w:p w14:paraId="2C69D1D3"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Massively Better Healthcare. (2025, October 17). How investors evaluate digital health startups. https://www.massivelybetterhealthcare.com/resources/how-investors-evaluate-digital-health-startups[14]</w:t>
      </w:r>
    </w:p>
    <w:p w14:paraId="72A352E8"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Rock Health. (2023, October 8). On the road to impact: Mile markers for early-stage digital health startups. https://rockhealth.com/insights/on-the-road-to-impact-mile-markers-for-early-stage-digital-health-startups/[15]</w:t>
      </w:r>
    </w:p>
    <w:p w14:paraId="7EB08484"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OMERS Ventures. (2023). Digital health Series A criteria [Interview with Marissa Moore]. In Rock Health,</w:t>
      </w:r>
      <w:r w:rsidRPr="001A1E5B">
        <w:rPr>
          <w:rStyle w:val="apple-converted-space"/>
          <w:rFonts w:ascii="Segoe UI" w:hAnsi="Segoe UI" w:cs="Segoe UI"/>
          <w:color w:val="576069"/>
        </w:rPr>
        <w:t> </w:t>
      </w:r>
      <w:r w:rsidRPr="001A1E5B">
        <w:rPr>
          <w:rStyle w:val="Emphasis"/>
          <w:rFonts w:ascii="Segoe UI" w:hAnsi="Segoe UI" w:cs="Segoe UI"/>
          <w:color w:val="576069"/>
        </w:rPr>
        <w:t>On the road to impact</w:t>
      </w:r>
      <w:r w:rsidRPr="001A1E5B">
        <w:rPr>
          <w:rFonts w:ascii="Segoe UI" w:hAnsi="Segoe UI" w:cs="Segoe UI"/>
          <w:color w:val="576069"/>
        </w:rPr>
        <w:t>.</w:t>
      </w:r>
    </w:p>
    <w:p w14:paraId="54D8ADEB"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Rock Health. (2025). Digital health funding analysis: The Series A gap.</w:t>
      </w:r>
      <w:r w:rsidRPr="001A1E5B">
        <w:rPr>
          <w:rStyle w:val="apple-converted-space"/>
          <w:rFonts w:ascii="Segoe UI" w:hAnsi="Segoe UI" w:cs="Segoe UI"/>
          <w:color w:val="576069"/>
        </w:rPr>
        <w:t> </w:t>
      </w:r>
      <w:r w:rsidRPr="001A1E5B">
        <w:rPr>
          <w:rStyle w:val="Emphasis"/>
          <w:rFonts w:ascii="Segoe UI" w:hAnsi="Segoe UI" w:cs="Segoe UI"/>
          <w:color w:val="576069"/>
        </w:rPr>
        <w:t>Rock Health Insights</w:t>
      </w:r>
      <w:r w:rsidRPr="001A1E5B">
        <w:rPr>
          <w:rFonts w:ascii="Segoe UI" w:hAnsi="Segoe UI" w:cs="Segoe UI"/>
          <w:color w:val="576069"/>
        </w:rPr>
        <w:t>.</w:t>
      </w:r>
    </w:p>
    <w:p w14:paraId="1794F4DA"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Jarmacz, J. M. (2024).</w:t>
      </w:r>
      <w:r w:rsidRPr="001A1E5B">
        <w:rPr>
          <w:rStyle w:val="apple-converted-space"/>
          <w:rFonts w:ascii="Segoe UI" w:hAnsi="Segoe UI" w:cs="Segoe UI"/>
          <w:color w:val="576069"/>
        </w:rPr>
        <w:t> </w:t>
      </w:r>
      <w:r w:rsidRPr="001A1E5B">
        <w:rPr>
          <w:rStyle w:val="Emphasis"/>
          <w:rFonts w:ascii="Segoe UI" w:hAnsi="Segoe UI" w:cs="Segoe UI"/>
          <w:color w:val="576069"/>
        </w:rPr>
        <w:t>Patient-sovereign PHI on self-hosted edge hardware: Technical feasibility and implementation analysis</w:t>
      </w:r>
      <w:r w:rsidRPr="001A1E5B">
        <w:rPr>
          <w:rFonts w:ascii="Segoe UI" w:hAnsi="Segoe UI" w:cs="Segoe UI"/>
          <w:color w:val="576069"/>
        </w:rPr>
        <w:t>. IHEP Technical Report Series.</w:t>
      </w:r>
    </w:p>
    <w:p w14:paraId="488218ED"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National Institutes of Health. (2023).</w:t>
      </w:r>
      <w:r w:rsidRPr="001A1E5B">
        <w:rPr>
          <w:rStyle w:val="apple-converted-space"/>
          <w:rFonts w:ascii="Segoe UI" w:hAnsi="Segoe UI" w:cs="Segoe UI"/>
          <w:color w:val="576069"/>
        </w:rPr>
        <w:t> </w:t>
      </w:r>
      <w:r w:rsidRPr="001A1E5B">
        <w:rPr>
          <w:rStyle w:val="Emphasis"/>
          <w:rFonts w:ascii="Segoe UI" w:hAnsi="Segoe UI" w:cs="Segoe UI"/>
          <w:color w:val="576069"/>
        </w:rPr>
        <w:t>Small Business Innovation Research Grants (SBIR) - Phase I (R43)</w:t>
      </w:r>
      <w:r w:rsidRPr="001A1E5B">
        <w:rPr>
          <w:rFonts w:ascii="Segoe UI" w:hAnsi="Segoe UI" w:cs="Segoe UI"/>
          <w:color w:val="576069"/>
        </w:rPr>
        <w:t>. https://grants.nih.gov/funding/activity-codes/R43</w:t>
      </w:r>
    </w:p>
    <w:p w14:paraId="42030BBF"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National Academies of Sciences, Engineering, and Medicine. (2022).</w:t>
      </w:r>
      <w:r w:rsidRPr="001A1E5B">
        <w:rPr>
          <w:rStyle w:val="apple-converted-space"/>
          <w:rFonts w:ascii="Segoe UI" w:hAnsi="Segoe UI" w:cs="Segoe UI"/>
          <w:color w:val="576069"/>
        </w:rPr>
        <w:t> </w:t>
      </w:r>
      <w:r w:rsidRPr="001A1E5B">
        <w:rPr>
          <w:rStyle w:val="Emphasis"/>
          <w:rFonts w:ascii="Segoe UI" w:hAnsi="Segoe UI" w:cs="Segoe UI"/>
          <w:color w:val="576069"/>
        </w:rPr>
        <w:t>Assessment of the SBIR and STTR programs at the National Institutes of Health</w:t>
      </w:r>
      <w:r w:rsidRPr="001A1E5B">
        <w:rPr>
          <w:rFonts w:ascii="Segoe UI" w:hAnsi="Segoe UI" w:cs="Segoe UI"/>
          <w:color w:val="576069"/>
        </w:rPr>
        <w:t>. Washington, DC: The National Academies Press.</w:t>
      </w:r>
    </w:p>
    <w:p w14:paraId="09E67B74"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Google Cloud. (2026).</w:t>
      </w:r>
      <w:r w:rsidRPr="001A1E5B">
        <w:rPr>
          <w:rStyle w:val="apple-converted-space"/>
          <w:rFonts w:ascii="Segoe UI" w:hAnsi="Segoe UI" w:cs="Segoe UI"/>
          <w:color w:val="576069"/>
        </w:rPr>
        <w:t> </w:t>
      </w:r>
      <w:r w:rsidRPr="001A1E5B">
        <w:rPr>
          <w:rStyle w:val="Emphasis"/>
          <w:rFonts w:ascii="Segoe UI" w:hAnsi="Segoe UI" w:cs="Segoe UI"/>
          <w:color w:val="576069"/>
        </w:rPr>
        <w:t>AI startup program</w:t>
      </w:r>
      <w:r w:rsidRPr="001A1E5B">
        <w:rPr>
          <w:rFonts w:ascii="Segoe UI" w:hAnsi="Segoe UI" w:cs="Segoe UI"/>
          <w:color w:val="576069"/>
        </w:rPr>
        <w:t>. https://cloud.google.com/startup/ai</w:t>
      </w:r>
    </w:p>
    <w:p w14:paraId="6A1AB52E"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Vestbee. (2025, March 3). Google Cloud credits for startups: A comprehensive guide to scaling your tech venture. https://vestbee.com/insights/articles/google-cloud-credits-for-startups-a-comprehensive-guide</w:t>
      </w:r>
    </w:p>
    <w:p w14:paraId="1DA58DB7"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Epic. (2020).</w:t>
      </w:r>
      <w:r w:rsidRPr="001A1E5B">
        <w:rPr>
          <w:rStyle w:val="apple-converted-space"/>
          <w:rFonts w:ascii="Segoe UI" w:hAnsi="Segoe UI" w:cs="Segoe UI"/>
          <w:color w:val="576069"/>
        </w:rPr>
        <w:t> </w:t>
      </w:r>
      <w:r w:rsidRPr="001A1E5B">
        <w:rPr>
          <w:rStyle w:val="Emphasis"/>
          <w:rFonts w:ascii="Segoe UI" w:hAnsi="Segoe UI" w:cs="Segoe UI"/>
          <w:color w:val="576069"/>
        </w:rPr>
        <w:t>Epic on FHIR documentation</w:t>
      </w:r>
      <w:r w:rsidRPr="001A1E5B">
        <w:rPr>
          <w:rFonts w:ascii="Segoe UI" w:hAnsi="Segoe UI" w:cs="Segoe UI"/>
          <w:color w:val="576069"/>
        </w:rPr>
        <w:t>. https://fhir.epic.com/Documentation</w:t>
      </w:r>
    </w:p>
    <w:p w14:paraId="733A5D73"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Orbdoc. (2025, October 1). Epic EHR integration: Technical guide. https://orbdoc.com/learn/epic-integration-technical-guide</w:t>
      </w:r>
    </w:p>
    <w:p w14:paraId="211FF8EB" w14:textId="77777777" w:rsidR="001A1E5B" w:rsidRPr="001A1E5B" w:rsidRDefault="001A1E5B" w:rsidP="001A1E5B">
      <w:pPr>
        <w:pStyle w:val="NormalWeb"/>
        <w:spacing w:before="0" w:beforeAutospacing="0" w:after="240" w:afterAutospacing="0"/>
        <w:rPr>
          <w:rFonts w:ascii="Segoe UI" w:hAnsi="Segoe UI" w:cs="Segoe UI"/>
          <w:color w:val="576069"/>
        </w:rPr>
      </w:pPr>
      <w:r w:rsidRPr="001A1E5B">
        <w:rPr>
          <w:rFonts w:ascii="Segoe UI" w:hAnsi="Segoe UI" w:cs="Segoe UI"/>
          <w:color w:val="576069"/>
        </w:rPr>
        <w:t>National Institutes of Health. (2025).</w:t>
      </w:r>
      <w:r w:rsidRPr="001A1E5B">
        <w:rPr>
          <w:rStyle w:val="apple-converted-space"/>
          <w:rFonts w:ascii="Segoe UI" w:hAnsi="Segoe UI" w:cs="Segoe UI"/>
          <w:color w:val="576069"/>
        </w:rPr>
        <w:t> </w:t>
      </w:r>
      <w:r w:rsidRPr="001A1E5B">
        <w:rPr>
          <w:rStyle w:val="Emphasis"/>
          <w:rFonts w:ascii="Segoe UI" w:hAnsi="Segoe UI" w:cs="Segoe UI"/>
          <w:color w:val="576069"/>
        </w:rPr>
        <w:t>SBIR/STTR bridging the valley of death</w:t>
      </w:r>
      <w:r w:rsidRPr="001A1E5B">
        <w:rPr>
          <w:rFonts w:ascii="Segoe UI" w:hAnsi="Segoe UI" w:cs="Segoe UI"/>
          <w:color w:val="576069"/>
        </w:rPr>
        <w:t>. NIH SEED Program.</w:t>
      </w:r>
    </w:p>
    <w:p w14:paraId="68CA4540" w14:textId="196E8B5A" w:rsidR="00883142" w:rsidRPr="009B11D0" w:rsidRDefault="00216278" w:rsidP="009B11D0">
      <w:pPr>
        <w:spacing w:before="360" w:after="360"/>
        <w:rPr>
          <w:rFonts w:ascii="Segoe UI" w:hAnsi="Segoe UI" w:cs="Segoe UI"/>
        </w:rPr>
      </w:pPr>
      <w:r>
        <w:rPr>
          <w:noProof/>
        </w:rPr>
        <w:pict w14:anchorId="083B6860">
          <v:rect id="_x0000_i1025" alt="" style="width:431.95pt;height:.05pt;mso-width-percent:0;mso-height-percent:0;mso-width-percent:0;mso-height-percent:0" o:hrpct="923" o:hralign="center" o:hrstd="t" o:hr="t" fillcolor="#a0a0a0" stroked="f"/>
        </w:pict>
      </w:r>
    </w:p>
    <w:sectPr w:rsidR="00883142" w:rsidRPr="009B11D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47870" w14:textId="77777777" w:rsidR="00216278" w:rsidRDefault="00216278" w:rsidP="009B11D0">
      <w:pPr>
        <w:spacing w:after="0" w:line="240" w:lineRule="auto"/>
      </w:pPr>
      <w:r>
        <w:separator/>
      </w:r>
    </w:p>
  </w:endnote>
  <w:endnote w:type="continuationSeparator" w:id="0">
    <w:p w14:paraId="10E808EF" w14:textId="77777777" w:rsidR="00216278" w:rsidRDefault="00216278" w:rsidP="009B1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B5919" w14:textId="77777777" w:rsidR="00216278" w:rsidRDefault="00216278" w:rsidP="009B11D0">
      <w:pPr>
        <w:spacing w:after="0" w:line="240" w:lineRule="auto"/>
      </w:pPr>
      <w:r>
        <w:separator/>
      </w:r>
    </w:p>
  </w:footnote>
  <w:footnote w:type="continuationSeparator" w:id="0">
    <w:p w14:paraId="7793253A" w14:textId="77777777" w:rsidR="00216278" w:rsidRDefault="00216278" w:rsidP="009B1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C5EBC"/>
    <w:multiLevelType w:val="multilevel"/>
    <w:tmpl w:val="4A680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F23538"/>
    <w:multiLevelType w:val="multilevel"/>
    <w:tmpl w:val="E59A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36C31"/>
    <w:multiLevelType w:val="multilevel"/>
    <w:tmpl w:val="B5C4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00468"/>
    <w:multiLevelType w:val="multilevel"/>
    <w:tmpl w:val="5EC4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D41F4E"/>
    <w:multiLevelType w:val="multilevel"/>
    <w:tmpl w:val="7AB84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F34E0F"/>
    <w:multiLevelType w:val="multilevel"/>
    <w:tmpl w:val="B9D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E5DFF"/>
    <w:multiLevelType w:val="multilevel"/>
    <w:tmpl w:val="AF90D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7C404B"/>
    <w:multiLevelType w:val="multilevel"/>
    <w:tmpl w:val="6056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68607E"/>
    <w:multiLevelType w:val="multilevel"/>
    <w:tmpl w:val="0874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8A4CC1"/>
    <w:multiLevelType w:val="multilevel"/>
    <w:tmpl w:val="B1D4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0E6742"/>
    <w:multiLevelType w:val="multilevel"/>
    <w:tmpl w:val="3492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51D2F"/>
    <w:multiLevelType w:val="multilevel"/>
    <w:tmpl w:val="76D6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478775">
    <w:abstractNumId w:val="8"/>
  </w:num>
  <w:num w:numId="2" w16cid:durableId="951398593">
    <w:abstractNumId w:val="6"/>
  </w:num>
  <w:num w:numId="3" w16cid:durableId="1892228538">
    <w:abstractNumId w:val="5"/>
  </w:num>
  <w:num w:numId="4" w16cid:durableId="541525724">
    <w:abstractNumId w:val="4"/>
  </w:num>
  <w:num w:numId="5" w16cid:durableId="172493772">
    <w:abstractNumId w:val="7"/>
  </w:num>
  <w:num w:numId="6" w16cid:durableId="1205172932">
    <w:abstractNumId w:val="3"/>
  </w:num>
  <w:num w:numId="7" w16cid:durableId="234752419">
    <w:abstractNumId w:val="2"/>
  </w:num>
  <w:num w:numId="8" w16cid:durableId="107892850">
    <w:abstractNumId w:val="1"/>
  </w:num>
  <w:num w:numId="9" w16cid:durableId="1496842616">
    <w:abstractNumId w:val="0"/>
  </w:num>
  <w:num w:numId="10" w16cid:durableId="1288858006">
    <w:abstractNumId w:val="13"/>
  </w:num>
  <w:num w:numId="11" w16cid:durableId="1142625425">
    <w:abstractNumId w:val="18"/>
  </w:num>
  <w:num w:numId="12" w16cid:durableId="865867457">
    <w:abstractNumId w:val="15"/>
  </w:num>
  <w:num w:numId="13" w16cid:durableId="430318492">
    <w:abstractNumId w:val="11"/>
  </w:num>
  <w:num w:numId="14" w16cid:durableId="1009210447">
    <w:abstractNumId w:val="17"/>
  </w:num>
  <w:num w:numId="15" w16cid:durableId="1519125668">
    <w:abstractNumId w:val="12"/>
  </w:num>
  <w:num w:numId="16" w16cid:durableId="845293493">
    <w:abstractNumId w:val="14"/>
  </w:num>
  <w:num w:numId="17" w16cid:durableId="1864778787">
    <w:abstractNumId w:val="10"/>
  </w:num>
  <w:num w:numId="18" w16cid:durableId="1990086133">
    <w:abstractNumId w:val="16"/>
  </w:num>
  <w:num w:numId="19" w16cid:durableId="1696274309">
    <w:abstractNumId w:val="20"/>
  </w:num>
  <w:num w:numId="20" w16cid:durableId="713501147">
    <w:abstractNumId w:val="9"/>
  </w:num>
  <w:num w:numId="21" w16cid:durableId="145694459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EA0"/>
    <w:rsid w:val="0015074B"/>
    <w:rsid w:val="001A1E5B"/>
    <w:rsid w:val="00216278"/>
    <w:rsid w:val="0029639D"/>
    <w:rsid w:val="00326F90"/>
    <w:rsid w:val="0034379C"/>
    <w:rsid w:val="003523F7"/>
    <w:rsid w:val="00525971"/>
    <w:rsid w:val="00552022"/>
    <w:rsid w:val="00586127"/>
    <w:rsid w:val="00644505"/>
    <w:rsid w:val="00774EE4"/>
    <w:rsid w:val="00883142"/>
    <w:rsid w:val="009B11D0"/>
    <w:rsid w:val="00A75954"/>
    <w:rsid w:val="00AA1D8D"/>
    <w:rsid w:val="00B47730"/>
    <w:rsid w:val="00B90CD0"/>
    <w:rsid w:val="00CB0664"/>
    <w:rsid w:val="00ED50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2E43A"/>
  <w14:defaultImageDpi w14:val="300"/>
  <w15:docId w15:val="{B6D82D40-549D-CC43-866C-E6A93BD96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Heading2"/>
    <w:next w:val="Normal"/>
    <w:link w:val="Heading1Char"/>
    <w:uiPriority w:val="9"/>
    <w:qFormat/>
    <w:rsid w:val="00586127"/>
    <w:pPr>
      <w:outlineLvl w:val="0"/>
    </w:pPr>
    <w:rPr>
      <w:color w:val="548DD4" w:themeColor="text2" w:themeTint="99"/>
      <w:sz w:val="32"/>
    </w:rPr>
  </w:style>
  <w:style w:type="paragraph" w:styleId="Heading2">
    <w:name w:val="heading 2"/>
    <w:basedOn w:val="Normal"/>
    <w:next w:val="Normal"/>
    <w:link w:val="Heading2Char"/>
    <w:uiPriority w:val="9"/>
    <w:unhideWhenUsed/>
    <w:qFormat/>
    <w:rsid w:val="00586127"/>
    <w:pPr>
      <w:spacing w:before="360" w:after="240" w:line="240" w:lineRule="auto"/>
      <w:outlineLvl w:val="1"/>
    </w:pPr>
    <w:rPr>
      <w:rFonts w:ascii="Segoe UI" w:eastAsia="Times New Roman" w:hAnsi="Segoe UI" w:cs="Segoe UI"/>
      <w:b/>
      <w:bCs/>
      <w:color w:val="17365D" w:themeColor="text2" w:themeShade="BF"/>
      <w:sz w:val="28"/>
      <w:szCs w:val="32"/>
    </w:rPr>
  </w:style>
  <w:style w:type="paragraph" w:styleId="Heading3">
    <w:name w:val="heading 3"/>
    <w:basedOn w:val="NormalWeb"/>
    <w:next w:val="Normal"/>
    <w:link w:val="Heading3Char"/>
    <w:uiPriority w:val="9"/>
    <w:unhideWhenUsed/>
    <w:qFormat/>
    <w:rsid w:val="00B90CD0"/>
    <w:pPr>
      <w:spacing w:before="0" w:beforeAutospacing="0" w:after="240" w:afterAutospacing="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86127"/>
    <w:rPr>
      <w:rFonts w:ascii="Segoe UI" w:eastAsia="Times New Roman" w:hAnsi="Segoe UI" w:cs="Segoe UI"/>
      <w:b/>
      <w:bCs/>
      <w:color w:val="548DD4" w:themeColor="text2" w:themeTint="99"/>
      <w:sz w:val="32"/>
      <w:szCs w:val="32"/>
    </w:rPr>
  </w:style>
  <w:style w:type="character" w:customStyle="1" w:styleId="Heading2Char">
    <w:name w:val="Heading 2 Char"/>
    <w:basedOn w:val="DefaultParagraphFont"/>
    <w:link w:val="Heading2"/>
    <w:uiPriority w:val="9"/>
    <w:rsid w:val="00586127"/>
    <w:rPr>
      <w:rFonts w:ascii="Segoe UI" w:eastAsia="Times New Roman" w:hAnsi="Segoe UI" w:cs="Segoe UI"/>
      <w:b/>
      <w:bCs/>
      <w:color w:val="17365D" w:themeColor="text2" w:themeShade="BF"/>
      <w:sz w:val="28"/>
      <w:szCs w:val="32"/>
    </w:rPr>
  </w:style>
  <w:style w:type="character" w:customStyle="1" w:styleId="Heading3Char">
    <w:name w:val="Heading 3 Char"/>
    <w:basedOn w:val="DefaultParagraphFont"/>
    <w:link w:val="Heading3"/>
    <w:uiPriority w:val="9"/>
    <w:rsid w:val="00B90CD0"/>
    <w:rPr>
      <w:rFonts w:ascii="Times New Roman" w:eastAsia="Times New Roman" w:hAnsi="Times New Roman" w:cs="Times New Roman"/>
      <w:b/>
      <w:bCs/>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A1E5B"/>
    <w:pPr>
      <w:spacing w:before="100" w:beforeAutospacing="1" w:after="100" w:afterAutospacing="1" w:line="240" w:lineRule="auto"/>
    </w:pPr>
    <w:rPr>
      <w:rFonts w:eastAsia="Times New Roman" w:cs="Times New Roman"/>
      <w:szCs w:val="24"/>
    </w:rPr>
  </w:style>
  <w:style w:type="character" w:customStyle="1" w:styleId="apple-converted-space">
    <w:name w:val="apple-converted-space"/>
    <w:basedOn w:val="DefaultParagraphFont"/>
    <w:rsid w:val="001A1E5B"/>
  </w:style>
  <w:style w:type="paragraph" w:styleId="EndnoteText">
    <w:name w:val="endnote text"/>
    <w:basedOn w:val="Normal"/>
    <w:link w:val="EndnoteTextChar"/>
    <w:uiPriority w:val="99"/>
    <w:semiHidden/>
    <w:unhideWhenUsed/>
    <w:rsid w:val="009B11D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B11D0"/>
    <w:rPr>
      <w:rFonts w:ascii="Times New Roman" w:hAnsi="Times New Roman"/>
      <w:sz w:val="20"/>
      <w:szCs w:val="20"/>
    </w:rPr>
  </w:style>
  <w:style w:type="character" w:styleId="EndnoteReference">
    <w:name w:val="endnote reference"/>
    <w:basedOn w:val="DefaultParagraphFont"/>
    <w:uiPriority w:val="99"/>
    <w:semiHidden/>
    <w:unhideWhenUsed/>
    <w:rsid w:val="009B11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9155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Nat25</b:Tag>
    <b:SourceType>InternetSite</b:SourceType>
    <b:Guid>{0360275B-4F7F-8648-98D3-D4A0F3DEA6F1}</b:Guid>
    <b:Title>SBIR/STTR bridging the valley of death</b:Title>
    <b:Year>2025</b:Year>
    <b:Author>
      <b:Author>
        <b:Corporate>National Institute of Health</b:Corporate>
      </b:Author>
    </b:Author>
    <b:InternetSiteTitle>NIH SEED Program</b:InternetSiteTitle>
    <b:RefOrder>1</b:RefOrder>
  </b:Source>
</b:Sources>
</file>

<file path=customXml/itemProps1.xml><?xml version="1.0" encoding="utf-8"?>
<ds:datastoreItem xmlns:ds="http://schemas.openxmlformats.org/officeDocument/2006/customXml" ds:itemID="{F863E13A-7C61-8341-93A1-141276EDB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5918</Words>
  <Characters>41310</Characters>
  <Application>Microsoft Office Word</Application>
  <DocSecurity>0</DocSecurity>
  <Lines>794</Lines>
  <Paragraphs>304</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Strategic Activation Framework for Translating Digital Health Platforms from Con</vt:lpstr>
      <vt:lpstr>Abstract</vt:lpstr>
      <vt:lpstr>1. Introduction</vt:lpstr>
      <vt:lpstr>    1.1 The Digital Health Translation Challenge</vt:lpstr>
      <vt:lpstr>    1.2 Implementation Science and Digital Health</vt:lpstr>
      <vt:lpstr>    1.3 Series A Investment Criteria and Digital Health</vt:lpstr>
      <vt:lpstr>    1.4 The Gap in Existing Literature</vt:lpstr>
      <vt:lpstr>    1.5 Research Objective and Contribution</vt:lpstr>
      <vt:lpstr>2. Background: The Integrated Health Empowerment Program</vt:lpstr>
      <vt:lpstr>    2.1 Technical Overview</vt:lpstr>
      <vt:lpstr>    2.2 Strategic Documentation</vt:lpstr>
      <vt:lpstr>    2.3 The Translation Problem</vt:lpstr>
      <vt:lpstr>3. Methodology: Development of the Strategic Activation Framework</vt:lpstr>
      <vt:lpstr>    3.1 Framework Development Approach</vt:lpstr>
      <vt:lpstr>    3.2 Conceptual Foundation</vt:lpstr>
      <vt:lpstr>    </vt:lpstr>
      <vt:lpstr>    </vt:lpstr>
      <vt:lpstr>    3.3 Phase-Gated Architecture</vt:lpstr>
      <vt:lpstr>4. The Strategic Activation Framework</vt:lpstr>
      <vt:lpstr>    4.1 Phase 1: The 90-Day Credibility Sprint</vt:lpstr>
      <vt:lpstr>    4.2 Phase 2: The Series A Launchpad (Months 4–9)</vt:lpstr>
      <vt:lpstr>5. Expected Results and Outcomes</vt:lpstr>
      <vt:lpstr>6. Discussion</vt:lpstr>
      <vt:lpstr>    6.1 Theoretical Contribution</vt:lpstr>
      <vt:lpstr>    6.2 Practical Implications</vt:lpstr>
      <vt:lpstr>    6.3 Limitations and Boundary Conditions</vt:lpstr>
      <vt:lpstr>    6.4 Alternative Approaches</vt:lpstr>
      <vt:lpstr>    6.5 Future Research Directions</vt:lpstr>
      <vt:lpstr>7. Conclusion</vt:lpstr>
      <vt:lpstr>    References</vt:lpstr>
    </vt:vector>
  </TitlesOfParts>
  <Manager/>
  <Company/>
  <LinksUpToDate>false</LinksUpToDate>
  <CharactersWithSpaces>46924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Jarmacz</cp:lastModifiedBy>
  <cp:revision>3</cp:revision>
  <dcterms:created xsi:type="dcterms:W3CDTF">2026-02-06T19:18:00Z</dcterms:created>
  <dcterms:modified xsi:type="dcterms:W3CDTF">2026-02-06T19:20:00Z</dcterms:modified>
  <cp:category/>
</cp:coreProperties>
</file>