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vertAlign w:val="baseline"/>
        </w:rPr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Noticias de la Comarca</w:t>
      </w:r>
    </w:p>
    <w:p>
      <w:pPr>
        <w:rPr>
          <w:vertAlign w:val="baseline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1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2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Hoy en nuestra comarca se han celebrado varias actividades culturales. Los vecinos pudieron disfrutar de música en vivo y exposiciones de arte local. La participación ha sido muy alta, demostrando el interés por las iniciativas culturales del municipio.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4261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 deportes, el equipo local de fútbol logró una victoria importante en la liga regional. Los aficionados celebraron el triunfo y animaron al equipo para los próximos partidos.</w:t>
            </w:r>
          </w:p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</w:tr>
    </w:tbl>
    <w:p>
      <w:r>
        <w:br w:type="column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F5116"/>
    <w:rsid w:val="73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2025-12-11T19:22:00Z</dcterms:created>
  <dc:creator>iker</dc:creator>
  <cp:lastModifiedBy>iker</cp:lastModifiedBy>
  <dcterms:modified xsi:type="dcterms:W3CDTF">2025-12-11T19:31:01Z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