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00"/>
      </w:pPr>
      <w:r>
        <w:rPr>
          <w:rFonts w:ascii="Cambria" w:cs="Cambria" w:eastAsia="Cambria" w:hAnsi="Cambria"/>
          <w:b/>
          <w:bCs/>
          <w:color w:val="1F3355"/>
          <w:sz w:val="36"/>
          <w:szCs w:val="36"/>
        </w:rPr>
        <w:t xml:space="preserve">Parallel Token Swapping on Heavy-Hex Architectures: Approximation Guarantees and an Empirical Router</w:t>
      </w:r>
    </w:p>
    <w:p>
      <w:pPr>
        <w:spacing w:after="100"/>
      </w:pPr>
      <w:r>
        <w:rPr>
          <w:i/>
          <w:iCs/>
          <w:color w:val="555555"/>
          <w:sz w:val="24"/>
          <w:szCs w:val="24"/>
        </w:rPr>
        <w:t xml:space="preserve">Undergraduate Thesis Proposal</w:t>
      </w:r>
    </w:p>
    <w:p>
      <w:pPr>
        <w:spacing w:after="0"/>
      </w:pPr>
      <w:r>
        <w:rPr>
          <w:color w:val="666666"/>
          <w:sz w:val="19"/>
          <w:szCs w:val="19"/>
        </w:rPr>
        <w:t xml:space="preserve">[Your name]  ·  [Department]  ·  [Date]  ·  Proposed supervisor: [Name]</w:t>
      </w:r>
    </w:p>
    <w:p>
      <w:pPr>
        <w:pBdr>
          <w:bottom w:val="single" w:color="BBBBBB" w:sz="6" w:space="1"/>
        </w:pBdr>
        <w:spacing w:after="240" w:before="120"/>
      </w:pPr>
    </w:p>
    <w:p>
      <w:pPr>
        <w:pStyle w:val="Heading1"/>
        <w:spacing w:after="180" w:before="400"/>
      </w:pPr>
      <w:r>
        <w:rPr>
          <w:rFonts w:ascii="Cambria" w:cs="Cambria" w:eastAsia="Cambria" w:hAnsi="Cambria"/>
          <w:b/>
          <w:bCs/>
          <w:color w:val="1F3355"/>
          <w:sz w:val="30"/>
          <w:szCs w:val="30"/>
        </w:rPr>
        <w:t xml:space="preserve">1.  Summary</w:t>
      </w:r>
    </w:p>
    <w:p>
      <w:pPr>
        <w:spacing w:after="140" w:line="276"/>
      </w:pPr>
      <w:r>
        <w:t xml:space="preserve">Quantum circuits must be compiled to hardware with limited qubit connectivity, which requires inserting SWAP gates to bring interacting qubits into adjacency. Because decoherence is a function of wall-clock time, the quantity that matters most is SWAP depth — the number of parallel swap rounds — rather than total SWAP count.</w:t>
      </w:r>
    </w:p>
    <w:p>
      <w:pPr>
        <w:spacing w:after="140" w:line="276"/>
      </w:pPr>
      <w:r>
        <w:t xml:space="preserve">The abstract form of this subproblem is </w:t>
      </w:r>
      <w:r>
        <w:rPr>
          <w:b/>
          <w:bCs/>
        </w:rPr>
        <w:t xml:space="preserve">parallel token swapping</w:t>
      </w:r>
      <w:r>
        <w:t xml:space="preserve">: given a graph and a target permutation, reach it in the fewest rounds, where each round applies a matching of simultaneous swaps. Constant-factor approximation algorithms are known for cycles, subdivided stars, and grids. They are not known for heavy-hex, the topology IBM ships.</w:t>
      </w:r>
    </w:p>
    <w:p>
      <w:pPr>
        <w:spacing w:after="140" w:line="276"/>
      </w:pPr>
      <w:r>
        <w:t xml:space="preserve">This thesis attacks the heavy-hex case. It proceeds theory-first, but builds the implementation and benchmarking infrastructure early, so that the empirical contribution is secured before the theoretical one is attempted.</w:t>
      </w:r>
    </w:p>
    <w:p>
      <w:pPr>
        <w:pStyle w:val="Heading1"/>
        <w:spacing w:after="180" w:before="400"/>
      </w:pPr>
      <w:r>
        <w:rPr>
          <w:rFonts w:ascii="Cambria" w:cs="Cambria" w:eastAsia="Cambria" w:hAnsi="Cambria"/>
          <w:b/>
          <w:bCs/>
          <w:color w:val="1F3355"/>
          <w:sz w:val="30"/>
          <w:szCs w:val="30"/>
        </w:rPr>
        <w:t xml:space="preserve">2.  Problem statement</w:t>
      </w:r>
    </w:p>
    <w:p>
      <w:pPr>
        <w:spacing w:after="140" w:line="276"/>
      </w:pPr>
      <w:r>
        <w:rPr>
          <w:b/>
          <w:bCs/>
        </w:rPr>
        <w:t xml:space="preserve">Parallel token swapping (PTS).  </w:t>
      </w:r>
      <w:r>
        <w:t xml:space="preserve">Let G = (V, E) be a graph with a distinct token on each vertex, an initial placement f₀, and a target placement fₜ. A round applies a matching M ⊆ E, swapping the tokens on both endpoints of each edge in M simultaneously. Minimize the number of rounds required to transform f₀ into fₜ.</w:t>
      </w:r>
    </w:p>
    <w:p>
      <w:pPr>
        <w:spacing w:after="140" w:line="276"/>
      </w:pPr>
      <w:r>
        <w:rPr>
          <w:b/>
          <w:bCs/>
        </w:rPr>
        <w:t xml:space="preserve">Heavy-hex.  </w:t>
      </w:r>
      <w:r>
        <w:t xml:space="preserve">A hexagonal lattice with additional qubits subdivided onto its edges, giving a mixture of degree-2 and degree-3 vertices. For an i × j grid of hexagons, n = 5ij + 4(i + j) − 1.</w:t>
      </w:r>
    </w:p>
    <w:p>
      <w:pPr>
        <w:spacing w:after="140" w:line="276"/>
      </w:pPr>
      <w:r>
        <w:rPr>
          <w:b/>
          <w:bCs/>
        </w:rPr>
        <w:t xml:space="preserve">Natural lower bound.  </w:t>
      </w:r>
      <w:r>
        <w:t xml:space="preserve">LB is the maximum, over all tokens, of the graph distance between that token's starting vertex and its target vertex. The stretch factor of a graph family is the supremum of OPT / LB over all instances in the family.</w:t>
      </w:r>
    </w:p>
    <w:p>
      <w:pPr>
        <w:pStyle w:val="Heading2"/>
        <w:spacing w:after="140" w:before="280"/>
      </w:pPr>
      <w:r>
        <w:rPr>
          <w:rFonts w:ascii="Cambria" w:cs="Cambria" w:eastAsia="Cambria" w:hAnsi="Cambria"/>
          <w:b/>
          <w:bCs/>
          <w:color w:val="1F3355"/>
          <w:sz w:val="24"/>
          <w:szCs w:val="24"/>
        </w:rPr>
        <w:t xml:space="preserve">Scope caveat</w:t>
      </w:r>
    </w:p>
    <w:p>
      <w:pPr>
        <w:spacing w:after="140" w:line="276"/>
      </w:pPr>
      <w:r>
        <w:t xml:space="preserve">PTS fixes the target permutation. Full qubit routing does not — the router chooses intermediate permutations subject to a sequence of gate constraints, and choosing well is most of the practical problem. </w:t>
      </w:r>
      <w:r>
        <w:rPr>
          <w:b/>
          <w:bCs/>
        </w:rPr>
        <w:t xml:space="preserve">An approximation bound for PTS on heavy-hex does not imply a bound on compiled circuit depth.</w:t>
      </w:r>
      <w:r>
        <w:t xml:space="preserve"> This thesis claims theory at the permutation level and evidence at the circuit level, and will not conflate them.</w:t>
      </w:r>
    </w:p>
    <w:p>
      <w:pPr>
        <w:pStyle w:val="Heading1"/>
        <w:spacing w:after="180" w:before="400"/>
      </w:pPr>
      <w:r>
        <w:rPr>
          <w:rFonts w:ascii="Cambria" w:cs="Cambria" w:eastAsia="Cambria" w:hAnsi="Cambria"/>
          <w:b/>
          <w:bCs/>
          <w:color w:val="1F3355"/>
          <w:sz w:val="30"/>
          <w:szCs w:val="30"/>
        </w:rPr>
        <w:t xml:space="preserve">3.  Related work and the gap</w:t>
      </w:r>
    </w:p>
    <w:p>
      <w:pPr>
        <w:spacing w:after="140" w:line="276"/>
      </w:pPr>
      <w:r>
        <w:rPr>
          <w:b/>
          <w:bCs/>
        </w:rPr>
        <w:t xml:space="preserve">Sequential token swapping</w:t>
      </w:r>
      <w:r>
        <w:t xml:space="preserve"> is NP-hard and APX-hard, with a general 4-approximation and an ETH-based lower bound ruling out 2^o(n) exact algorithms (Miltzow et al., ESA 2016). Trees admit a 2-approximation, independently rediscovered three times, and no better factor is known.</w:t>
      </w:r>
    </w:p>
    <w:p>
      <w:pPr>
        <w:spacing w:after="140" w:line="276"/>
      </w:pPr>
      <w:r>
        <w:rPr>
          <w:b/>
          <w:bCs/>
        </w:rPr>
        <w:t xml:space="preserve">Parallel token swapping</w:t>
      </w:r>
      <w:r>
        <w:t xml:space="preserve"> was introduced as “routing permutations via matchings” (Alon, Chung &amp; Graham 1994), who bounded any n-vertex tree by fewer than 3n rounds, later improved to (3/2)n + O(log n). It is NP-complete on bipartite maximum-degree-3 graphs — a class containing heavy-hex — and NP-complete even when restricted to three rounds. Bansal, Günlük &amp; Shapley (Discrete Applied Mathematics, 2025; arXiv:2411.18581) give the first constant-factor approximations for cycles, subdivided stars, and grids, and analyze stretch-factor tightness. General graphs remain open, and heavy-hex is not covered.</w:t>
      </w:r>
    </w:p>
    <w:p>
      <w:pPr>
        <w:spacing w:after="140" w:line="276"/>
      </w:pPr>
      <w:r>
        <w:rPr>
          <w:b/>
          <w:bCs/>
        </w:rPr>
        <w:t xml:space="preserve">Heavy-hex routing already has results, but they are different objects.</w:t>
      </w:r>
      <w:r>
        <w:t xml:space="preserve"> Weidenfeller et al. (arXiv:2202.03459) prove a heavy-hex swap strategy achieving full connectivity in fewer than n + √n + 61 layers — a worst-case diameter bound, not an approximation ratio. Line-graph qubit routing (arXiv:2306.05385) is a deterministic heavy-hex router that beats SABRE on depth by roughly 3.5× for line-graph input circuits — a structure-exploiting heuristic with an overhead bound, not an instance-wise guarantee.</w:t>
      </w:r>
    </w:p>
    <w:p>
      <w:pPr>
        <w:spacing w:after="140" w:line="276"/>
      </w:pPr>
      <w:r>
        <w:rPr>
          <w:b/>
          <w:bCs/>
        </w:rPr>
        <w:t xml:space="preserve">Practical routers.</w:t>
      </w:r>
      <w:r>
        <w:t xml:space="preserve"> SABRE (Li, Ding &amp; Xie, ASPLOS 2019) is the Qiskit default; TOQM, Duostra, QMAP, and BQSKit target depth more directly. A 2025 benchmarking study found SABRE consistently strongest among general-purpose routers on both count and depth objectives for random circuits, indicating that reported wins over SABRE typically come from exploiting structure rather than from better search.</w:t>
      </w:r>
    </w:p>
    <w:p>
      <w:pPr>
        <w:spacing w:after="140" w:line="276"/>
      </w:pPr>
      <w:r>
        <w:rPr>
          <w:b/>
          <w:bCs/>
        </w:rPr>
        <w:t xml:space="preserve">The gap this thesis targets: </w:t>
      </w:r>
      <w:r>
        <w:t xml:space="preserve">no instance-wise approximation guarantee for parallel token swapping on heavy-hex, and no published stretch-factor analysis for the family.</w:t>
      </w:r>
    </w:p>
    <w:p>
      <w:pPr>
        <w:pStyle w:val="Heading1"/>
        <w:spacing w:after="180" w:before="400"/>
      </w:pPr>
      <w:r>
        <w:rPr>
          <w:rFonts w:ascii="Cambria" w:cs="Cambria" w:eastAsia="Cambria" w:hAnsi="Cambria"/>
          <w:b/>
          <w:bCs/>
          <w:color w:val="1F3355"/>
          <w:sz w:val="30"/>
          <w:szCs w:val="30"/>
        </w:rPr>
        <w:t xml:space="preserve">4.  Research questions</w:t>
      </w:r>
    </w:p>
    <w:p>
      <w:pPr>
        <w:spacing w:after="90" w:line="276"/>
      </w:pPr>
      <w:r>
        <w:rPr>
          <w:b/>
          <w:bCs/>
        </w:rPr>
        <w:t xml:space="preserve">RQ1.  </w:t>
      </w:r>
      <w:r>
        <w:t xml:space="preserve">What is the stretch factor of the geodesic lower bound on heavy-hex graphs?</w:t>
      </w:r>
    </w:p>
    <w:p>
      <w:pPr>
        <w:spacing w:after="90" w:line="276"/>
      </w:pPr>
      <w:r>
        <w:rPr>
          <w:b/>
          <w:bCs/>
        </w:rPr>
        <w:t xml:space="preserve">RQ2.  </w:t>
      </w:r>
      <w:r>
        <w:t xml:space="preserve">Does heavy-hex admit a polynomial-time constant-factor approximation for parallel token swapping?</w:t>
      </w:r>
    </w:p>
    <w:p>
      <w:pPr>
        <w:spacing w:after="140" w:line="276"/>
      </w:pPr>
      <w:r>
        <w:rPr>
          <w:b/>
          <w:bCs/>
        </w:rPr>
        <w:t xml:space="preserve">RQ3.  </w:t>
      </w:r>
      <w:r>
        <w:t xml:space="preserve">How do the Bansal–Günlük–Shapley algorithms perform empirically against SABRE-class heuristics on benchmark circuits, and where does the worst-case guarantee begin to pay off?</w:t>
      </w:r>
    </w:p>
    <w:p>
      <w:pPr>
        <w:pStyle w:val="Heading1"/>
        <w:spacing w:after="180" w:before="400"/>
      </w:pPr>
      <w:r>
        <w:rPr>
          <w:rFonts w:ascii="Cambria" w:cs="Cambria" w:eastAsia="Cambria" w:hAnsi="Cambria"/>
          <w:b/>
          <w:bCs/>
          <w:color w:val="1F3355"/>
          <w:sz w:val="30"/>
          <w:szCs w:val="30"/>
        </w:rPr>
        <w:t xml:space="preserve">5.  Approach</w:t>
      </w:r>
    </w:p>
    <w:p>
      <w:pPr>
        <w:pStyle w:val="Heading2"/>
        <w:spacing w:after="140" w:before="280"/>
      </w:pPr>
      <w:r>
        <w:rPr>
          <w:rFonts w:ascii="Cambria" w:cs="Cambria" w:eastAsia="Cambria" w:hAnsi="Cambria"/>
          <w:b/>
          <w:bCs/>
          <w:color w:val="1F3355"/>
          <w:sz w:val="24"/>
          <w:szCs w:val="24"/>
        </w:rPr>
        <w:t xml:space="preserve">Phase 1 — Infrastructure (weeks 1–8)</w:t>
      </w:r>
    </w:p>
    <w:p>
      <w:pPr>
        <w:spacing w:after="140" w:line="276"/>
      </w:pPr>
      <w:r>
        <w:t xml:space="preserve">Implement the BGS approximation algorithms for cycles, subdivided stars, and grids. No public implementation is known to exist; producing one is a contribution in itself. Build an exhaustive / ILP solver for optimal PTS on small instances, plus a benchmark harness with matched seeds, matched trial budgets, and depth measured after full transpiler optimization.</w:t>
      </w:r>
    </w:p>
    <w:p>
      <w:pPr>
        <w:spacing w:after="140" w:line="276"/>
      </w:pPr>
      <w:r>
        <w:t xml:space="preserve">This phase is not preparatory overhead. Computational search on small heavy-hex instances is the intended route to the RQ1 conjecture.</w:t>
      </w:r>
    </w:p>
    <w:p>
      <w:pPr>
        <w:pStyle w:val="Heading2"/>
        <w:spacing w:after="140" w:before="280"/>
      </w:pPr>
      <w:r>
        <w:rPr>
          <w:rFonts w:ascii="Cambria" w:cs="Cambria" w:eastAsia="Cambria" w:hAnsi="Cambria"/>
          <w:b/>
          <w:bCs/>
          <w:color w:val="1F3355"/>
          <w:sz w:val="24"/>
          <w:szCs w:val="24"/>
        </w:rPr>
        <w:t xml:space="preserve">Phase 2 — Stretch factor, RQ1 (weeks 6–15)</w:t>
      </w:r>
    </w:p>
    <w:p>
      <w:pPr>
        <w:spacing w:after="140" w:line="276"/>
      </w:pPr>
      <w:r>
        <w:t xml:space="preserve">Compute OPT / LB exhaustively on small heavy-hex graphs, identify the extremal structures, conjecture a bound, and prove it. This is the primary theoretical target because it is self-contained, empirically attackable, standalone-useful to heuristic designers, and a likely lemma for RQ2.</w:t>
      </w:r>
    </w:p>
    <w:p>
      <w:pPr>
        <w:spacing w:after="140" w:line="276"/>
      </w:pPr>
      <w:r>
        <w:t xml:space="preserve">Concurrently, test whether the known NP-completeness reduction on bipartite degree-3 graphs embeds into heavy-hex. This is cheap and delimits what is provable.</w:t>
      </w:r>
    </w:p>
    <w:p>
      <w:pPr>
        <w:pStyle w:val="Heading2"/>
        <w:spacing w:after="140" w:before="280"/>
      </w:pPr>
      <w:r>
        <w:rPr>
          <w:rFonts w:ascii="Cambria" w:cs="Cambria" w:eastAsia="Cambria" w:hAnsi="Cambria"/>
          <w:b/>
          <w:bCs/>
          <w:color w:val="1F3355"/>
          <w:sz w:val="24"/>
          <w:szCs w:val="24"/>
        </w:rPr>
        <w:t xml:space="preserve">Phase 3 — Approximation, RQ2 (weeks 15–24)</w:t>
      </w:r>
    </w:p>
    <w:p>
      <w:pPr>
        <w:spacing w:after="140" w:line="276"/>
      </w:pPr>
      <w:r>
        <w:rPr>
          <w:b/>
          <w:bCs/>
        </w:rPr>
        <w:t xml:space="preserve">Primary route (unfolding).  </w:t>
      </w:r>
      <w:r>
        <w:t xml:space="preserve">Heavy-hex unfolds along a long induced path covering roughly 4n/5 of its vertices, with pendant vertices attached at every fourth position. Paths admit an additive approximation using only one extra round. Strategy: route along the unfolded line using the known path algorithm, then bound the cost of servicing pendant vertices by O(1) additional rounds per unit. Constant plus constant is a constant factor.</w:t>
      </w:r>
    </w:p>
    <w:p>
      <w:pPr>
        <w:spacing w:after="140" w:line="276"/>
      </w:pPr>
      <w:r>
        <w:rPr>
          <w:b/>
          <w:bCs/>
        </w:rPr>
        <w:t xml:space="preserve">Backup route (composition).  </w:t>
      </w:r>
      <w:r>
        <w:t xml:space="preserve">Decompose heavy-hex into cycle and subdivided-star substructures, compose the BGS approximations, and accept a worse multiplicative constant.</w:t>
      </w:r>
    </w:p>
    <w:p>
      <w:pPr>
        <w:pStyle w:val="Heading2"/>
        <w:spacing w:after="140" w:before="280"/>
      </w:pPr>
      <w:r>
        <w:rPr>
          <w:rFonts w:ascii="Cambria" w:cs="Cambria" w:eastAsia="Cambria" w:hAnsi="Cambria"/>
          <w:b/>
          <w:bCs/>
          <w:color w:val="1F3355"/>
          <w:sz w:val="24"/>
          <w:szCs w:val="24"/>
        </w:rPr>
        <w:t xml:space="preserve">Phase 4 — Evaluation and writing (weeks 22–30)</w:t>
      </w:r>
    </w:p>
    <w:p>
      <w:pPr>
        <w:spacing w:after="140" w:line="276"/>
      </w:pPr>
      <w:r>
        <w:t xml:space="preserve">Benchmark on QASMBench and MQT Bench against SABRE (optimization_level = 3, matched trials), Duostra, QMAP, and tket. Report the </w:t>
      </w:r>
      <w:r>
        <w:rPr>
          <w:b/>
          <w:bCs/>
        </w:rPr>
        <w:t xml:space="preserve">depth / count Pareto frontier</w:t>
      </w:r>
      <w:r>
        <w:t xml:space="preserve">, not a single metric — depth reductions bought with large SWAP-count increases can be net fidelity losses.</w:t>
      </w:r>
    </w:p>
    <w:p>
      <w:pPr>
        <w:pStyle w:val="Heading1"/>
        <w:spacing w:after="180" w:before="400"/>
      </w:pPr>
      <w:r>
        <w:rPr>
          <w:rFonts w:ascii="Cambria" w:cs="Cambria" w:eastAsia="Cambria" w:hAnsi="Cambria"/>
          <w:b/>
          <w:bCs/>
          <w:color w:val="1F3355"/>
          <w:sz w:val="30"/>
          <w:szCs w:val="30"/>
        </w:rPr>
        <w:t xml:space="preserve">6.  Decision gate</w:t>
      </w:r>
    </w:p>
    <w:p>
      <w:pPr>
        <w:spacing w:after="140" w:line="276"/>
      </w:pPr>
      <w:r>
        <w:rPr>
          <w:b/>
          <w:bCs/>
        </w:rPr>
        <w:t xml:space="preserve">At week 16, the following must hold to continue Phase 3: </w:t>
      </w:r>
      <w:r>
        <w:t xml:space="preserve">either a proven stretch-factor bound for at least one heavy-hex family, or a complete proof sketch of the pendant-servicing lemma.</w:t>
      </w:r>
    </w:p>
    <w:p>
      <w:pPr>
        <w:spacing w:after="140" w:line="276"/>
      </w:pPr>
      <w:r>
        <w:t xml:space="preserve">If neither holds, Phase 3 is abandoned and effort redirects to extending Phase 4 into a full comparative study, including negative results on why the subdivided-star technique fails to generalize. The gate is a fixed calendar date with binary criteria, not a judgment call.</w:t>
      </w:r>
    </w:p>
    <w:p>
      <w:pPr>
        <w:pStyle w:val="Heading1"/>
        <w:spacing w:after="180" w:before="400"/>
      </w:pPr>
      <w:r>
        <w:rPr>
          <w:rFonts w:ascii="Cambria" w:cs="Cambria" w:eastAsia="Cambria" w:hAnsi="Cambria"/>
          <w:b/>
          <w:bCs/>
          <w:color w:val="1F3355"/>
          <w:sz w:val="30"/>
          <w:szCs w:val="30"/>
        </w:rPr>
        <w:t xml:space="preserve">7.  Deliverables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Open-source implementation of the BGS algorithms (Python; Rust / PyO3 only if time permits), exposed as a Qiskit TransformationPass.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Exhaustive PTS solver and benchmark harness with reproducible configuration.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Stretch-factor analysis for heavy-hex, with proof if attained.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Approximation algorithm with proof, if attained.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Comparative benchmark study on QASMBench / MQT Bench with Pareto analysis.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Thesis document.</w:t>
      </w:r>
    </w:p>
    <w:p>
      <w:pPr>
        <w:pStyle w:val="Heading1"/>
        <w:spacing w:after="180" w:before="400"/>
      </w:pPr>
      <w:r>
        <w:rPr>
          <w:rFonts w:ascii="Cambria" w:cs="Cambria" w:eastAsia="Cambria" w:hAnsi="Cambria"/>
          <w:b/>
          <w:bCs/>
          <w:color w:val="1F3355"/>
          <w:sz w:val="30"/>
          <w:szCs w:val="30"/>
        </w:rPr>
        <w:t xml:space="preserve">8. 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EDF1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7460"/>
            <w:shd w:fill="EDF1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Criterion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Threshold</w:t>
            </w:r>
          </w:p>
        </w:tc>
        <w:tc>
          <w:tcPr>
            <w:tcW w:type="dxa" w:w="7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Working implementation of published algorithms; rigorous comparative benchmark study; documented negative results. Achievable regardless of theoretical outcome.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7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Proven stretch-factor bound for heavy-hex, validated computationally.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Stretch</w:t>
            </w:r>
          </w:p>
        </w:tc>
        <w:tc>
          <w:tcPr>
            <w:tcW w:type="dxa" w:w="7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Constant-factor approximation for parallel token swapping on heavy-hex.</w:t>
            </w:r>
          </w:p>
        </w:tc>
      </w:tr>
    </w:tbl>
    <w:p>
      <w:pPr>
        <w:spacing w:after="140" w:before="180" w:line="276"/>
      </w:pPr>
      <w:r>
        <w:rPr>
          <w:i/>
          <w:iCs/>
          <w:color w:val="444444"/>
          <w:sz w:val="20"/>
          <w:szCs w:val="20"/>
        </w:rPr>
        <w:t xml:space="preserve">The threshold level is reachable by construction, since it depends only on implementing existing results and running experiments. This is deliberate.</w:t>
      </w:r>
    </w:p>
    <w:p>
      <w:pPr>
        <w:pStyle w:val="Heading1"/>
        <w:spacing w:after="180" w:before="400"/>
      </w:pPr>
      <w:r>
        <w:rPr>
          <w:rFonts w:ascii="Cambria" w:cs="Cambria" w:eastAsia="Cambria" w:hAnsi="Cambria"/>
          <w:b/>
          <w:bCs/>
          <w:color w:val="1F3355"/>
          <w:sz w:val="30"/>
          <w:szCs w:val="30"/>
        </w:rPr>
        <w:t xml:space="preserve">9. 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shd w:fill="EDF1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5660"/>
            <w:shd w:fill="EDF1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Proof does not close</w:t>
            </w:r>
          </w:p>
        </w:tc>
        <w:tc>
          <w:tcPr>
            <w:tcW w:type="dxa" w:w="5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Week-16 gate with binary criteria; threshold deliverable already secured by then.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Scooped — heavy-hex is the obvious next increment after subdivided stars</w:t>
            </w:r>
          </w:p>
        </w:tc>
        <w:tc>
          <w:tcPr>
            <w:tcW w:type="dxa" w:w="5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Monitor arXiv and citations to BGS weekly; a concurrent result still leaves the empirical study intact.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Benchmarking methodology criticized</w:t>
            </w:r>
          </w:p>
        </w:tc>
        <w:tc>
          <w:tcPr>
            <w:tcW w:type="dxa" w:w="5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Matched seeds and trial budgets from the start; report Pareto frontiers; publish full configuration.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Implementation scope creep</w:t>
            </w:r>
          </w:p>
        </w:tc>
        <w:tc>
          <w:tcPr>
            <w:tcW w:type="dxa" w:w="5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first; Rust is explicitly optional.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Supervision mismatch on combinatorics</w:t>
            </w:r>
          </w:p>
        </w:tc>
        <w:tc>
          <w:tcPr>
            <w:tcW w:type="dxa" w:w="5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Raised explicitly in Section 10.</w:t>
            </w:r>
          </w:p>
        </w:tc>
      </w:tr>
    </w:tbl>
    <w:p>
      <w:pPr>
        <w:pStyle w:val="Heading1"/>
        <w:spacing w:after="180" w:before="400"/>
      </w:pPr>
      <w:r>
        <w:rPr>
          <w:rFonts w:ascii="Cambria" w:cs="Cambria" w:eastAsia="Cambria" w:hAnsi="Cambria"/>
          <w:b/>
          <w:bCs/>
          <w:color w:val="1F3355"/>
          <w:sz w:val="30"/>
          <w:szCs w:val="30"/>
        </w:rPr>
        <w:t xml:space="preserve">10.  Questions for my supervisor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Can you supervise a combinatorial optimization proof, or should I seek a co-advisor from theory / discrete mathematics?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Does the department expect novelty in an undergraduate thesis, or is demonstrated research competence sufficient? This determines how much weight the theory arm should carry.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Is the week-16 gate structure acceptable as a formal checkpoint?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What compute is available for exhaustive small-instance search and benchmark sweeps?</w:t>
      </w:r>
    </w:p>
    <w:p>
      <w:pPr>
        <w:pStyle w:val="Heading1"/>
        <w:spacing w:after="180" w:before="400"/>
      </w:pPr>
      <w:r>
        <w:rPr>
          <w:rFonts w:ascii="Cambria" w:cs="Cambria" w:eastAsia="Cambria" w:hAnsi="Cambria"/>
          <w:b/>
          <w:bCs/>
          <w:color w:val="1F3355"/>
          <w:sz w:val="30"/>
          <w:szCs w:val="30"/>
        </w:rPr>
        <w:t xml:space="preserve">11.  Key references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t xml:space="preserve">Bansal, Günlük &amp; Shapley. Parallel token swapping for qubit routing. Discrete Applied Mathematics (2025). arXiv:2411.18581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t xml:space="preserve">Miltzow, Narins, Okamoto, Rote, Thomas &amp; Uno. Approximation and hardness of token swapping. ESA (2016)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t xml:space="preserve">Alon, Chung &amp; Graham. Routing permutations on graphs via matchings. SIAM J. Discrete Math (1994)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t xml:space="preserve">Aichholzer et al. Hardness of token swapping on trees. arXiv:2103.06707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t xml:space="preserve">Weidenfeller et al. Scaling of QAOA on superconducting qubit based hardware. Quantum 6, 870 (2022). arXiv:2202.03459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t xml:space="preserve">Line-graph qubit routing: from kagome to heavy-hex and more. arXiv:2306.05385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t xml:space="preserve">Li, Ding &amp; Xie. Tackling the qubit mapping problem for NISQ-era quantum devices. ASPLOS (2019)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t xml:space="preserve">Quetschlich, Burgholzer &amp; Wille. MQT Bench. Quantum 7, 1062 (2023)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2026-08-27T07:53:29.291Z</dcterms:created>
  <dcterms:modified xsi:type="dcterms:W3CDTF">2026-08-27T07:53:29.291Z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