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6E444" w14:textId="77777777" w:rsidR="0097281A" w:rsidRPr="005E47F7" w:rsidRDefault="7437B88E" w:rsidP="7437B88E">
      <w:pPr>
        <w:jc w:val="center"/>
        <w:rPr>
          <w:b/>
          <w:bCs/>
          <w:sz w:val="28"/>
          <w:szCs w:val="28"/>
        </w:rPr>
      </w:pPr>
      <w:bookmarkStart w:id="0" w:name="_GoBack"/>
      <w:bookmarkEnd w:id="0"/>
      <w:proofErr w:type="spellStart"/>
      <w:r w:rsidRPr="7437B88E">
        <w:rPr>
          <w:b/>
          <w:bCs/>
          <w:sz w:val="28"/>
          <w:szCs w:val="28"/>
        </w:rPr>
        <w:t>SmartVA</w:t>
      </w:r>
      <w:proofErr w:type="spellEnd"/>
      <w:r w:rsidRPr="7437B88E">
        <w:rPr>
          <w:b/>
          <w:bCs/>
          <w:sz w:val="28"/>
          <w:szCs w:val="28"/>
        </w:rPr>
        <w:t xml:space="preserve"> </w:t>
      </w:r>
      <w:proofErr w:type="spellStart"/>
      <w:r w:rsidRPr="7437B88E">
        <w:rPr>
          <w:b/>
          <w:bCs/>
          <w:sz w:val="28"/>
          <w:szCs w:val="28"/>
        </w:rPr>
        <w:t>Analyze</w:t>
      </w:r>
      <w:proofErr w:type="spellEnd"/>
      <w:r w:rsidRPr="7437B88E">
        <w:rPr>
          <w:b/>
          <w:bCs/>
          <w:sz w:val="28"/>
          <w:szCs w:val="28"/>
        </w:rPr>
        <w:t xml:space="preserve"> Outputs Interpretation Sheet</w:t>
      </w:r>
    </w:p>
    <w:p w14:paraId="0080A67C" w14:textId="72DDC3D7" w:rsidR="00A3034A" w:rsidRDefault="7437B88E" w:rsidP="00AC6962">
      <w:pPr>
        <w:jc w:val="both"/>
      </w:pPr>
      <w:proofErr w:type="spellStart"/>
      <w:r>
        <w:t>SmartVA-Analyze</w:t>
      </w:r>
      <w:proofErr w:type="spellEnd"/>
      <w:r>
        <w:t xml:space="preserve"> uses an algorithm called ‘Tariff 2.0’ to assign the cause of death based on the details of the verbal autopsy (VA) interview. The output from </w:t>
      </w:r>
      <w:proofErr w:type="spellStart"/>
      <w:r>
        <w:t>SmartVA-Analyze</w:t>
      </w:r>
      <w:proofErr w:type="spellEnd"/>
      <w:r>
        <w:t xml:space="preserve"> is organised in four folders and what follows is a brief description of the files within these folders, their purpose and how they may be used/interpreted.</w:t>
      </w:r>
    </w:p>
    <w:p w14:paraId="627F8EF4" w14:textId="77777777" w:rsidR="00AC6962" w:rsidRDefault="7437B88E" w:rsidP="00AC6962">
      <w:pPr>
        <w:jc w:val="both"/>
      </w:pPr>
      <w:r>
        <w:t xml:space="preserve">VA results should be analysed on a population basis. It should be noted that a large number of VAs (&gt;1000) are necessary to provide a good picture of the population cause distribution. In addition, VA may be collected from specific locations and have an age distribution that may not match that of the general population. Therefore, analysis of VA results should be done in consideration of these factors. </w:t>
      </w:r>
    </w:p>
    <w:p w14:paraId="4854EE97" w14:textId="77777777" w:rsidR="00A3034A" w:rsidRPr="002D5AF2" w:rsidRDefault="7437B88E" w:rsidP="7437B88E">
      <w:pPr>
        <w:jc w:val="both"/>
        <w:rPr>
          <w:b/>
          <w:bCs/>
        </w:rPr>
      </w:pPr>
      <w:r w:rsidRPr="7437B88E">
        <w:rPr>
          <w:b/>
          <w:bCs/>
        </w:rPr>
        <w:t>1 – individual-cause-of-death</w:t>
      </w:r>
    </w:p>
    <w:p w14:paraId="7D5203F3" w14:textId="77777777" w:rsidR="00A3034A" w:rsidRDefault="7437B88E" w:rsidP="00AC6962">
      <w:pPr>
        <w:jc w:val="both"/>
      </w:pPr>
      <w:r>
        <w:t>This folder contains information on individual verbal autopsy results. There are four files, one for each of the three modules (</w:t>
      </w:r>
      <w:r w:rsidRPr="7437B88E">
        <w:rPr>
          <w:b/>
          <w:bCs/>
        </w:rPr>
        <w:t xml:space="preserve">adult-predictions.csv, child-predictions.csv, </w:t>
      </w:r>
      <w:proofErr w:type="gramStart"/>
      <w:r w:rsidRPr="7437B88E">
        <w:rPr>
          <w:b/>
          <w:bCs/>
        </w:rPr>
        <w:t>neonate</w:t>
      </w:r>
      <w:proofErr w:type="gramEnd"/>
      <w:r w:rsidRPr="7437B88E">
        <w:rPr>
          <w:b/>
          <w:bCs/>
        </w:rPr>
        <w:t>-predictions.csv</w:t>
      </w:r>
      <w:r>
        <w:t>) and one combining the all-age results (</w:t>
      </w:r>
      <w:r w:rsidRPr="7437B88E">
        <w:rPr>
          <w:b/>
          <w:bCs/>
        </w:rPr>
        <w:t>individual-cause-of-death.csv</w:t>
      </w:r>
      <w:r>
        <w:t>)</w:t>
      </w:r>
    </w:p>
    <w:p w14:paraId="4E6E6D19" w14:textId="77777777" w:rsidR="007071F6" w:rsidRDefault="00AC6962" w:rsidP="00AC6962">
      <w:pPr>
        <w:jc w:val="both"/>
      </w:pPr>
      <w:r>
        <w:t>The information in this folder</w:t>
      </w:r>
      <w:r w:rsidR="007071F6">
        <w:t xml:space="preserve"> contains </w:t>
      </w:r>
      <w:r>
        <w:t xml:space="preserve">data </w:t>
      </w:r>
      <w:r w:rsidR="007071F6">
        <w:t>that could be useful for linking/integrating with other health information or civil registration systems. It includes</w:t>
      </w:r>
      <w:r>
        <w:t xml:space="preserve"> individual records of</w:t>
      </w:r>
      <w:r w:rsidR="007071F6">
        <w:t xml:space="preserve"> VA-ID, name</w:t>
      </w:r>
      <w:r>
        <w:t xml:space="preserve"> of deceased</w:t>
      </w:r>
      <w:r w:rsidR="007071F6">
        <w:t xml:space="preserve">, geographical location (up to 4 levels), cause name, </w:t>
      </w:r>
      <w:proofErr w:type="spellStart"/>
      <w:r w:rsidR="007071F6">
        <w:t>SmartVA</w:t>
      </w:r>
      <w:proofErr w:type="spellEnd"/>
      <w:r w:rsidR="007071F6">
        <w:t xml:space="preserve"> code, ICD-10 code</w:t>
      </w:r>
      <w:r w:rsidR="00A5580E">
        <w:rPr>
          <w:rStyle w:val="FootnoteReference"/>
        </w:rPr>
        <w:footnoteReference w:id="1"/>
      </w:r>
      <w:r w:rsidR="007071F6">
        <w:t xml:space="preserve">, age and sex </w:t>
      </w:r>
      <w:r w:rsidR="00A5580E">
        <w:t xml:space="preserve">(1 for male and 2 for female) </w:t>
      </w:r>
      <w:r w:rsidR="007071F6">
        <w:t>as well as other information for identification</w:t>
      </w:r>
      <w:r>
        <w:t xml:space="preserve"> purposes</w:t>
      </w:r>
      <w:r w:rsidR="007071F6">
        <w:t xml:space="preserve"> such as date of birth, date of death and interview date.</w:t>
      </w:r>
    </w:p>
    <w:p w14:paraId="7D5C409B" w14:textId="77777777" w:rsidR="007071F6" w:rsidRDefault="7437B88E" w:rsidP="00AC6962">
      <w:pPr>
        <w:jc w:val="both"/>
      </w:pPr>
      <w:r>
        <w:t>These files can be used for detailed analysis of VA results, e.g. by different age-groups, location etc. However, caution should be used when analysing the all-age results (individual-cause-of-death.csv) file since child and neonatal deaths are often under-represented in verbal autopsy data and analysing by all-age may not reflect the true scale of the problem in these age-groups.</w:t>
      </w:r>
    </w:p>
    <w:p w14:paraId="1D100DE5" w14:textId="77777777" w:rsidR="00F527D6" w:rsidRPr="002D5AF2" w:rsidRDefault="7437B88E" w:rsidP="7437B88E">
      <w:pPr>
        <w:spacing w:before="240"/>
        <w:rPr>
          <w:b/>
          <w:bCs/>
        </w:rPr>
      </w:pPr>
      <w:r w:rsidRPr="7437B88E">
        <w:rPr>
          <w:b/>
          <w:bCs/>
        </w:rPr>
        <w:t>2 – CSMF</w:t>
      </w:r>
    </w:p>
    <w:p w14:paraId="0BF1BCB2" w14:textId="5CF8FE80" w:rsidR="00953870" w:rsidRDefault="7437B88E" w:rsidP="002D5AF2">
      <w:pPr>
        <w:jc w:val="both"/>
      </w:pPr>
      <w:r>
        <w:t>This file contains the cause-specific mortality fraction (CSMF) or the aggregated population level distribution of cause of death from the VA data that has been analysed.  There are five files within this folder. Three files correspond to the CSMF for the age-group defined by verbal autopsy for adults (12 years and above), child (29 days – 11 years) and neonate (0-28 days).  One file (</w:t>
      </w:r>
      <w:r w:rsidRPr="7437B88E">
        <w:rPr>
          <w:b/>
          <w:bCs/>
        </w:rPr>
        <w:t>csmf.csv</w:t>
      </w:r>
      <w:r>
        <w:t xml:space="preserve">) provides an aggregated CSMF file for all the VA data. As above, caution should be used with interpreting these results which may under-estimate the importance of neonatal and child cause of death. Cause of death, </w:t>
      </w:r>
      <w:proofErr w:type="spellStart"/>
      <w:r>
        <w:t>SmartVA</w:t>
      </w:r>
      <w:proofErr w:type="spellEnd"/>
      <w:r>
        <w:t xml:space="preserve"> code and ICD-10 code with results are provided for male and female separately and combined.</w:t>
      </w:r>
    </w:p>
    <w:p w14:paraId="706C1E21" w14:textId="1512B4C8" w:rsidR="002A5347" w:rsidRDefault="002D5AF2" w:rsidP="7437B88E">
      <w:pPr>
        <w:jc w:val="both"/>
        <w:rPr>
          <w:lang w:val="en-US"/>
        </w:rPr>
      </w:pPr>
      <w:r>
        <w:t>Unlike in the individual cause files, f</w:t>
      </w:r>
      <w:r w:rsidR="00953870">
        <w:t xml:space="preserve">or CSMF there are no ‘Undetermined’ </w:t>
      </w:r>
      <w:r w:rsidR="00953870" w:rsidRPr="00590764">
        <w:t xml:space="preserve">causes of death.  </w:t>
      </w:r>
      <w:r w:rsidR="002A5347">
        <w:rPr>
          <w:lang w:val="en-US"/>
        </w:rPr>
        <w:t xml:space="preserve">This is because </w:t>
      </w:r>
      <w:proofErr w:type="spellStart"/>
      <w:r w:rsidR="002A5347">
        <w:rPr>
          <w:lang w:val="en-US"/>
        </w:rPr>
        <w:t>SmartVA</w:t>
      </w:r>
      <w:proofErr w:type="spellEnd"/>
      <w:r w:rsidR="002A5347">
        <w:rPr>
          <w:lang w:val="en-US"/>
        </w:rPr>
        <w:t>-Analyze redistributes the VAs with undetermined cause of death using a combination of two methods</w:t>
      </w:r>
      <w:r w:rsidR="002A5347">
        <w:rPr>
          <w:rStyle w:val="FootnoteReference"/>
          <w:lang w:val="en-US"/>
        </w:rPr>
        <w:footnoteReference w:id="2"/>
      </w:r>
      <w:r w:rsidR="002A5347">
        <w:rPr>
          <w:lang w:val="en-US"/>
        </w:rPr>
        <w:t xml:space="preserve">. Firstly, a VA with Undetermined COD is fractionally distributed amongst all VA causes, with weights proportional to the likelihood that the particular cause was assigned to undetermined in the gold standard database.  The gold standard database is the dataset on which the </w:t>
      </w:r>
      <w:r w:rsidR="002A5347">
        <w:rPr>
          <w:lang w:val="en-US"/>
        </w:rPr>
        <w:lastRenderedPageBreak/>
        <w:t>tariff analysis is based and includes VAs done on 12,542 deaths, for which the true cause of death was known</w:t>
      </w:r>
      <w:r w:rsidR="002A5347">
        <w:rPr>
          <w:rStyle w:val="FootnoteReference"/>
          <w:lang w:val="en-US"/>
        </w:rPr>
        <w:footnoteReference w:id="3"/>
      </w:r>
      <w:r w:rsidR="002A5347">
        <w:rPr>
          <w:lang w:val="en-US"/>
        </w:rPr>
        <w:t xml:space="preserve">. Certain deaths (such as pneumonia) are more likely to return an Undetermined COD because this cause is inherently more difficult to diagnose using VA methods than a cause like Road traffic accident.  The redistribution addresses this by applying a higher weighting to such deaths.  </w:t>
      </w:r>
      <w:r w:rsidR="002A5347" w:rsidRPr="002A5347">
        <w:rPr>
          <w:lang w:val="en-US"/>
        </w:rPr>
        <w:t>Secondly, this fractional redistribution weight is averaged with a proportional redistribution weight selected according to the Global Burden of Disease age and sex cause of dea</w:t>
      </w:r>
      <w:r w:rsidR="002A5347">
        <w:rPr>
          <w:lang w:val="en-US"/>
        </w:rPr>
        <w:t>th distribution for the country</w:t>
      </w:r>
      <w:r w:rsidR="002A5347">
        <w:rPr>
          <w:rStyle w:val="FootnoteReference"/>
          <w:lang w:val="en-US"/>
        </w:rPr>
        <w:footnoteReference w:id="4"/>
      </w:r>
      <w:r w:rsidR="002A5347">
        <w:rPr>
          <w:lang w:val="en-US"/>
        </w:rPr>
        <w:t>.</w:t>
      </w:r>
    </w:p>
    <w:p w14:paraId="53E0BC79" w14:textId="0411F2F0" w:rsidR="007071F6" w:rsidRDefault="7437B88E" w:rsidP="002D5AF2">
      <w:pPr>
        <w:jc w:val="both"/>
      </w:pPr>
      <w:r>
        <w:t xml:space="preserve"> To produce a CSMF file that includes </w:t>
      </w:r>
      <w:proofErr w:type="gramStart"/>
      <w:r>
        <w:t>Undetermined</w:t>
      </w:r>
      <w:proofErr w:type="gramEnd"/>
      <w:r>
        <w:t xml:space="preserve"> category, you should process your data through </w:t>
      </w:r>
      <w:proofErr w:type="spellStart"/>
      <w:r>
        <w:t>SmartVA</w:t>
      </w:r>
      <w:proofErr w:type="spellEnd"/>
      <w:r>
        <w:t xml:space="preserve"> </w:t>
      </w:r>
      <w:proofErr w:type="spellStart"/>
      <w:r>
        <w:t>Analyze</w:t>
      </w:r>
      <w:proofErr w:type="spellEnd"/>
      <w:r>
        <w:t xml:space="preserve"> </w:t>
      </w:r>
      <w:r w:rsidRPr="7437B88E">
        <w:rPr>
          <w:i/>
          <w:iCs/>
        </w:rPr>
        <w:t>without</w:t>
      </w:r>
      <w:r>
        <w:t xml:space="preserve"> specifying the country.  </w:t>
      </w:r>
    </w:p>
    <w:p w14:paraId="6FAB568E" w14:textId="77777777" w:rsidR="00953870" w:rsidRDefault="7437B88E">
      <w:r>
        <w:t xml:space="preserve">The file </w:t>
      </w:r>
      <w:r w:rsidRPr="7437B88E">
        <w:rPr>
          <w:b/>
          <w:bCs/>
        </w:rPr>
        <w:t>gbd-level1-csmf.csv</w:t>
      </w:r>
      <w:r>
        <w:t xml:space="preserve"> provides the breakdown of CSMF by the global burden of disease broad categories (Communicable, maternal, neonatal and nutritional disease; Non-communicable diseases and; Injuries).  This broad breakdown can be a useful first check of your VA data to assess whether it follows expectations in terms of these three categories.</w:t>
      </w:r>
    </w:p>
    <w:p w14:paraId="60B50494" w14:textId="77777777" w:rsidR="00E55287" w:rsidRPr="002D5AF2" w:rsidRDefault="7437B88E" w:rsidP="7437B88E">
      <w:pPr>
        <w:spacing w:before="240"/>
        <w:jc w:val="both"/>
        <w:rPr>
          <w:b/>
          <w:bCs/>
        </w:rPr>
      </w:pPr>
      <w:r w:rsidRPr="7437B88E">
        <w:rPr>
          <w:b/>
          <w:bCs/>
        </w:rPr>
        <w:t>3 – graphs-and-tables</w:t>
      </w:r>
    </w:p>
    <w:p w14:paraId="1B7D9A67" w14:textId="77777777" w:rsidR="00BA0FD3" w:rsidRDefault="7437B88E" w:rsidP="002D5AF2">
      <w:pPr>
        <w:jc w:val="both"/>
      </w:pPr>
      <w:r>
        <w:t xml:space="preserve">Whilst graphs and tables can be developed manually using the files contained in the individual-cause-of-death and CSMF folder, </w:t>
      </w:r>
      <w:proofErr w:type="spellStart"/>
      <w:r>
        <w:t>SmartVA</w:t>
      </w:r>
      <w:proofErr w:type="spellEnd"/>
      <w:r>
        <w:t xml:space="preserve"> </w:t>
      </w:r>
      <w:proofErr w:type="spellStart"/>
      <w:r>
        <w:t>Analyze</w:t>
      </w:r>
      <w:proofErr w:type="spellEnd"/>
      <w:r>
        <w:t xml:space="preserve"> produces some ready-made graphs.  </w:t>
      </w:r>
    </w:p>
    <w:p w14:paraId="3C9925D4" w14:textId="77777777" w:rsidR="00E55287" w:rsidRDefault="7437B88E" w:rsidP="002D5AF2">
      <w:pPr>
        <w:jc w:val="both"/>
      </w:pPr>
      <w:r>
        <w:t>For adult deaths, the CSMF for all adults (</w:t>
      </w:r>
      <w:r w:rsidRPr="7437B88E">
        <w:rPr>
          <w:b/>
          <w:bCs/>
        </w:rPr>
        <w:t>adult-csmf-figure.png</w:t>
      </w:r>
      <w:r>
        <w:t>) and for female (</w:t>
      </w:r>
      <w:r w:rsidRPr="7437B88E">
        <w:rPr>
          <w:b/>
          <w:bCs/>
        </w:rPr>
        <w:t>female-csmf-figure.png</w:t>
      </w:r>
      <w:r>
        <w:t>) and male (</w:t>
      </w:r>
      <w:r w:rsidRPr="7437B88E">
        <w:rPr>
          <w:b/>
          <w:bCs/>
        </w:rPr>
        <w:t>male-csmf-figure.png</w:t>
      </w:r>
      <w:r>
        <w:t>) separately are available. For children (child-csmf-figure.png) and neonates (neonate-csmf-figure.png). An all age CSMF file also available (</w:t>
      </w:r>
      <w:proofErr w:type="spellStart"/>
      <w:r w:rsidRPr="7437B88E">
        <w:rPr>
          <w:b/>
          <w:bCs/>
        </w:rPr>
        <w:t>csmf</w:t>
      </w:r>
      <w:proofErr w:type="spellEnd"/>
      <w:r w:rsidRPr="7437B88E">
        <w:rPr>
          <w:b/>
          <w:bCs/>
        </w:rPr>
        <w:t>-figure-</w:t>
      </w:r>
      <w:proofErr w:type="spellStart"/>
      <w:r w:rsidRPr="7437B88E">
        <w:rPr>
          <w:b/>
          <w:bCs/>
        </w:rPr>
        <w:t>png</w:t>
      </w:r>
      <w:proofErr w:type="spellEnd"/>
      <w:r>
        <w:t>)</w:t>
      </w:r>
    </w:p>
    <w:p w14:paraId="5A4D09A2" w14:textId="77777777" w:rsidR="00BA0FD3" w:rsidRDefault="7437B88E" w:rsidP="002D5AF2">
      <w:pPr>
        <w:jc w:val="both"/>
      </w:pPr>
      <w:r>
        <w:t xml:space="preserve">The </w:t>
      </w:r>
      <w:r w:rsidRPr="7437B88E">
        <w:rPr>
          <w:b/>
          <w:bCs/>
        </w:rPr>
        <w:t>gbd-level1-csmf.png</w:t>
      </w:r>
      <w:r>
        <w:t xml:space="preserve"> file is a pie-chart that illustrates in graphical form the breakdown by broad disease group.</w:t>
      </w:r>
    </w:p>
    <w:p w14:paraId="587780F7" w14:textId="77777777" w:rsidR="00BA0FD3" w:rsidRDefault="7437B88E" w:rsidP="002D5AF2">
      <w:pPr>
        <w:jc w:val="both"/>
      </w:pPr>
      <w:r>
        <w:t xml:space="preserve">The </w:t>
      </w:r>
      <w:r w:rsidRPr="7437B88E">
        <w:rPr>
          <w:b/>
          <w:bCs/>
        </w:rPr>
        <w:t>causes-of-death.csv</w:t>
      </w:r>
      <w:r>
        <w:t xml:space="preserve"> file provides a breakdown by defined age-group and sex for the different causes in </w:t>
      </w:r>
      <w:proofErr w:type="spellStart"/>
      <w:r>
        <w:t>SmartVA</w:t>
      </w:r>
      <w:proofErr w:type="spellEnd"/>
      <w:r>
        <w:t>. This can be useful to develop simple tables and graphs for specific age-groups of interest.</w:t>
      </w:r>
    </w:p>
    <w:p w14:paraId="11D4A20D" w14:textId="77777777" w:rsidR="00BA0FD3" w:rsidRPr="002D5AF2" w:rsidRDefault="7437B88E" w:rsidP="7437B88E">
      <w:pPr>
        <w:spacing w:before="240"/>
        <w:jc w:val="both"/>
        <w:rPr>
          <w:b/>
          <w:bCs/>
        </w:rPr>
      </w:pPr>
      <w:r w:rsidRPr="7437B88E">
        <w:rPr>
          <w:b/>
          <w:bCs/>
        </w:rPr>
        <w:t xml:space="preserve">4 – </w:t>
      </w:r>
      <w:proofErr w:type="gramStart"/>
      <w:r w:rsidRPr="7437B88E">
        <w:rPr>
          <w:b/>
          <w:bCs/>
        </w:rPr>
        <w:t>monitoring</w:t>
      </w:r>
      <w:proofErr w:type="gramEnd"/>
      <w:r w:rsidRPr="7437B88E">
        <w:rPr>
          <w:b/>
          <w:bCs/>
        </w:rPr>
        <w:t xml:space="preserve"> and quality</w:t>
      </w:r>
    </w:p>
    <w:p w14:paraId="255989F1" w14:textId="4B49AE06" w:rsidR="00BA0FD3" w:rsidRDefault="7437B88E" w:rsidP="002D5AF2">
      <w:pPr>
        <w:jc w:val="both"/>
      </w:pPr>
      <w:r>
        <w:t>This folder provides one main file (</w:t>
      </w:r>
      <w:r w:rsidRPr="7437B88E">
        <w:rPr>
          <w:b/>
          <w:bCs/>
        </w:rPr>
        <w:t>adult-likelihoods.xlsx; child-likelihoods.xlsx; neonate-likelihoods.xlsx</w:t>
      </w:r>
      <w:r>
        <w:t xml:space="preserve">) for each of the modules (adult, child and neonate) for inspecting the individual VA data.  This file outputs the VA-ID, age, sex and up to three causes of death predicted by </w:t>
      </w:r>
      <w:proofErr w:type="spellStart"/>
      <w:r>
        <w:t>SmartVA</w:t>
      </w:r>
      <w:proofErr w:type="spellEnd"/>
      <w:r>
        <w:t xml:space="preserve"> </w:t>
      </w:r>
      <w:proofErr w:type="spellStart"/>
      <w:r>
        <w:t>Analyze</w:t>
      </w:r>
      <w:proofErr w:type="spellEnd"/>
      <w:r>
        <w:t xml:space="preserve">. These causes have a likelihood score with colour-coding (Very Likely, Likely, Somewhat Likely, Possible) and the key endorsed symptom questions that contributed to this assigned cause of death along with a column containing all endorsed symptom questions for the particular VA record.  </w:t>
      </w:r>
    </w:p>
    <w:p w14:paraId="770DA562" w14:textId="23EE0A89" w:rsidR="0030002F" w:rsidRDefault="7437B88E" w:rsidP="002D5AF2">
      <w:pPr>
        <w:jc w:val="both"/>
      </w:pPr>
      <w:r>
        <w:t xml:space="preserve">In an intermediate folder within the main monitoring-and-quality folder there are additional files that </w:t>
      </w:r>
      <w:proofErr w:type="gramStart"/>
      <w:r>
        <w:t>available</w:t>
      </w:r>
      <w:proofErr w:type="gramEnd"/>
      <w:r>
        <w:t>. These include files containing the VA raw data (</w:t>
      </w:r>
      <w:r w:rsidRPr="7437B88E">
        <w:rPr>
          <w:b/>
          <w:bCs/>
        </w:rPr>
        <w:t>adult-raw-data.csv; child-raw-data.csv, neonate-raw-data.csv</w:t>
      </w:r>
      <w:r>
        <w:t>), files that have converted raw data into binary (0 and 1) for analysis (</w:t>
      </w:r>
      <w:r w:rsidRPr="7437B88E">
        <w:rPr>
          <w:b/>
          <w:bCs/>
        </w:rPr>
        <w:t>adult-symptom.csv; child-symptom.csv; neonate-symptom.csv</w:t>
      </w:r>
      <w:r>
        <w:t>) and files that shows the endorsement rates, or the percentage of respondents who answered “yes” to a particular question for each predicted cause category(</w:t>
      </w:r>
      <w:r w:rsidRPr="7437B88E">
        <w:rPr>
          <w:b/>
          <w:bCs/>
        </w:rPr>
        <w:t>adult-endorsement-rates.csv; child-endorsement-rates.csv; neonate-</w:t>
      </w:r>
      <w:r w:rsidRPr="7437B88E">
        <w:rPr>
          <w:b/>
          <w:bCs/>
        </w:rPr>
        <w:lastRenderedPageBreak/>
        <w:t>endorsement-rates.csv</w:t>
      </w:r>
      <w:r>
        <w:t>).  The csv likelihood files (</w:t>
      </w:r>
      <w:r w:rsidRPr="7437B88E">
        <w:rPr>
          <w:b/>
          <w:bCs/>
        </w:rPr>
        <w:t>adult-likelihoods.csv;</w:t>
      </w:r>
      <w:r>
        <w:t xml:space="preserve"> </w:t>
      </w:r>
      <w:r w:rsidRPr="7437B88E">
        <w:rPr>
          <w:b/>
          <w:bCs/>
        </w:rPr>
        <w:t xml:space="preserve">child-likelihoods.csv; neonate-likelihoods.csv. </w:t>
      </w:r>
      <w:r>
        <w:t xml:space="preserve">These have identical information to the corresponding Excel file in the main folder and can </w:t>
      </w:r>
      <w:proofErr w:type="gramStart"/>
      <w:r>
        <w:t>be  used</w:t>
      </w:r>
      <w:proofErr w:type="gramEnd"/>
      <w:r>
        <w:t xml:space="preserve"> if there is a problem with the Excel file.  In addition, a file called </w:t>
      </w:r>
      <w:r w:rsidRPr="7437B88E">
        <w:rPr>
          <w:b/>
          <w:bCs/>
        </w:rPr>
        <w:t>VA-data-age-groupings.csv</w:t>
      </w:r>
      <w:r>
        <w:t xml:space="preserve"> includes summary output data with counts for male and female by standard age groupings. This file can be used to compare VA data with other sources of mortality data.</w:t>
      </w:r>
    </w:p>
    <w:p w14:paraId="618EA1B4" w14:textId="77777777" w:rsidR="00F65483" w:rsidRPr="00F65483" w:rsidRDefault="7437B88E" w:rsidP="002D5AF2">
      <w:pPr>
        <w:jc w:val="both"/>
      </w:pPr>
      <w:r>
        <w:t>A text file report file (</w:t>
      </w:r>
      <w:r w:rsidRPr="7437B88E">
        <w:rPr>
          <w:b/>
          <w:bCs/>
        </w:rPr>
        <w:t>report.txt</w:t>
      </w:r>
      <w:r>
        <w:t>) that reports the following:</w:t>
      </w:r>
    </w:p>
    <w:p w14:paraId="37DE4F08" w14:textId="36027520" w:rsidR="00F65483" w:rsidRPr="00F65483" w:rsidRDefault="7437B88E" w:rsidP="002D5AF2">
      <w:pPr>
        <w:jc w:val="both"/>
      </w:pPr>
      <w:r>
        <w:t>Analysis parameters: where the input and output files are located, the country, whether it was stated as a malaria and HIV area.</w:t>
      </w:r>
    </w:p>
    <w:p w14:paraId="668ABB2C" w14:textId="77777777" w:rsidR="00F65483" w:rsidRDefault="7437B88E" w:rsidP="00F65483">
      <w:pPr>
        <w:jc w:val="both"/>
      </w:pPr>
      <w:r>
        <w:t xml:space="preserve">Quality summary: Number of entries (rows) that have duplicate or missing </w:t>
      </w:r>
      <w:proofErr w:type="spellStart"/>
      <w:proofErr w:type="gramStart"/>
      <w:r>
        <w:t>sids</w:t>
      </w:r>
      <w:proofErr w:type="spellEnd"/>
      <w:proofErr w:type="gramEnd"/>
      <w:r>
        <w:t xml:space="preserve">, number of entries (rows) where interview was declined. Number of entries (rows) that did not have valid age data and therefore could not be analysed.  </w:t>
      </w:r>
    </w:p>
    <w:p w14:paraId="733B7BF2" w14:textId="77777777" w:rsidR="00F65483" w:rsidRDefault="7437B88E" w:rsidP="00F65483">
      <w:pPr>
        <w:jc w:val="both"/>
      </w:pPr>
      <w:r>
        <w:t xml:space="preserve">The list of problem entries with their respective row numbers is listed below this. The row numbers relate to the rows in the csv file under analysis.  </w:t>
      </w:r>
    </w:p>
    <w:p w14:paraId="41B105BD" w14:textId="77777777" w:rsidR="006A1081" w:rsidRPr="00B26188" w:rsidRDefault="7437B88E" w:rsidP="7437B88E">
      <w:pPr>
        <w:pStyle w:val="Heading1"/>
        <w:spacing w:before="0"/>
        <w:rPr>
          <w:b w:val="0"/>
          <w:lang w:val="en-AU"/>
        </w:rPr>
      </w:pPr>
      <w:r>
        <w:t xml:space="preserve">Cause list for </w:t>
      </w:r>
      <w:proofErr w:type="spellStart"/>
      <w:r>
        <w:t>SmartVA</w:t>
      </w:r>
      <w:proofErr w:type="spellEnd"/>
      <w:r>
        <w:t xml:space="preserve"> against ICD-10 codes</w:t>
      </w:r>
    </w:p>
    <w:tbl>
      <w:tblPr>
        <w:tblW w:w="9786" w:type="dxa"/>
        <w:tblInd w:w="-431" w:type="dxa"/>
        <w:tblLook w:val="04A0" w:firstRow="1" w:lastRow="0" w:firstColumn="1" w:lastColumn="0" w:noHBand="0" w:noVBand="1"/>
      </w:tblPr>
      <w:tblGrid>
        <w:gridCol w:w="3134"/>
        <w:gridCol w:w="990"/>
        <w:gridCol w:w="5662"/>
      </w:tblGrid>
      <w:tr w:rsidR="006A1081" w:rsidRPr="00B243F2" w14:paraId="7C1136FD" w14:textId="77777777" w:rsidTr="7437B88E">
        <w:trPr>
          <w:trHeight w:val="289"/>
        </w:trPr>
        <w:tc>
          <w:tcPr>
            <w:tcW w:w="3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5F21C" w14:textId="335F136D" w:rsidR="006A1081" w:rsidRPr="00B243F2" w:rsidRDefault="006A1081" w:rsidP="0097281A">
            <w:pPr>
              <w:spacing w:after="0" w:line="240" w:lineRule="auto"/>
              <w:ind w:left="-636" w:firstLine="636"/>
              <w:rPr>
                <w:rFonts w:eastAsia="Times New Roman" w:cs="Times New Roman"/>
                <w:b/>
                <w:bCs/>
                <w:color w:val="000000"/>
                <w:sz w:val="20"/>
                <w:szCs w:val="20"/>
                <w:lang w:eastAsia="en-AU"/>
              </w:rPr>
            </w:pPr>
          </w:p>
        </w:tc>
        <w:tc>
          <w:tcPr>
            <w:tcW w:w="665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95FCD5" w14:textId="77777777" w:rsidR="006A1081" w:rsidRPr="00B243F2" w:rsidRDefault="7437B88E" w:rsidP="7437B88E">
            <w:pPr>
              <w:spacing w:after="0" w:line="240" w:lineRule="auto"/>
              <w:rPr>
                <w:rFonts w:eastAsia="Times New Roman" w:cs="Times New Roman"/>
                <w:b/>
                <w:bCs/>
                <w:sz w:val="20"/>
                <w:szCs w:val="20"/>
                <w:lang w:eastAsia="en-AU"/>
              </w:rPr>
            </w:pPr>
            <w:r w:rsidRPr="7437B88E">
              <w:rPr>
                <w:rFonts w:eastAsia="Times New Roman" w:cs="Times New Roman"/>
                <w:b/>
                <w:bCs/>
                <w:sz w:val="20"/>
                <w:szCs w:val="20"/>
                <w:lang w:eastAsia="en-AU"/>
              </w:rPr>
              <w:t> </w:t>
            </w:r>
          </w:p>
        </w:tc>
      </w:tr>
      <w:tr w:rsidR="006A1081" w:rsidRPr="00B243F2" w14:paraId="553EB26B" w14:textId="77777777" w:rsidTr="7437B88E">
        <w:trPr>
          <w:trHeight w:val="600"/>
        </w:trPr>
        <w:tc>
          <w:tcPr>
            <w:tcW w:w="3134" w:type="dxa"/>
            <w:vMerge/>
            <w:tcBorders>
              <w:top w:val="single" w:sz="4" w:space="0" w:color="auto"/>
              <w:left w:val="single" w:sz="4" w:space="0" w:color="auto"/>
              <w:bottom w:val="single" w:sz="4" w:space="0" w:color="auto"/>
              <w:right w:val="single" w:sz="4" w:space="0" w:color="auto"/>
            </w:tcBorders>
            <w:vAlign w:val="center"/>
            <w:hideMark/>
          </w:tcPr>
          <w:p w14:paraId="3B779048" w14:textId="77777777" w:rsidR="006A1081" w:rsidRPr="00B243F2" w:rsidRDefault="006A1081" w:rsidP="0097281A">
            <w:pPr>
              <w:spacing w:after="0" w:line="240" w:lineRule="auto"/>
              <w:rPr>
                <w:rFonts w:eastAsia="Times New Roman" w:cs="Times New Roman"/>
                <w:b/>
                <w:bCs/>
                <w:color w:val="000000"/>
                <w:sz w:val="20"/>
                <w:szCs w:val="20"/>
                <w:lang w:eastAsia="en-AU"/>
              </w:rPr>
            </w:pPr>
          </w:p>
        </w:tc>
        <w:tc>
          <w:tcPr>
            <w:tcW w:w="990" w:type="dxa"/>
            <w:tcBorders>
              <w:top w:val="nil"/>
              <w:left w:val="nil"/>
              <w:bottom w:val="single" w:sz="4" w:space="0" w:color="auto"/>
              <w:right w:val="nil"/>
            </w:tcBorders>
            <w:shd w:val="clear" w:color="auto" w:fill="auto"/>
            <w:vAlign w:val="center"/>
            <w:hideMark/>
          </w:tcPr>
          <w:p w14:paraId="74E6E41C" w14:textId="735C0BD1" w:rsidR="006A1081" w:rsidRPr="00B243F2" w:rsidRDefault="7437B88E" w:rsidP="7437B88E">
            <w:pPr>
              <w:spacing w:after="0" w:line="240" w:lineRule="auto"/>
              <w:jc w:val="center"/>
              <w:rPr>
                <w:rFonts w:eastAsia="Times New Roman" w:cs="Times New Roman"/>
                <w:b/>
                <w:bCs/>
                <w:color w:val="000000" w:themeColor="text1"/>
                <w:sz w:val="20"/>
                <w:szCs w:val="20"/>
                <w:lang w:eastAsia="en-AU"/>
              </w:rPr>
            </w:pPr>
            <w:r w:rsidRPr="7437B88E">
              <w:rPr>
                <w:rFonts w:eastAsia="Times New Roman" w:cs="Times New Roman"/>
                <w:b/>
                <w:bCs/>
                <w:color w:val="000000" w:themeColor="text1"/>
                <w:sz w:val="20"/>
                <w:szCs w:val="20"/>
                <w:lang w:eastAsia="en-AU"/>
              </w:rPr>
              <w:t>Code to     ICD-10</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8C9EAB9" w14:textId="77777777" w:rsidR="006A1081" w:rsidRPr="00B243F2" w:rsidRDefault="7437B88E" w:rsidP="7437B88E">
            <w:pPr>
              <w:spacing w:after="0" w:line="240" w:lineRule="auto"/>
              <w:jc w:val="center"/>
              <w:rPr>
                <w:rFonts w:eastAsia="Times New Roman" w:cs="Times New Roman"/>
                <w:b/>
                <w:bCs/>
                <w:color w:val="000000" w:themeColor="text1"/>
                <w:sz w:val="20"/>
                <w:szCs w:val="20"/>
                <w:lang w:eastAsia="en-AU"/>
              </w:rPr>
            </w:pPr>
            <w:r w:rsidRPr="7437B88E">
              <w:rPr>
                <w:rFonts w:eastAsia="Times New Roman" w:cs="Times New Roman"/>
                <w:b/>
                <w:bCs/>
                <w:color w:val="000000" w:themeColor="text1"/>
                <w:sz w:val="20"/>
                <w:szCs w:val="20"/>
                <w:lang w:eastAsia="en-AU"/>
              </w:rPr>
              <w:t>WHO ICD definition and comments</w:t>
            </w:r>
          </w:p>
        </w:tc>
      </w:tr>
      <w:tr w:rsidR="005E47F7" w:rsidRPr="005E47F7" w14:paraId="33665C16" w14:textId="77777777" w:rsidTr="7437B88E">
        <w:trPr>
          <w:trHeight w:val="500"/>
        </w:trPr>
        <w:tc>
          <w:tcPr>
            <w:tcW w:w="9786" w:type="dxa"/>
            <w:gridSpan w:val="3"/>
            <w:tcBorders>
              <w:top w:val="nil"/>
              <w:left w:val="single" w:sz="4" w:space="0" w:color="auto"/>
              <w:bottom w:val="single" w:sz="4" w:space="0" w:color="auto"/>
              <w:right w:val="single" w:sz="4" w:space="0" w:color="auto"/>
            </w:tcBorders>
            <w:shd w:val="clear" w:color="auto" w:fill="000000" w:themeFill="text1"/>
            <w:vAlign w:val="center"/>
          </w:tcPr>
          <w:p w14:paraId="41108FB8" w14:textId="61791C21" w:rsidR="00496587" w:rsidRPr="005E47F7" w:rsidRDefault="7437B88E" w:rsidP="7437B88E">
            <w:pPr>
              <w:spacing w:after="0" w:line="240" w:lineRule="auto"/>
              <w:rPr>
                <w:rFonts w:eastAsia="Times New Roman" w:cs="Times New Roman"/>
                <w:b/>
                <w:bCs/>
                <w:color w:val="FFFFFF" w:themeColor="background1"/>
                <w:sz w:val="20"/>
                <w:szCs w:val="20"/>
                <w:lang w:eastAsia="en-AU"/>
              </w:rPr>
            </w:pPr>
            <w:r w:rsidRPr="7437B88E">
              <w:rPr>
                <w:rFonts w:eastAsia="Times New Roman" w:cs="Times New Roman"/>
                <w:b/>
                <w:bCs/>
                <w:color w:val="FFFFFF" w:themeColor="background1"/>
                <w:sz w:val="20"/>
                <w:szCs w:val="20"/>
                <w:lang w:eastAsia="en-AU"/>
              </w:rPr>
              <w:t>ADULT CAUSES</w:t>
            </w:r>
          </w:p>
        </w:tc>
      </w:tr>
      <w:tr w:rsidR="006A1081" w:rsidRPr="00B243F2" w14:paraId="43C79470" w14:textId="77777777" w:rsidTr="7437B88E">
        <w:trPr>
          <w:trHeight w:val="500"/>
        </w:trPr>
        <w:tc>
          <w:tcPr>
            <w:tcW w:w="9786" w:type="dxa"/>
            <w:gridSpan w:val="3"/>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614F8C55" w14:textId="2D3E4C8F" w:rsidR="006A1081" w:rsidRPr="00B243F2" w:rsidRDefault="7437B88E" w:rsidP="7437B88E">
            <w:pPr>
              <w:spacing w:after="0" w:line="240" w:lineRule="auto"/>
              <w:jc w:val="center"/>
              <w:rPr>
                <w:rFonts w:eastAsia="Times New Roman" w:cs="Times New Roman"/>
                <w:b/>
                <w:bCs/>
                <w:color w:val="000000" w:themeColor="text1"/>
                <w:sz w:val="20"/>
                <w:szCs w:val="20"/>
                <w:lang w:eastAsia="en-AU"/>
              </w:rPr>
            </w:pPr>
            <w:r w:rsidRPr="7437B88E">
              <w:rPr>
                <w:rFonts w:eastAsia="Times New Roman" w:cs="Times New Roman"/>
                <w:b/>
                <w:bCs/>
                <w:color w:val="000000" w:themeColor="text1"/>
                <w:sz w:val="20"/>
                <w:szCs w:val="20"/>
                <w:lang w:eastAsia="en-AU"/>
              </w:rPr>
              <w:t>GBD Cause Group A: Communicable, maternal, neonatal and nutritional disorders</w:t>
            </w:r>
          </w:p>
        </w:tc>
      </w:tr>
      <w:tr w:rsidR="006A1081" w:rsidRPr="00B243F2" w14:paraId="4F0B92F7"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A965451"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AIDS</w:t>
            </w:r>
          </w:p>
        </w:tc>
        <w:tc>
          <w:tcPr>
            <w:tcW w:w="990" w:type="dxa"/>
            <w:tcBorders>
              <w:top w:val="nil"/>
              <w:left w:val="nil"/>
              <w:bottom w:val="single" w:sz="4" w:space="0" w:color="auto"/>
              <w:right w:val="nil"/>
            </w:tcBorders>
            <w:shd w:val="clear" w:color="auto" w:fill="auto"/>
            <w:noWrap/>
            <w:vAlign w:val="center"/>
            <w:hideMark/>
          </w:tcPr>
          <w:p w14:paraId="542D9A24"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B24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747F3470"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human immunodeficiency virus [HIV] disease</w:t>
            </w:r>
          </w:p>
        </w:tc>
      </w:tr>
      <w:tr w:rsidR="006A1081" w:rsidRPr="00B243F2" w14:paraId="57D56B71"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0A11E553"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proofErr w:type="spellStart"/>
            <w:r w:rsidRPr="7437B88E">
              <w:rPr>
                <w:rFonts w:eastAsia="Times New Roman" w:cs="Times New Roman"/>
                <w:color w:val="000000" w:themeColor="text1"/>
                <w:sz w:val="20"/>
                <w:szCs w:val="20"/>
                <w:lang w:eastAsia="en-AU"/>
              </w:rPr>
              <w:t>Diarrhea</w:t>
            </w:r>
            <w:proofErr w:type="spellEnd"/>
            <w:r w:rsidRPr="7437B88E">
              <w:rPr>
                <w:rFonts w:eastAsia="Times New Roman" w:cs="Times New Roman"/>
                <w:color w:val="000000" w:themeColor="text1"/>
                <w:sz w:val="20"/>
                <w:szCs w:val="20"/>
                <w:lang w:eastAsia="en-AU"/>
              </w:rPr>
              <w:t>/Dysentery</w:t>
            </w:r>
          </w:p>
        </w:tc>
        <w:tc>
          <w:tcPr>
            <w:tcW w:w="990" w:type="dxa"/>
            <w:tcBorders>
              <w:top w:val="nil"/>
              <w:left w:val="nil"/>
              <w:bottom w:val="single" w:sz="4" w:space="0" w:color="auto"/>
              <w:right w:val="nil"/>
            </w:tcBorders>
            <w:shd w:val="clear" w:color="auto" w:fill="auto"/>
            <w:noWrap/>
            <w:vAlign w:val="center"/>
            <w:hideMark/>
          </w:tcPr>
          <w:p w14:paraId="6B976197"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A09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2987BFC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gastroenteritis and colitis of infectious and unspecified origin</w:t>
            </w:r>
          </w:p>
        </w:tc>
      </w:tr>
      <w:tr w:rsidR="006A1081" w:rsidRPr="00B243F2" w14:paraId="19A8CE10"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3187BDB2"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Malaria</w:t>
            </w:r>
          </w:p>
        </w:tc>
        <w:tc>
          <w:tcPr>
            <w:tcW w:w="990" w:type="dxa"/>
            <w:tcBorders>
              <w:top w:val="nil"/>
              <w:left w:val="nil"/>
              <w:bottom w:val="single" w:sz="4" w:space="0" w:color="auto"/>
              <w:right w:val="nil"/>
            </w:tcBorders>
            <w:shd w:val="clear" w:color="auto" w:fill="auto"/>
            <w:noWrap/>
            <w:vAlign w:val="center"/>
            <w:hideMark/>
          </w:tcPr>
          <w:p w14:paraId="3F8521DE"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B54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71711112"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malaria</w:t>
            </w:r>
          </w:p>
        </w:tc>
      </w:tr>
      <w:tr w:rsidR="006A1081" w:rsidRPr="00B243F2" w14:paraId="1303EFAE" w14:textId="77777777" w:rsidTr="7437B88E">
        <w:trPr>
          <w:trHeight w:val="6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7BF5EC4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Maternal</w:t>
            </w:r>
          </w:p>
        </w:tc>
        <w:tc>
          <w:tcPr>
            <w:tcW w:w="990" w:type="dxa"/>
            <w:tcBorders>
              <w:top w:val="nil"/>
              <w:left w:val="nil"/>
              <w:bottom w:val="single" w:sz="4" w:space="0" w:color="auto"/>
              <w:right w:val="nil"/>
            </w:tcBorders>
            <w:shd w:val="clear" w:color="auto" w:fill="auto"/>
            <w:noWrap/>
            <w:vAlign w:val="center"/>
            <w:hideMark/>
          </w:tcPr>
          <w:p w14:paraId="2476C0BB"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O95</w:t>
            </w:r>
          </w:p>
        </w:tc>
        <w:tc>
          <w:tcPr>
            <w:tcW w:w="5662" w:type="dxa"/>
            <w:tcBorders>
              <w:top w:val="nil"/>
              <w:left w:val="single" w:sz="4" w:space="0" w:color="auto"/>
              <w:bottom w:val="single" w:sz="4" w:space="0" w:color="auto"/>
              <w:right w:val="single" w:sz="4" w:space="0" w:color="auto"/>
            </w:tcBorders>
            <w:shd w:val="clear" w:color="auto" w:fill="auto"/>
            <w:vAlign w:val="center"/>
            <w:hideMark/>
          </w:tcPr>
          <w:p w14:paraId="7ACC847F"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Obstetric death of unspecified cause: Maternal death from unspecified cause occurring during pregnancy, labour and delivery, or the puerperium</w:t>
            </w:r>
          </w:p>
        </w:tc>
      </w:tr>
      <w:tr w:rsidR="006A1081" w:rsidRPr="00B243F2" w14:paraId="45E6C5C5"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190E9D4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Infectious Diseases</w:t>
            </w:r>
          </w:p>
        </w:tc>
        <w:tc>
          <w:tcPr>
            <w:tcW w:w="990" w:type="dxa"/>
            <w:tcBorders>
              <w:top w:val="nil"/>
              <w:left w:val="nil"/>
              <w:bottom w:val="single" w:sz="4" w:space="0" w:color="auto"/>
              <w:right w:val="nil"/>
            </w:tcBorders>
            <w:shd w:val="clear" w:color="auto" w:fill="auto"/>
            <w:noWrap/>
            <w:vAlign w:val="center"/>
            <w:hideMark/>
          </w:tcPr>
          <w:p w14:paraId="60B4C066"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B99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114602D1"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and unspecified infectious diseases</w:t>
            </w:r>
          </w:p>
        </w:tc>
      </w:tr>
      <w:tr w:rsidR="006A1081" w:rsidRPr="00B243F2" w14:paraId="04808528"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13DF91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Pneumonia</w:t>
            </w:r>
          </w:p>
        </w:tc>
        <w:tc>
          <w:tcPr>
            <w:tcW w:w="990" w:type="dxa"/>
            <w:tcBorders>
              <w:top w:val="nil"/>
              <w:left w:val="nil"/>
              <w:bottom w:val="single" w:sz="4" w:space="0" w:color="auto"/>
              <w:right w:val="nil"/>
            </w:tcBorders>
            <w:shd w:val="clear" w:color="auto" w:fill="auto"/>
            <w:noWrap/>
            <w:vAlign w:val="center"/>
            <w:hideMark/>
          </w:tcPr>
          <w:p w14:paraId="018A0875"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J22</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277311D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acute lower respiratory infection</w:t>
            </w:r>
          </w:p>
        </w:tc>
      </w:tr>
      <w:tr w:rsidR="006A1081" w:rsidRPr="00B243F2" w14:paraId="6A900034"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1810DE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TB</w:t>
            </w:r>
          </w:p>
        </w:tc>
        <w:tc>
          <w:tcPr>
            <w:tcW w:w="990" w:type="dxa"/>
            <w:tcBorders>
              <w:top w:val="nil"/>
              <w:left w:val="nil"/>
              <w:bottom w:val="single" w:sz="4" w:space="0" w:color="auto"/>
              <w:right w:val="nil"/>
            </w:tcBorders>
            <w:shd w:val="clear" w:color="auto" w:fill="auto"/>
            <w:noWrap/>
            <w:vAlign w:val="center"/>
            <w:hideMark/>
          </w:tcPr>
          <w:p w14:paraId="5EFF7294"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A16</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08DB9280"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Respiratory tuberculosis, not confirmed bacteriologically or histologically</w:t>
            </w:r>
          </w:p>
        </w:tc>
      </w:tr>
      <w:tr w:rsidR="006A1081" w:rsidRPr="00B243F2" w14:paraId="01D614A5" w14:textId="77777777" w:rsidTr="7437B88E">
        <w:trPr>
          <w:trHeight w:val="600"/>
        </w:trPr>
        <w:tc>
          <w:tcPr>
            <w:tcW w:w="9786" w:type="dxa"/>
            <w:gridSpan w:val="3"/>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164C493" w14:textId="77777777" w:rsidR="006A1081" w:rsidRPr="00B243F2" w:rsidRDefault="7437B88E" w:rsidP="7437B88E">
            <w:pPr>
              <w:spacing w:after="0" w:line="240" w:lineRule="auto"/>
              <w:rPr>
                <w:rFonts w:eastAsia="Times New Roman" w:cs="Times New Roman"/>
                <w:b/>
                <w:bCs/>
                <w:color w:val="000000" w:themeColor="text1"/>
                <w:sz w:val="20"/>
                <w:szCs w:val="20"/>
                <w:lang w:eastAsia="en-AU"/>
              </w:rPr>
            </w:pPr>
            <w:r w:rsidRPr="7437B88E">
              <w:rPr>
                <w:rFonts w:eastAsia="Times New Roman" w:cs="Times New Roman"/>
                <w:b/>
                <w:bCs/>
                <w:color w:val="000000" w:themeColor="text1"/>
                <w:sz w:val="20"/>
                <w:szCs w:val="20"/>
                <w:lang w:eastAsia="en-AU"/>
              </w:rPr>
              <w:t>GBD Cause Group B: Non-communicable diseases</w:t>
            </w:r>
          </w:p>
        </w:tc>
      </w:tr>
      <w:tr w:rsidR="006A1081" w:rsidRPr="00B243F2" w14:paraId="27D2F9BA"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0CE2BE3C"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Acute Myocardial Infarction</w:t>
            </w:r>
          </w:p>
        </w:tc>
        <w:tc>
          <w:tcPr>
            <w:tcW w:w="990" w:type="dxa"/>
            <w:tcBorders>
              <w:top w:val="nil"/>
              <w:left w:val="nil"/>
              <w:bottom w:val="single" w:sz="4" w:space="0" w:color="auto"/>
              <w:right w:val="nil"/>
            </w:tcBorders>
            <w:shd w:val="clear" w:color="auto" w:fill="auto"/>
            <w:noWrap/>
            <w:vAlign w:val="center"/>
            <w:hideMark/>
          </w:tcPr>
          <w:p w14:paraId="71A8B16E" w14:textId="4A0BD8B3"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I24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6FABAB2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acute ischaemic heart diseases (as for WHO 2014)</w:t>
            </w:r>
          </w:p>
        </w:tc>
      </w:tr>
      <w:tr w:rsidR="006A1081" w:rsidRPr="00B243F2" w14:paraId="6A478CC1"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63C30B57"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Breast Cancer</w:t>
            </w:r>
          </w:p>
        </w:tc>
        <w:tc>
          <w:tcPr>
            <w:tcW w:w="990" w:type="dxa"/>
            <w:tcBorders>
              <w:top w:val="nil"/>
              <w:left w:val="nil"/>
              <w:bottom w:val="single" w:sz="4" w:space="0" w:color="auto"/>
              <w:right w:val="nil"/>
            </w:tcBorders>
            <w:shd w:val="clear" w:color="auto" w:fill="auto"/>
            <w:noWrap/>
            <w:vAlign w:val="center"/>
            <w:hideMark/>
          </w:tcPr>
          <w:p w14:paraId="4C970057"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C50</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7F4ED7C"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Malignant neoplasm of breast</w:t>
            </w:r>
          </w:p>
        </w:tc>
      </w:tr>
      <w:tr w:rsidR="006A1081" w:rsidRPr="00B243F2" w14:paraId="111D4303"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5EFB8BB"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Chronic Respiratory Diseases</w:t>
            </w:r>
          </w:p>
        </w:tc>
        <w:tc>
          <w:tcPr>
            <w:tcW w:w="990" w:type="dxa"/>
            <w:tcBorders>
              <w:top w:val="nil"/>
              <w:left w:val="nil"/>
              <w:bottom w:val="single" w:sz="4" w:space="0" w:color="auto"/>
              <w:right w:val="nil"/>
            </w:tcBorders>
            <w:shd w:val="clear" w:color="auto" w:fill="auto"/>
            <w:noWrap/>
            <w:vAlign w:val="center"/>
            <w:hideMark/>
          </w:tcPr>
          <w:p w14:paraId="688EB7FF"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J44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46359837"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chronic obstructive pulmonary disease</w:t>
            </w:r>
          </w:p>
        </w:tc>
      </w:tr>
      <w:tr w:rsidR="006A1081" w:rsidRPr="00B243F2" w14:paraId="0A301B0C" w14:textId="77777777" w:rsidTr="7437B88E">
        <w:trPr>
          <w:trHeight w:val="6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2AA07314"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Cervical Cancers</w:t>
            </w:r>
          </w:p>
        </w:tc>
        <w:tc>
          <w:tcPr>
            <w:tcW w:w="990" w:type="dxa"/>
            <w:tcBorders>
              <w:top w:val="nil"/>
              <w:left w:val="nil"/>
              <w:bottom w:val="single" w:sz="4" w:space="0" w:color="auto"/>
              <w:right w:val="nil"/>
            </w:tcBorders>
            <w:shd w:val="clear" w:color="auto" w:fill="auto"/>
            <w:noWrap/>
            <w:vAlign w:val="center"/>
            <w:hideMark/>
          </w:tcPr>
          <w:p w14:paraId="686B8773"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C53</w:t>
            </w:r>
          </w:p>
        </w:tc>
        <w:tc>
          <w:tcPr>
            <w:tcW w:w="5662" w:type="dxa"/>
            <w:tcBorders>
              <w:top w:val="nil"/>
              <w:left w:val="single" w:sz="4" w:space="0" w:color="auto"/>
              <w:bottom w:val="single" w:sz="4" w:space="0" w:color="auto"/>
              <w:right w:val="single" w:sz="4" w:space="0" w:color="auto"/>
            </w:tcBorders>
            <w:shd w:val="clear" w:color="auto" w:fill="auto"/>
            <w:vAlign w:val="center"/>
            <w:hideMark/>
          </w:tcPr>
          <w:p w14:paraId="00384808"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Malignant neoplasm of cervix uteri (WHO VA has C55 for all female reproductive neoplasms)</w:t>
            </w:r>
          </w:p>
        </w:tc>
      </w:tr>
      <w:tr w:rsidR="006A1081" w:rsidRPr="00B243F2" w14:paraId="7BD2F1A0"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728A616B"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Cirrhosis</w:t>
            </w:r>
          </w:p>
        </w:tc>
        <w:tc>
          <w:tcPr>
            <w:tcW w:w="990" w:type="dxa"/>
            <w:tcBorders>
              <w:top w:val="nil"/>
              <w:left w:val="nil"/>
              <w:bottom w:val="single" w:sz="4" w:space="0" w:color="auto"/>
              <w:right w:val="nil"/>
            </w:tcBorders>
            <w:shd w:val="clear" w:color="auto" w:fill="auto"/>
            <w:noWrap/>
            <w:vAlign w:val="center"/>
            <w:hideMark/>
          </w:tcPr>
          <w:p w14:paraId="41C827B8"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K74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36A89117"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Fibrosis and cirrhosis of liver</w:t>
            </w:r>
          </w:p>
        </w:tc>
      </w:tr>
      <w:tr w:rsidR="006A1081" w:rsidRPr="00B243F2" w14:paraId="59E65024"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668C71E5"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Colorectal Cancer</w:t>
            </w:r>
          </w:p>
        </w:tc>
        <w:tc>
          <w:tcPr>
            <w:tcW w:w="990" w:type="dxa"/>
            <w:tcBorders>
              <w:top w:val="nil"/>
              <w:left w:val="nil"/>
              <w:bottom w:val="single" w:sz="4" w:space="0" w:color="auto"/>
              <w:right w:val="nil"/>
            </w:tcBorders>
            <w:shd w:val="clear" w:color="auto" w:fill="auto"/>
            <w:noWrap/>
            <w:vAlign w:val="center"/>
            <w:hideMark/>
          </w:tcPr>
          <w:p w14:paraId="34FA5840"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C18</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031864F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 xml:space="preserve">Malignant neoplasm of colon </w:t>
            </w:r>
          </w:p>
        </w:tc>
      </w:tr>
      <w:tr w:rsidR="006A1081" w:rsidRPr="00B243F2" w14:paraId="1D3CBFF4"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739D4AF2"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Diabetes</w:t>
            </w:r>
          </w:p>
        </w:tc>
        <w:tc>
          <w:tcPr>
            <w:tcW w:w="990" w:type="dxa"/>
            <w:tcBorders>
              <w:top w:val="nil"/>
              <w:left w:val="nil"/>
              <w:bottom w:val="single" w:sz="4" w:space="0" w:color="auto"/>
              <w:right w:val="nil"/>
            </w:tcBorders>
            <w:shd w:val="clear" w:color="auto" w:fill="auto"/>
            <w:noWrap/>
            <w:vAlign w:val="center"/>
            <w:hideMark/>
          </w:tcPr>
          <w:p w14:paraId="74511CE6"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E14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66CE8E7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diabetes mellitus</w:t>
            </w:r>
          </w:p>
        </w:tc>
      </w:tr>
      <w:tr w:rsidR="006A1081" w:rsidRPr="00B243F2" w14:paraId="0FF6A58D"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3E9CC11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proofErr w:type="spellStart"/>
            <w:r w:rsidRPr="7437B88E">
              <w:rPr>
                <w:rFonts w:eastAsia="Times New Roman" w:cs="Times New Roman"/>
                <w:color w:val="000000" w:themeColor="text1"/>
                <w:sz w:val="20"/>
                <w:szCs w:val="20"/>
                <w:lang w:eastAsia="en-AU"/>
              </w:rPr>
              <w:t>Esophageal</w:t>
            </w:r>
            <w:proofErr w:type="spellEnd"/>
            <w:r w:rsidRPr="7437B88E">
              <w:rPr>
                <w:rFonts w:eastAsia="Times New Roman" w:cs="Times New Roman"/>
                <w:color w:val="000000" w:themeColor="text1"/>
                <w:sz w:val="20"/>
                <w:szCs w:val="20"/>
                <w:lang w:eastAsia="en-AU"/>
              </w:rPr>
              <w:t xml:space="preserve"> Cancer</w:t>
            </w:r>
          </w:p>
        </w:tc>
        <w:tc>
          <w:tcPr>
            <w:tcW w:w="990" w:type="dxa"/>
            <w:tcBorders>
              <w:top w:val="nil"/>
              <w:left w:val="nil"/>
              <w:bottom w:val="single" w:sz="4" w:space="0" w:color="auto"/>
              <w:right w:val="nil"/>
            </w:tcBorders>
            <w:shd w:val="clear" w:color="auto" w:fill="auto"/>
            <w:noWrap/>
            <w:vAlign w:val="center"/>
            <w:hideMark/>
          </w:tcPr>
          <w:p w14:paraId="1EA96EB2"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C15</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6508717D"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Malignant neoplasm of oesophagus</w:t>
            </w:r>
          </w:p>
        </w:tc>
      </w:tr>
      <w:tr w:rsidR="006A1081" w:rsidRPr="00B243F2" w14:paraId="6F9B892E" w14:textId="77777777" w:rsidTr="7437B88E">
        <w:trPr>
          <w:trHeight w:val="6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0439BD3C"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proofErr w:type="spellStart"/>
            <w:r w:rsidRPr="7437B88E">
              <w:rPr>
                <w:rFonts w:eastAsia="Times New Roman" w:cs="Times New Roman"/>
                <w:color w:val="000000" w:themeColor="text1"/>
                <w:sz w:val="20"/>
                <w:szCs w:val="20"/>
                <w:lang w:eastAsia="en-AU"/>
              </w:rPr>
              <w:lastRenderedPageBreak/>
              <w:t>Leukemia</w:t>
            </w:r>
            <w:proofErr w:type="spellEnd"/>
            <w:r w:rsidRPr="7437B88E">
              <w:rPr>
                <w:rFonts w:eastAsia="Times New Roman" w:cs="Times New Roman"/>
                <w:color w:val="000000" w:themeColor="text1"/>
                <w:sz w:val="20"/>
                <w:szCs w:val="20"/>
                <w:lang w:eastAsia="en-AU"/>
              </w:rPr>
              <w:t>/Lymphomas</w:t>
            </w:r>
          </w:p>
        </w:tc>
        <w:tc>
          <w:tcPr>
            <w:tcW w:w="990" w:type="dxa"/>
            <w:tcBorders>
              <w:top w:val="nil"/>
              <w:left w:val="nil"/>
              <w:bottom w:val="single" w:sz="4" w:space="0" w:color="auto"/>
              <w:right w:val="nil"/>
            </w:tcBorders>
            <w:shd w:val="clear" w:color="auto" w:fill="auto"/>
            <w:noWrap/>
            <w:vAlign w:val="center"/>
            <w:hideMark/>
          </w:tcPr>
          <w:p w14:paraId="361D6450"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C96</w:t>
            </w:r>
          </w:p>
        </w:tc>
        <w:tc>
          <w:tcPr>
            <w:tcW w:w="5662" w:type="dxa"/>
            <w:tcBorders>
              <w:top w:val="nil"/>
              <w:left w:val="single" w:sz="4" w:space="0" w:color="auto"/>
              <w:bottom w:val="single" w:sz="4" w:space="0" w:color="auto"/>
              <w:right w:val="single" w:sz="4" w:space="0" w:color="auto"/>
            </w:tcBorders>
            <w:shd w:val="clear" w:color="auto" w:fill="auto"/>
            <w:vAlign w:val="center"/>
            <w:hideMark/>
          </w:tcPr>
          <w:p w14:paraId="209E2FC6"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and unspecified malignant neoplasms of lymphoid, haematopoietic and related tissue</w:t>
            </w:r>
          </w:p>
        </w:tc>
      </w:tr>
      <w:tr w:rsidR="006A1081" w:rsidRPr="00B243F2" w14:paraId="45D1218F"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3CEAAA23"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Lung Cancer</w:t>
            </w:r>
          </w:p>
        </w:tc>
        <w:tc>
          <w:tcPr>
            <w:tcW w:w="990" w:type="dxa"/>
            <w:tcBorders>
              <w:top w:val="nil"/>
              <w:left w:val="nil"/>
              <w:bottom w:val="single" w:sz="4" w:space="0" w:color="auto"/>
              <w:right w:val="nil"/>
            </w:tcBorders>
            <w:shd w:val="clear" w:color="auto" w:fill="auto"/>
            <w:noWrap/>
            <w:vAlign w:val="center"/>
            <w:hideMark/>
          </w:tcPr>
          <w:p w14:paraId="118DE772"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C34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0BF4B504"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Malignant neoplasm of bronchus and lung</w:t>
            </w:r>
          </w:p>
        </w:tc>
      </w:tr>
      <w:tr w:rsidR="006A1081" w:rsidRPr="00B243F2" w14:paraId="09F7F1B0"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03015341"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Cardiovascular Diseases</w:t>
            </w:r>
          </w:p>
        </w:tc>
        <w:tc>
          <w:tcPr>
            <w:tcW w:w="990" w:type="dxa"/>
            <w:tcBorders>
              <w:top w:val="nil"/>
              <w:left w:val="nil"/>
              <w:bottom w:val="single" w:sz="4" w:space="0" w:color="auto"/>
              <w:right w:val="nil"/>
            </w:tcBorders>
            <w:shd w:val="clear" w:color="auto" w:fill="auto"/>
            <w:noWrap/>
            <w:vAlign w:val="center"/>
            <w:hideMark/>
          </w:tcPr>
          <w:p w14:paraId="64E39218" w14:textId="77777777" w:rsidR="006A1081" w:rsidRPr="00B243F2" w:rsidRDefault="7437B88E" w:rsidP="7437B88E">
            <w:pPr>
              <w:spacing w:after="0" w:line="240" w:lineRule="auto"/>
              <w:jc w:val="center"/>
              <w:rPr>
                <w:rFonts w:eastAsia="Times New Roman" w:cs="Times New Roman"/>
                <w:sz w:val="20"/>
                <w:szCs w:val="20"/>
                <w:lang w:eastAsia="en-AU"/>
              </w:rPr>
            </w:pPr>
            <w:r w:rsidRPr="7437B88E">
              <w:rPr>
                <w:rFonts w:eastAsia="Times New Roman" w:cs="Times New Roman"/>
                <w:sz w:val="20"/>
                <w:szCs w:val="20"/>
                <w:lang w:eastAsia="en-AU"/>
              </w:rPr>
              <w:t>I99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09688661"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and unspecified disorders of circulatory system</w:t>
            </w:r>
          </w:p>
        </w:tc>
      </w:tr>
      <w:tr w:rsidR="006A1081" w:rsidRPr="00B243F2" w14:paraId="45F8CC7E"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07FF9421" w14:textId="77777777" w:rsidR="006A1081" w:rsidRPr="00B243F2" w:rsidRDefault="7437B88E" w:rsidP="7437B88E">
            <w:pPr>
              <w:spacing w:after="0" w:line="240" w:lineRule="auto"/>
              <w:rPr>
                <w:rFonts w:eastAsia="Times New Roman" w:cs="Times New Roman"/>
                <w:sz w:val="20"/>
                <w:szCs w:val="20"/>
                <w:lang w:eastAsia="en-AU"/>
              </w:rPr>
            </w:pPr>
            <w:r w:rsidRPr="7437B88E">
              <w:rPr>
                <w:rFonts w:eastAsia="Times New Roman" w:cs="Times New Roman"/>
                <w:sz w:val="20"/>
                <w:szCs w:val="20"/>
                <w:lang w:eastAsia="en-AU"/>
              </w:rPr>
              <w:t>Other Non-communicable Diseases</w:t>
            </w:r>
          </w:p>
        </w:tc>
        <w:tc>
          <w:tcPr>
            <w:tcW w:w="990" w:type="dxa"/>
            <w:tcBorders>
              <w:top w:val="nil"/>
              <w:left w:val="nil"/>
              <w:bottom w:val="single" w:sz="4" w:space="0" w:color="auto"/>
              <w:right w:val="nil"/>
            </w:tcBorders>
            <w:shd w:val="clear" w:color="auto" w:fill="auto"/>
            <w:noWrap/>
            <w:vAlign w:val="center"/>
            <w:hideMark/>
          </w:tcPr>
          <w:p w14:paraId="72E26963" w14:textId="07B6EA4D" w:rsidR="006A1081" w:rsidRPr="00B243F2" w:rsidRDefault="7437B88E" w:rsidP="7437B88E">
            <w:pPr>
              <w:spacing w:after="0" w:line="240" w:lineRule="auto"/>
              <w:jc w:val="center"/>
              <w:rPr>
                <w:rFonts w:eastAsia="Times New Roman" w:cs="Times New Roman"/>
                <w:sz w:val="20"/>
                <w:szCs w:val="20"/>
                <w:lang w:eastAsia="en-AU"/>
              </w:rPr>
            </w:pPr>
            <w:r w:rsidRPr="7437B88E">
              <w:rPr>
                <w:rFonts w:eastAsia="Times New Roman" w:cs="Times New Roman"/>
                <w:sz w:val="20"/>
                <w:szCs w:val="20"/>
                <w:lang w:eastAsia="en-AU"/>
              </w:rPr>
              <w:t>UU1*</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72F1EC07" w14:textId="77777777" w:rsidR="006A1081" w:rsidRPr="00B243F2" w:rsidRDefault="006A1081" w:rsidP="0097281A">
            <w:pPr>
              <w:spacing w:after="0" w:line="240" w:lineRule="auto"/>
              <w:rPr>
                <w:rFonts w:eastAsia="Times New Roman" w:cs="Times New Roman"/>
                <w:color w:val="000000"/>
                <w:sz w:val="20"/>
                <w:szCs w:val="20"/>
                <w:lang w:eastAsia="en-AU"/>
              </w:rPr>
            </w:pPr>
          </w:p>
        </w:tc>
      </w:tr>
      <w:tr w:rsidR="006A1081" w:rsidRPr="00B243F2" w14:paraId="074B6C5D"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74C9D2A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Prostate Cancer</w:t>
            </w:r>
          </w:p>
        </w:tc>
        <w:tc>
          <w:tcPr>
            <w:tcW w:w="990" w:type="dxa"/>
            <w:tcBorders>
              <w:top w:val="nil"/>
              <w:left w:val="nil"/>
              <w:bottom w:val="single" w:sz="4" w:space="0" w:color="auto"/>
              <w:right w:val="nil"/>
            </w:tcBorders>
            <w:shd w:val="clear" w:color="auto" w:fill="auto"/>
            <w:noWrap/>
            <w:vAlign w:val="center"/>
            <w:hideMark/>
          </w:tcPr>
          <w:p w14:paraId="7DA3BC3D"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C61</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0D79735D"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Malignant neoplasm of prostate</w:t>
            </w:r>
          </w:p>
        </w:tc>
      </w:tr>
      <w:tr w:rsidR="006A1081" w:rsidRPr="00B243F2" w14:paraId="58217299"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7388DA63" w14:textId="77777777" w:rsidR="006A1081" w:rsidRPr="005E1146" w:rsidRDefault="7437B88E" w:rsidP="7437B88E">
            <w:pPr>
              <w:spacing w:after="0" w:line="240" w:lineRule="auto"/>
              <w:rPr>
                <w:rFonts w:eastAsia="Times New Roman" w:cs="Times New Roman"/>
                <w:color w:val="000000" w:themeColor="text1"/>
                <w:sz w:val="20"/>
                <w:szCs w:val="20"/>
                <w:lang w:eastAsia="en-AU"/>
              </w:rPr>
            </w:pPr>
            <w:bookmarkStart w:id="1" w:name="_Hlk508622157"/>
            <w:r w:rsidRPr="7437B88E">
              <w:rPr>
                <w:rFonts w:eastAsia="Times New Roman" w:cs="Times New Roman"/>
                <w:color w:val="000000" w:themeColor="text1"/>
                <w:sz w:val="20"/>
                <w:szCs w:val="20"/>
                <w:lang w:eastAsia="en-AU"/>
              </w:rPr>
              <w:t>Chronic Renal Failure</w:t>
            </w:r>
          </w:p>
        </w:tc>
        <w:tc>
          <w:tcPr>
            <w:tcW w:w="990" w:type="dxa"/>
            <w:tcBorders>
              <w:top w:val="nil"/>
              <w:left w:val="nil"/>
              <w:bottom w:val="single" w:sz="4" w:space="0" w:color="auto"/>
              <w:right w:val="nil"/>
            </w:tcBorders>
            <w:shd w:val="clear" w:color="auto" w:fill="auto"/>
            <w:noWrap/>
            <w:vAlign w:val="center"/>
            <w:hideMark/>
          </w:tcPr>
          <w:p w14:paraId="642F076A" w14:textId="77777777" w:rsidR="006A1081" w:rsidRPr="005E1146"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N18</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7B3C6CA8" w14:textId="77777777" w:rsidR="006A1081" w:rsidRPr="005E1146"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Chronic Renal Failure</w:t>
            </w:r>
          </w:p>
        </w:tc>
      </w:tr>
      <w:bookmarkEnd w:id="1"/>
      <w:tr w:rsidR="006A1081" w:rsidRPr="00B243F2" w14:paraId="26FB85CF"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1636444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Stomach Cancer</w:t>
            </w:r>
          </w:p>
        </w:tc>
        <w:tc>
          <w:tcPr>
            <w:tcW w:w="990" w:type="dxa"/>
            <w:tcBorders>
              <w:top w:val="nil"/>
              <w:left w:val="nil"/>
              <w:bottom w:val="single" w:sz="4" w:space="0" w:color="auto"/>
              <w:right w:val="nil"/>
            </w:tcBorders>
            <w:shd w:val="clear" w:color="auto" w:fill="auto"/>
            <w:noWrap/>
            <w:vAlign w:val="center"/>
            <w:hideMark/>
          </w:tcPr>
          <w:p w14:paraId="3AE72D51"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C16</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1C2531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Malignant neoplasm of stomach</w:t>
            </w:r>
          </w:p>
        </w:tc>
      </w:tr>
      <w:tr w:rsidR="006A1081" w:rsidRPr="00B243F2" w14:paraId="4B10C7E4"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1A491CDC"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Stroke</w:t>
            </w:r>
          </w:p>
        </w:tc>
        <w:tc>
          <w:tcPr>
            <w:tcW w:w="990" w:type="dxa"/>
            <w:tcBorders>
              <w:top w:val="nil"/>
              <w:left w:val="nil"/>
              <w:bottom w:val="single" w:sz="4" w:space="0" w:color="auto"/>
              <w:right w:val="nil"/>
            </w:tcBorders>
            <w:shd w:val="clear" w:color="auto" w:fill="auto"/>
            <w:noWrap/>
            <w:vAlign w:val="center"/>
            <w:hideMark/>
          </w:tcPr>
          <w:p w14:paraId="01E4E26B"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I64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44CEC2B7"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Stroke, not specified as haemorrhage or infarction</w:t>
            </w:r>
          </w:p>
        </w:tc>
      </w:tr>
      <w:tr w:rsidR="006A1081" w:rsidRPr="00B243F2" w14:paraId="1B9B762A"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DD14567"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 xml:space="preserve">Other Cancers </w:t>
            </w:r>
          </w:p>
        </w:tc>
        <w:tc>
          <w:tcPr>
            <w:tcW w:w="990" w:type="dxa"/>
            <w:tcBorders>
              <w:top w:val="single" w:sz="4" w:space="0" w:color="auto"/>
              <w:left w:val="nil"/>
              <w:bottom w:val="single" w:sz="4" w:space="0" w:color="auto"/>
              <w:right w:val="nil"/>
            </w:tcBorders>
            <w:shd w:val="clear" w:color="auto" w:fill="auto"/>
            <w:noWrap/>
            <w:vAlign w:val="center"/>
            <w:hideMark/>
          </w:tcPr>
          <w:p w14:paraId="40605683"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C76</w:t>
            </w:r>
          </w:p>
        </w:tc>
        <w:tc>
          <w:tcPr>
            <w:tcW w:w="5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3AE1D"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Malignant neoplasm of other and ill-defined sites</w:t>
            </w:r>
          </w:p>
        </w:tc>
      </w:tr>
      <w:tr w:rsidR="006A1081" w:rsidRPr="00B243F2" w14:paraId="41247C22" w14:textId="77777777" w:rsidTr="7437B88E">
        <w:trPr>
          <w:trHeight w:val="398"/>
        </w:trPr>
        <w:tc>
          <w:tcPr>
            <w:tcW w:w="9786" w:type="dxa"/>
            <w:gridSpan w:val="3"/>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610E4C0" w14:textId="77777777" w:rsidR="006A1081" w:rsidRPr="00B243F2" w:rsidRDefault="7437B88E" w:rsidP="7437B88E">
            <w:pPr>
              <w:spacing w:after="0" w:line="240" w:lineRule="auto"/>
              <w:rPr>
                <w:rFonts w:eastAsia="Times New Roman" w:cs="Times New Roman"/>
                <w:b/>
                <w:bCs/>
                <w:color w:val="000000" w:themeColor="text1"/>
                <w:sz w:val="20"/>
                <w:szCs w:val="20"/>
                <w:lang w:eastAsia="en-AU"/>
              </w:rPr>
            </w:pPr>
            <w:r w:rsidRPr="7437B88E">
              <w:rPr>
                <w:rFonts w:eastAsia="Times New Roman" w:cs="Times New Roman"/>
                <w:b/>
                <w:bCs/>
                <w:color w:val="000000" w:themeColor="text1"/>
                <w:sz w:val="20"/>
                <w:szCs w:val="20"/>
                <w:lang w:eastAsia="en-AU"/>
              </w:rPr>
              <w:t>GBD Cause Group C: Injuries</w:t>
            </w:r>
          </w:p>
        </w:tc>
      </w:tr>
      <w:tr w:rsidR="006A1081" w:rsidRPr="00B243F2" w14:paraId="5398560A"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2FBAEAC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Bite of Venomous Animal</w:t>
            </w:r>
          </w:p>
        </w:tc>
        <w:tc>
          <w:tcPr>
            <w:tcW w:w="990" w:type="dxa"/>
            <w:tcBorders>
              <w:top w:val="nil"/>
              <w:left w:val="nil"/>
              <w:bottom w:val="single" w:sz="4" w:space="0" w:color="auto"/>
              <w:right w:val="nil"/>
            </w:tcBorders>
            <w:shd w:val="clear" w:color="auto" w:fill="auto"/>
            <w:noWrap/>
            <w:vAlign w:val="center"/>
            <w:hideMark/>
          </w:tcPr>
          <w:p w14:paraId="30CDF0F8"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X27</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67A22CA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Contact with other specified venomous animals</w:t>
            </w:r>
          </w:p>
        </w:tc>
      </w:tr>
      <w:tr w:rsidR="006A1081" w:rsidRPr="00B243F2" w14:paraId="795C3357"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1629A722"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Drowning</w:t>
            </w:r>
          </w:p>
        </w:tc>
        <w:tc>
          <w:tcPr>
            <w:tcW w:w="990" w:type="dxa"/>
            <w:tcBorders>
              <w:top w:val="nil"/>
              <w:left w:val="nil"/>
              <w:bottom w:val="single" w:sz="4" w:space="0" w:color="auto"/>
              <w:right w:val="nil"/>
            </w:tcBorders>
            <w:shd w:val="clear" w:color="auto" w:fill="auto"/>
            <w:noWrap/>
            <w:vAlign w:val="center"/>
            <w:hideMark/>
          </w:tcPr>
          <w:p w14:paraId="56FD9399"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W74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9144306"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drowning and submersion</w:t>
            </w:r>
          </w:p>
        </w:tc>
      </w:tr>
      <w:tr w:rsidR="006A1081" w:rsidRPr="00B243F2" w14:paraId="66641E42"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612A7B9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Falls</w:t>
            </w:r>
          </w:p>
        </w:tc>
        <w:tc>
          <w:tcPr>
            <w:tcW w:w="990" w:type="dxa"/>
            <w:tcBorders>
              <w:top w:val="nil"/>
              <w:left w:val="nil"/>
              <w:bottom w:val="single" w:sz="4" w:space="0" w:color="auto"/>
              <w:right w:val="nil"/>
            </w:tcBorders>
            <w:shd w:val="clear" w:color="auto" w:fill="auto"/>
            <w:noWrap/>
            <w:vAlign w:val="center"/>
            <w:hideMark/>
          </w:tcPr>
          <w:p w14:paraId="35D4AB79"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W19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3AC30358"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fall</w:t>
            </w:r>
          </w:p>
        </w:tc>
      </w:tr>
      <w:tr w:rsidR="006A1081" w:rsidRPr="00B243F2" w14:paraId="0949C627"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29E9BB45"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Fires</w:t>
            </w:r>
          </w:p>
        </w:tc>
        <w:tc>
          <w:tcPr>
            <w:tcW w:w="990" w:type="dxa"/>
            <w:tcBorders>
              <w:top w:val="nil"/>
              <w:left w:val="nil"/>
              <w:bottom w:val="single" w:sz="4" w:space="0" w:color="auto"/>
              <w:right w:val="nil"/>
            </w:tcBorders>
            <w:shd w:val="clear" w:color="auto" w:fill="auto"/>
            <w:noWrap/>
            <w:vAlign w:val="center"/>
            <w:hideMark/>
          </w:tcPr>
          <w:p w14:paraId="06C2121F"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X09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E3DF0BF"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Exposure to unspecified smoke, fire and flames</w:t>
            </w:r>
          </w:p>
        </w:tc>
      </w:tr>
      <w:tr w:rsidR="006A1081" w:rsidRPr="00B243F2" w14:paraId="0B55695B"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6E4375D2"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Homicide (assault)</w:t>
            </w:r>
          </w:p>
        </w:tc>
        <w:tc>
          <w:tcPr>
            <w:tcW w:w="990" w:type="dxa"/>
            <w:tcBorders>
              <w:top w:val="nil"/>
              <w:left w:val="nil"/>
              <w:bottom w:val="single" w:sz="4" w:space="0" w:color="auto"/>
              <w:right w:val="nil"/>
            </w:tcBorders>
            <w:shd w:val="clear" w:color="auto" w:fill="auto"/>
            <w:noWrap/>
            <w:vAlign w:val="center"/>
            <w:hideMark/>
          </w:tcPr>
          <w:p w14:paraId="2D0BE736"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Y09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3CB1C814"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Assault by unspecified means</w:t>
            </w:r>
          </w:p>
        </w:tc>
      </w:tr>
      <w:tr w:rsidR="006A1081" w:rsidRPr="00B243F2" w14:paraId="4BC9E2C5"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66B7837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Injuries</w:t>
            </w:r>
          </w:p>
        </w:tc>
        <w:tc>
          <w:tcPr>
            <w:tcW w:w="990" w:type="dxa"/>
            <w:tcBorders>
              <w:top w:val="nil"/>
              <w:left w:val="nil"/>
              <w:bottom w:val="single" w:sz="4" w:space="0" w:color="auto"/>
              <w:right w:val="nil"/>
            </w:tcBorders>
            <w:shd w:val="clear" w:color="auto" w:fill="auto"/>
            <w:noWrap/>
            <w:vAlign w:val="center"/>
            <w:hideMark/>
          </w:tcPr>
          <w:p w14:paraId="293BBABC"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X58</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737788D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Exposure to other specified factors</w:t>
            </w:r>
          </w:p>
        </w:tc>
      </w:tr>
      <w:tr w:rsidR="006A1081" w:rsidRPr="00B243F2" w14:paraId="36B2D0F9" w14:textId="77777777" w:rsidTr="7437B88E">
        <w:trPr>
          <w:trHeight w:val="63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1B0D75D0"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Poisonings (accidental)</w:t>
            </w:r>
          </w:p>
        </w:tc>
        <w:tc>
          <w:tcPr>
            <w:tcW w:w="990" w:type="dxa"/>
            <w:tcBorders>
              <w:top w:val="nil"/>
              <w:left w:val="nil"/>
              <w:bottom w:val="single" w:sz="4" w:space="0" w:color="auto"/>
              <w:right w:val="nil"/>
            </w:tcBorders>
            <w:shd w:val="clear" w:color="auto" w:fill="auto"/>
            <w:noWrap/>
            <w:vAlign w:val="center"/>
            <w:hideMark/>
          </w:tcPr>
          <w:p w14:paraId="6E6D62A9"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X49</w:t>
            </w:r>
          </w:p>
        </w:tc>
        <w:tc>
          <w:tcPr>
            <w:tcW w:w="5662" w:type="dxa"/>
            <w:tcBorders>
              <w:top w:val="nil"/>
              <w:left w:val="single" w:sz="4" w:space="0" w:color="auto"/>
              <w:bottom w:val="single" w:sz="4" w:space="0" w:color="auto"/>
              <w:right w:val="single" w:sz="4" w:space="0" w:color="auto"/>
            </w:tcBorders>
            <w:shd w:val="clear" w:color="auto" w:fill="auto"/>
            <w:vAlign w:val="center"/>
            <w:hideMark/>
          </w:tcPr>
          <w:p w14:paraId="756ECCC6"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Accidental poisoning by and exposure to other and unspecified chemicals and noxious substances</w:t>
            </w:r>
          </w:p>
        </w:tc>
      </w:tr>
      <w:tr w:rsidR="006A1081" w:rsidRPr="00B243F2" w14:paraId="0D7EF634"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0507C2D8"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Road Traffic</w:t>
            </w:r>
          </w:p>
        </w:tc>
        <w:tc>
          <w:tcPr>
            <w:tcW w:w="990" w:type="dxa"/>
            <w:tcBorders>
              <w:top w:val="nil"/>
              <w:left w:val="nil"/>
              <w:bottom w:val="single" w:sz="4" w:space="0" w:color="auto"/>
              <w:right w:val="nil"/>
            </w:tcBorders>
            <w:shd w:val="clear" w:color="auto" w:fill="auto"/>
            <w:noWrap/>
            <w:vAlign w:val="center"/>
            <w:hideMark/>
          </w:tcPr>
          <w:p w14:paraId="15CA788A"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V89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137F1616"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 xml:space="preserve">Motor- or </w:t>
            </w:r>
            <w:proofErr w:type="spellStart"/>
            <w:r w:rsidRPr="7437B88E">
              <w:rPr>
                <w:rFonts w:eastAsia="Times New Roman" w:cs="Times New Roman"/>
                <w:color w:val="000000" w:themeColor="text1"/>
                <w:sz w:val="20"/>
                <w:szCs w:val="20"/>
                <w:lang w:eastAsia="en-AU"/>
              </w:rPr>
              <w:t>nonmotor</w:t>
            </w:r>
            <w:proofErr w:type="spellEnd"/>
            <w:r w:rsidRPr="7437B88E">
              <w:rPr>
                <w:rFonts w:eastAsia="Times New Roman" w:cs="Times New Roman"/>
                <w:color w:val="000000" w:themeColor="text1"/>
                <w:sz w:val="20"/>
                <w:szCs w:val="20"/>
                <w:lang w:eastAsia="en-AU"/>
              </w:rPr>
              <w:t>-vehicle accident, type of vehicle unspecified</w:t>
            </w:r>
          </w:p>
        </w:tc>
      </w:tr>
      <w:tr w:rsidR="006A1081" w:rsidRPr="00B243F2" w14:paraId="650AEADF"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AB7E2CF"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Suicide (intentional self-harm)</w:t>
            </w:r>
          </w:p>
        </w:tc>
        <w:tc>
          <w:tcPr>
            <w:tcW w:w="990" w:type="dxa"/>
            <w:tcBorders>
              <w:top w:val="nil"/>
              <w:left w:val="nil"/>
              <w:bottom w:val="single" w:sz="4" w:space="0" w:color="auto"/>
              <w:right w:val="nil"/>
            </w:tcBorders>
            <w:shd w:val="clear" w:color="auto" w:fill="auto"/>
            <w:noWrap/>
            <w:vAlign w:val="center"/>
            <w:hideMark/>
          </w:tcPr>
          <w:p w14:paraId="5B8508B2"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X84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19AB8B47"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Intentional self-harm by unspecified means</w:t>
            </w:r>
          </w:p>
        </w:tc>
      </w:tr>
      <w:tr w:rsidR="005E47F7" w:rsidRPr="005E47F7" w14:paraId="57A679FB" w14:textId="77777777" w:rsidTr="7437B88E">
        <w:trPr>
          <w:trHeight w:val="300"/>
        </w:trPr>
        <w:tc>
          <w:tcPr>
            <w:tcW w:w="9786" w:type="dxa"/>
            <w:gridSpan w:val="3"/>
            <w:tcBorders>
              <w:top w:val="nil"/>
              <w:left w:val="single" w:sz="4" w:space="0" w:color="auto"/>
              <w:bottom w:val="single" w:sz="4" w:space="0" w:color="auto"/>
              <w:right w:val="single" w:sz="4" w:space="0" w:color="auto"/>
            </w:tcBorders>
            <w:shd w:val="clear" w:color="auto" w:fill="000000" w:themeFill="text1"/>
            <w:noWrap/>
            <w:vAlign w:val="center"/>
            <w:hideMark/>
          </w:tcPr>
          <w:p w14:paraId="6EE1632C" w14:textId="77777777" w:rsidR="006A1081" w:rsidRPr="005E47F7" w:rsidRDefault="7437B88E" w:rsidP="7437B88E">
            <w:pPr>
              <w:spacing w:after="0" w:line="240" w:lineRule="auto"/>
              <w:rPr>
                <w:rFonts w:eastAsia="Times New Roman" w:cs="Times New Roman"/>
                <w:b/>
                <w:bCs/>
                <w:color w:val="FFFFFF" w:themeColor="background1"/>
                <w:sz w:val="20"/>
                <w:szCs w:val="20"/>
                <w:lang w:eastAsia="en-AU"/>
              </w:rPr>
            </w:pPr>
            <w:r w:rsidRPr="7437B88E">
              <w:rPr>
                <w:rFonts w:eastAsia="Times New Roman" w:cs="Times New Roman"/>
                <w:b/>
                <w:bCs/>
                <w:color w:val="FFFFFF" w:themeColor="background1"/>
                <w:sz w:val="20"/>
                <w:szCs w:val="20"/>
                <w:lang w:eastAsia="en-AU"/>
              </w:rPr>
              <w:t>CHILD CAUSES</w:t>
            </w:r>
          </w:p>
        </w:tc>
      </w:tr>
      <w:tr w:rsidR="006A1081" w:rsidRPr="00B243F2" w14:paraId="7C4A5A80" w14:textId="77777777" w:rsidTr="7437B88E">
        <w:trPr>
          <w:trHeight w:val="413"/>
        </w:trPr>
        <w:tc>
          <w:tcPr>
            <w:tcW w:w="9786" w:type="dxa"/>
            <w:gridSpan w:val="3"/>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28A27AB6" w14:textId="77777777" w:rsidR="006A1081" w:rsidRPr="00B243F2" w:rsidRDefault="7437B88E" w:rsidP="7437B88E">
            <w:pPr>
              <w:spacing w:after="0" w:line="240" w:lineRule="auto"/>
              <w:rPr>
                <w:rFonts w:eastAsia="Times New Roman" w:cs="Times New Roman"/>
                <w:b/>
                <w:bCs/>
                <w:color w:val="000000" w:themeColor="text1"/>
                <w:sz w:val="20"/>
                <w:szCs w:val="20"/>
                <w:lang w:eastAsia="en-AU"/>
              </w:rPr>
            </w:pPr>
            <w:r w:rsidRPr="7437B88E">
              <w:rPr>
                <w:rFonts w:eastAsia="Times New Roman" w:cs="Times New Roman"/>
                <w:b/>
                <w:bCs/>
                <w:color w:val="000000" w:themeColor="text1"/>
                <w:sz w:val="20"/>
                <w:szCs w:val="20"/>
                <w:lang w:eastAsia="en-AU"/>
              </w:rPr>
              <w:t xml:space="preserve">GBD Cause Group A: Communicable, maternal, neonatal and nutritional disorders </w:t>
            </w:r>
          </w:p>
        </w:tc>
      </w:tr>
      <w:tr w:rsidR="006A1081" w:rsidRPr="00B243F2" w14:paraId="11B4021E"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B7EDE28"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AIDS</w:t>
            </w:r>
          </w:p>
        </w:tc>
        <w:tc>
          <w:tcPr>
            <w:tcW w:w="990" w:type="dxa"/>
            <w:tcBorders>
              <w:top w:val="nil"/>
              <w:left w:val="nil"/>
              <w:bottom w:val="single" w:sz="4" w:space="0" w:color="auto"/>
              <w:right w:val="nil"/>
            </w:tcBorders>
            <w:shd w:val="clear" w:color="auto" w:fill="auto"/>
            <w:noWrap/>
            <w:vAlign w:val="center"/>
            <w:hideMark/>
          </w:tcPr>
          <w:p w14:paraId="5D1D6F88"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B24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4D4CADCA"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human immunodeficiency virus [HIV] disease</w:t>
            </w:r>
          </w:p>
        </w:tc>
      </w:tr>
      <w:tr w:rsidR="006A1081" w:rsidRPr="00B243F2" w14:paraId="63AFF0F0"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1C1E34F"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proofErr w:type="spellStart"/>
            <w:r w:rsidRPr="7437B88E">
              <w:rPr>
                <w:rFonts w:eastAsia="Times New Roman" w:cs="Times New Roman"/>
                <w:color w:val="000000" w:themeColor="text1"/>
                <w:sz w:val="20"/>
                <w:szCs w:val="20"/>
                <w:lang w:eastAsia="en-AU"/>
              </w:rPr>
              <w:t>Diarrhea</w:t>
            </w:r>
            <w:proofErr w:type="spellEnd"/>
            <w:r w:rsidRPr="7437B88E">
              <w:rPr>
                <w:rFonts w:eastAsia="Times New Roman" w:cs="Times New Roman"/>
                <w:color w:val="000000" w:themeColor="text1"/>
                <w:sz w:val="20"/>
                <w:szCs w:val="20"/>
                <w:lang w:eastAsia="en-AU"/>
              </w:rPr>
              <w:t>/Dysentery</w:t>
            </w:r>
          </w:p>
        </w:tc>
        <w:tc>
          <w:tcPr>
            <w:tcW w:w="990" w:type="dxa"/>
            <w:tcBorders>
              <w:top w:val="nil"/>
              <w:left w:val="nil"/>
              <w:bottom w:val="single" w:sz="4" w:space="0" w:color="auto"/>
              <w:right w:val="nil"/>
            </w:tcBorders>
            <w:shd w:val="clear" w:color="auto" w:fill="auto"/>
            <w:noWrap/>
            <w:vAlign w:val="center"/>
            <w:hideMark/>
          </w:tcPr>
          <w:p w14:paraId="463A2032"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A09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3EF1F77B"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gastroenteritis and colitis of infectious and unspecified origin</w:t>
            </w:r>
          </w:p>
        </w:tc>
      </w:tr>
      <w:tr w:rsidR="006A1081" w:rsidRPr="00B243F2" w14:paraId="2C645588"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6FBB1D6C"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Encephalitis</w:t>
            </w:r>
          </w:p>
        </w:tc>
        <w:tc>
          <w:tcPr>
            <w:tcW w:w="990" w:type="dxa"/>
            <w:tcBorders>
              <w:top w:val="nil"/>
              <w:left w:val="nil"/>
              <w:bottom w:val="single" w:sz="4" w:space="0" w:color="auto"/>
              <w:right w:val="nil"/>
            </w:tcBorders>
            <w:shd w:val="clear" w:color="auto" w:fill="auto"/>
            <w:noWrap/>
            <w:vAlign w:val="center"/>
            <w:hideMark/>
          </w:tcPr>
          <w:p w14:paraId="7864AA32"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G04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48E24B02"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Encephalitis, myelitis and encephalomyelitis</w:t>
            </w:r>
          </w:p>
        </w:tc>
      </w:tr>
      <w:tr w:rsidR="006A1081" w:rsidRPr="00B243F2" w14:paraId="4B54881C"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20321907"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proofErr w:type="spellStart"/>
            <w:r w:rsidRPr="7437B88E">
              <w:rPr>
                <w:rFonts w:eastAsia="Times New Roman" w:cs="Times New Roman"/>
                <w:color w:val="000000" w:themeColor="text1"/>
                <w:sz w:val="20"/>
                <w:szCs w:val="20"/>
                <w:lang w:eastAsia="en-AU"/>
              </w:rPr>
              <w:t>Hemorrhagic</w:t>
            </w:r>
            <w:proofErr w:type="spellEnd"/>
            <w:r w:rsidRPr="7437B88E">
              <w:rPr>
                <w:rFonts w:eastAsia="Times New Roman" w:cs="Times New Roman"/>
                <w:color w:val="000000" w:themeColor="text1"/>
                <w:sz w:val="20"/>
                <w:szCs w:val="20"/>
                <w:lang w:eastAsia="en-AU"/>
              </w:rPr>
              <w:t xml:space="preserve"> fever</w:t>
            </w:r>
          </w:p>
        </w:tc>
        <w:tc>
          <w:tcPr>
            <w:tcW w:w="990" w:type="dxa"/>
            <w:tcBorders>
              <w:top w:val="nil"/>
              <w:left w:val="nil"/>
              <w:bottom w:val="single" w:sz="4" w:space="0" w:color="auto"/>
              <w:right w:val="nil"/>
            </w:tcBorders>
            <w:shd w:val="clear" w:color="auto" w:fill="auto"/>
            <w:noWrap/>
            <w:vAlign w:val="center"/>
            <w:hideMark/>
          </w:tcPr>
          <w:p w14:paraId="3CF6D41F"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A99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6434740A"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viral haemorrhagic fever</w:t>
            </w:r>
          </w:p>
        </w:tc>
      </w:tr>
      <w:tr w:rsidR="006A1081" w:rsidRPr="00B243F2" w14:paraId="0FA1E3E3"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04F68A45"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Malaria</w:t>
            </w:r>
          </w:p>
        </w:tc>
        <w:tc>
          <w:tcPr>
            <w:tcW w:w="990" w:type="dxa"/>
            <w:tcBorders>
              <w:top w:val="nil"/>
              <w:left w:val="nil"/>
              <w:bottom w:val="single" w:sz="4" w:space="0" w:color="auto"/>
              <w:right w:val="nil"/>
            </w:tcBorders>
            <w:shd w:val="clear" w:color="auto" w:fill="auto"/>
            <w:noWrap/>
            <w:vAlign w:val="center"/>
            <w:hideMark/>
          </w:tcPr>
          <w:p w14:paraId="0123225B"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B54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3BE9B3C2"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malaria</w:t>
            </w:r>
          </w:p>
        </w:tc>
      </w:tr>
      <w:tr w:rsidR="006A1081" w:rsidRPr="00B243F2" w14:paraId="5A402BD6"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0B02234"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Measles</w:t>
            </w:r>
          </w:p>
        </w:tc>
        <w:tc>
          <w:tcPr>
            <w:tcW w:w="990" w:type="dxa"/>
            <w:tcBorders>
              <w:top w:val="nil"/>
              <w:left w:val="nil"/>
              <w:bottom w:val="single" w:sz="4" w:space="0" w:color="auto"/>
              <w:right w:val="nil"/>
            </w:tcBorders>
            <w:shd w:val="clear" w:color="auto" w:fill="auto"/>
            <w:noWrap/>
            <w:vAlign w:val="center"/>
            <w:hideMark/>
          </w:tcPr>
          <w:p w14:paraId="101CFB36"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B05</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42DE03AF"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Measles</w:t>
            </w:r>
          </w:p>
        </w:tc>
      </w:tr>
      <w:tr w:rsidR="006A1081" w:rsidRPr="00B243F2" w14:paraId="0FF79153"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6ADE93B8"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Meningitis</w:t>
            </w:r>
          </w:p>
        </w:tc>
        <w:tc>
          <w:tcPr>
            <w:tcW w:w="990" w:type="dxa"/>
            <w:tcBorders>
              <w:top w:val="nil"/>
              <w:left w:val="nil"/>
              <w:bottom w:val="single" w:sz="4" w:space="0" w:color="auto"/>
              <w:right w:val="nil"/>
            </w:tcBorders>
            <w:shd w:val="clear" w:color="auto" w:fill="auto"/>
            <w:noWrap/>
            <w:vAlign w:val="center"/>
            <w:hideMark/>
          </w:tcPr>
          <w:p w14:paraId="77D5F805"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G03</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6698D385"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Meningitis due to other and unspecified causes</w:t>
            </w:r>
          </w:p>
        </w:tc>
      </w:tr>
      <w:tr w:rsidR="006A1081" w:rsidRPr="00B243F2" w14:paraId="3E8EC69E"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278EE83B"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Infectious Diseases</w:t>
            </w:r>
          </w:p>
        </w:tc>
        <w:tc>
          <w:tcPr>
            <w:tcW w:w="990" w:type="dxa"/>
            <w:tcBorders>
              <w:top w:val="nil"/>
              <w:left w:val="nil"/>
              <w:bottom w:val="single" w:sz="4" w:space="0" w:color="auto"/>
              <w:right w:val="nil"/>
            </w:tcBorders>
            <w:shd w:val="clear" w:color="auto" w:fill="auto"/>
            <w:noWrap/>
            <w:vAlign w:val="center"/>
            <w:hideMark/>
          </w:tcPr>
          <w:p w14:paraId="306FF96C"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B99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2C083D8"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and unspecified infectious diseases</w:t>
            </w:r>
          </w:p>
        </w:tc>
      </w:tr>
      <w:tr w:rsidR="006A1081" w:rsidRPr="00B243F2" w14:paraId="20D2C065"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06666A60"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Pneumonia</w:t>
            </w:r>
          </w:p>
        </w:tc>
        <w:tc>
          <w:tcPr>
            <w:tcW w:w="990" w:type="dxa"/>
            <w:tcBorders>
              <w:top w:val="nil"/>
              <w:left w:val="nil"/>
              <w:bottom w:val="single" w:sz="4" w:space="0" w:color="auto"/>
              <w:right w:val="nil"/>
            </w:tcBorders>
            <w:shd w:val="clear" w:color="auto" w:fill="auto"/>
            <w:noWrap/>
            <w:vAlign w:val="center"/>
            <w:hideMark/>
          </w:tcPr>
          <w:p w14:paraId="220BA996"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J22</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3475A8A0"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acute lower respiratory infection</w:t>
            </w:r>
          </w:p>
        </w:tc>
      </w:tr>
      <w:tr w:rsidR="006A1081" w:rsidRPr="00B243F2" w14:paraId="5E24AC8F"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02B93FE"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Sepsis</w:t>
            </w:r>
          </w:p>
        </w:tc>
        <w:tc>
          <w:tcPr>
            <w:tcW w:w="990" w:type="dxa"/>
            <w:tcBorders>
              <w:top w:val="nil"/>
              <w:left w:val="nil"/>
              <w:bottom w:val="single" w:sz="4" w:space="0" w:color="auto"/>
              <w:right w:val="nil"/>
            </w:tcBorders>
            <w:shd w:val="clear" w:color="auto" w:fill="auto"/>
            <w:noWrap/>
            <w:vAlign w:val="center"/>
            <w:hideMark/>
          </w:tcPr>
          <w:p w14:paraId="32D9650B" w14:textId="77777777" w:rsidR="006A1081" w:rsidRPr="00775313"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A41</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90634CE" w14:textId="77777777" w:rsidR="006A1081" w:rsidRPr="00775313"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sepsis</w:t>
            </w:r>
          </w:p>
        </w:tc>
      </w:tr>
      <w:tr w:rsidR="006A1081" w:rsidRPr="00B243F2" w14:paraId="60A1FA86" w14:textId="77777777" w:rsidTr="7437B88E">
        <w:trPr>
          <w:trHeight w:val="440"/>
        </w:trPr>
        <w:tc>
          <w:tcPr>
            <w:tcW w:w="9786" w:type="dxa"/>
            <w:gridSpan w:val="3"/>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FFCCF1A" w14:textId="77777777" w:rsidR="006A1081" w:rsidRPr="00B243F2" w:rsidRDefault="7437B88E" w:rsidP="7437B88E">
            <w:pPr>
              <w:spacing w:after="0" w:line="240" w:lineRule="auto"/>
              <w:rPr>
                <w:rFonts w:eastAsia="Times New Roman" w:cs="Times New Roman"/>
                <w:b/>
                <w:bCs/>
                <w:color w:val="000000" w:themeColor="text1"/>
                <w:sz w:val="20"/>
                <w:szCs w:val="20"/>
                <w:lang w:eastAsia="en-AU"/>
              </w:rPr>
            </w:pPr>
            <w:r w:rsidRPr="7437B88E">
              <w:rPr>
                <w:rFonts w:eastAsia="Times New Roman" w:cs="Times New Roman"/>
                <w:b/>
                <w:bCs/>
                <w:color w:val="000000" w:themeColor="text1"/>
                <w:sz w:val="20"/>
                <w:szCs w:val="20"/>
                <w:lang w:eastAsia="en-AU"/>
              </w:rPr>
              <w:t>GBD Cause Group B: Non-communicable diseases</w:t>
            </w:r>
          </w:p>
        </w:tc>
      </w:tr>
      <w:tr w:rsidR="006A1081" w:rsidRPr="005E1146" w14:paraId="4BC305E2"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114DDF7" w14:textId="77777777" w:rsidR="006A1081" w:rsidRPr="005E1146"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Child Cancers</w:t>
            </w:r>
          </w:p>
        </w:tc>
        <w:tc>
          <w:tcPr>
            <w:tcW w:w="990" w:type="dxa"/>
            <w:tcBorders>
              <w:top w:val="nil"/>
              <w:left w:val="nil"/>
              <w:bottom w:val="single" w:sz="4" w:space="0" w:color="auto"/>
              <w:right w:val="single" w:sz="4" w:space="0" w:color="auto"/>
            </w:tcBorders>
            <w:shd w:val="clear" w:color="auto" w:fill="auto"/>
            <w:noWrap/>
            <w:vAlign w:val="center"/>
            <w:hideMark/>
          </w:tcPr>
          <w:p w14:paraId="58942D29" w14:textId="77777777" w:rsidR="006A1081" w:rsidRPr="005E1146"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C76</w:t>
            </w:r>
          </w:p>
        </w:tc>
        <w:tc>
          <w:tcPr>
            <w:tcW w:w="5662" w:type="dxa"/>
            <w:tcBorders>
              <w:top w:val="nil"/>
              <w:left w:val="nil"/>
              <w:bottom w:val="single" w:sz="4" w:space="0" w:color="auto"/>
              <w:right w:val="single" w:sz="4" w:space="0" w:color="auto"/>
            </w:tcBorders>
            <w:shd w:val="clear" w:color="auto" w:fill="auto"/>
            <w:noWrap/>
            <w:vAlign w:val="center"/>
            <w:hideMark/>
          </w:tcPr>
          <w:p w14:paraId="47957555" w14:textId="77777777" w:rsidR="006A1081" w:rsidRPr="005E1146"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Malignant neoplasm of other and ill-defined sites</w:t>
            </w:r>
          </w:p>
        </w:tc>
      </w:tr>
      <w:tr w:rsidR="006A1081" w:rsidRPr="00B243F2" w14:paraId="629D7A18"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13C59E4C" w14:textId="77777777" w:rsidR="006A1081" w:rsidRPr="005E1146"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Child Cardiovascular Diseases</w:t>
            </w:r>
          </w:p>
        </w:tc>
        <w:tc>
          <w:tcPr>
            <w:tcW w:w="990" w:type="dxa"/>
            <w:tcBorders>
              <w:top w:val="nil"/>
              <w:left w:val="nil"/>
              <w:bottom w:val="single" w:sz="4" w:space="0" w:color="auto"/>
              <w:right w:val="nil"/>
            </w:tcBorders>
            <w:shd w:val="clear" w:color="auto" w:fill="auto"/>
            <w:noWrap/>
            <w:vAlign w:val="center"/>
            <w:hideMark/>
          </w:tcPr>
          <w:p w14:paraId="1F56925E" w14:textId="77777777" w:rsidR="006A1081" w:rsidRPr="005E1146"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I99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739E1EF"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and unspecified disorders of circulatory system</w:t>
            </w:r>
          </w:p>
        </w:tc>
      </w:tr>
      <w:tr w:rsidR="006A1081" w:rsidRPr="00B243F2" w14:paraId="105A4B43"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E61D69D" w14:textId="77777777" w:rsidR="006A1081" w:rsidRPr="00B243F2" w:rsidRDefault="7437B88E" w:rsidP="7437B88E">
            <w:pPr>
              <w:spacing w:after="0" w:line="240" w:lineRule="auto"/>
              <w:rPr>
                <w:rFonts w:eastAsia="Times New Roman" w:cs="Times New Roman"/>
                <w:sz w:val="20"/>
                <w:szCs w:val="20"/>
                <w:lang w:eastAsia="en-AU"/>
              </w:rPr>
            </w:pPr>
            <w:r w:rsidRPr="7437B88E">
              <w:rPr>
                <w:rFonts w:eastAsia="Times New Roman" w:cs="Times New Roman"/>
                <w:sz w:val="20"/>
                <w:szCs w:val="20"/>
                <w:lang w:eastAsia="en-AU"/>
              </w:rPr>
              <w:t>Other Defined Causes of Child Deaths</w:t>
            </w:r>
          </w:p>
        </w:tc>
        <w:tc>
          <w:tcPr>
            <w:tcW w:w="990" w:type="dxa"/>
            <w:tcBorders>
              <w:top w:val="nil"/>
              <w:left w:val="nil"/>
              <w:bottom w:val="single" w:sz="4" w:space="0" w:color="auto"/>
              <w:right w:val="nil"/>
            </w:tcBorders>
            <w:shd w:val="clear" w:color="auto" w:fill="auto"/>
            <w:noWrap/>
            <w:vAlign w:val="center"/>
            <w:hideMark/>
          </w:tcPr>
          <w:p w14:paraId="1A733475" w14:textId="66FA5297" w:rsidR="006A1081" w:rsidRPr="00B243F2" w:rsidRDefault="7437B88E" w:rsidP="7437B88E">
            <w:pPr>
              <w:spacing w:after="0" w:line="240" w:lineRule="auto"/>
              <w:jc w:val="center"/>
              <w:rPr>
                <w:rFonts w:eastAsia="Times New Roman" w:cs="Times New Roman"/>
                <w:sz w:val="20"/>
                <w:szCs w:val="20"/>
                <w:lang w:eastAsia="en-AU"/>
              </w:rPr>
            </w:pPr>
            <w:r w:rsidRPr="7437B88E">
              <w:rPr>
                <w:rFonts w:eastAsia="Times New Roman" w:cs="Times New Roman"/>
                <w:sz w:val="20"/>
                <w:szCs w:val="20"/>
                <w:lang w:eastAsia="en-AU"/>
              </w:rPr>
              <w:t>UU2*</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0B023CD"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ill-defined and unspecified causes of mortality</w:t>
            </w:r>
          </w:p>
        </w:tc>
      </w:tr>
      <w:tr w:rsidR="006A1081" w:rsidRPr="00B243F2" w14:paraId="4BE21879"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7306105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Digestive Diseases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AEEDD8"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K92</w:t>
            </w:r>
          </w:p>
        </w:tc>
        <w:tc>
          <w:tcPr>
            <w:tcW w:w="5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74F83"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diseases of digestive system</w:t>
            </w:r>
          </w:p>
        </w:tc>
      </w:tr>
      <w:tr w:rsidR="006A1081" w:rsidRPr="00B243F2" w14:paraId="7A2D0546" w14:textId="77777777" w:rsidTr="7437B88E">
        <w:trPr>
          <w:trHeight w:val="436"/>
        </w:trPr>
        <w:tc>
          <w:tcPr>
            <w:tcW w:w="9786" w:type="dxa"/>
            <w:gridSpan w:val="3"/>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BD1C987" w14:textId="77777777" w:rsidR="006A1081" w:rsidRPr="00B243F2" w:rsidRDefault="7437B88E" w:rsidP="7437B88E">
            <w:pPr>
              <w:spacing w:after="0" w:line="240" w:lineRule="auto"/>
              <w:rPr>
                <w:rFonts w:eastAsia="Times New Roman" w:cs="Times New Roman"/>
                <w:b/>
                <w:bCs/>
                <w:color w:val="000000" w:themeColor="text1"/>
                <w:sz w:val="20"/>
                <w:szCs w:val="20"/>
                <w:lang w:eastAsia="en-AU"/>
              </w:rPr>
            </w:pPr>
            <w:r w:rsidRPr="7437B88E">
              <w:rPr>
                <w:rFonts w:eastAsia="Times New Roman" w:cs="Times New Roman"/>
                <w:b/>
                <w:bCs/>
                <w:color w:val="000000" w:themeColor="text1"/>
                <w:sz w:val="20"/>
                <w:szCs w:val="20"/>
                <w:lang w:eastAsia="en-AU"/>
              </w:rPr>
              <w:t>GBD Cause Group C: Injuries</w:t>
            </w:r>
          </w:p>
        </w:tc>
      </w:tr>
      <w:tr w:rsidR="006A1081" w:rsidRPr="00B243F2" w14:paraId="314F6DA0"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2C304857"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Bite of Venomous Animal</w:t>
            </w:r>
          </w:p>
        </w:tc>
        <w:tc>
          <w:tcPr>
            <w:tcW w:w="990" w:type="dxa"/>
            <w:tcBorders>
              <w:top w:val="nil"/>
              <w:left w:val="nil"/>
              <w:bottom w:val="single" w:sz="4" w:space="0" w:color="auto"/>
              <w:right w:val="nil"/>
            </w:tcBorders>
            <w:shd w:val="clear" w:color="auto" w:fill="auto"/>
            <w:noWrap/>
            <w:vAlign w:val="center"/>
            <w:hideMark/>
          </w:tcPr>
          <w:p w14:paraId="5353F976"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X27</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5796051F"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Contact with other specified venomous animals</w:t>
            </w:r>
          </w:p>
        </w:tc>
      </w:tr>
      <w:tr w:rsidR="006A1081" w:rsidRPr="00B243F2" w14:paraId="7F1AA14E"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F2D542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Drowning</w:t>
            </w:r>
          </w:p>
        </w:tc>
        <w:tc>
          <w:tcPr>
            <w:tcW w:w="990" w:type="dxa"/>
            <w:tcBorders>
              <w:top w:val="nil"/>
              <w:left w:val="nil"/>
              <w:bottom w:val="single" w:sz="4" w:space="0" w:color="auto"/>
              <w:right w:val="nil"/>
            </w:tcBorders>
            <w:shd w:val="clear" w:color="auto" w:fill="auto"/>
            <w:noWrap/>
            <w:vAlign w:val="center"/>
            <w:hideMark/>
          </w:tcPr>
          <w:p w14:paraId="19029C36"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W74</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142F8C00"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drowning and submersion</w:t>
            </w:r>
          </w:p>
        </w:tc>
      </w:tr>
      <w:tr w:rsidR="006A1081" w:rsidRPr="00B243F2" w14:paraId="5A85C11E"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3BAB2E37"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lastRenderedPageBreak/>
              <w:t>Falls</w:t>
            </w:r>
          </w:p>
        </w:tc>
        <w:tc>
          <w:tcPr>
            <w:tcW w:w="990" w:type="dxa"/>
            <w:tcBorders>
              <w:top w:val="nil"/>
              <w:left w:val="nil"/>
              <w:bottom w:val="single" w:sz="4" w:space="0" w:color="auto"/>
              <w:right w:val="nil"/>
            </w:tcBorders>
            <w:shd w:val="clear" w:color="auto" w:fill="auto"/>
            <w:noWrap/>
            <w:vAlign w:val="center"/>
            <w:hideMark/>
          </w:tcPr>
          <w:p w14:paraId="3118B7A4"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W19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1C49E93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Unspecified fall</w:t>
            </w:r>
          </w:p>
        </w:tc>
      </w:tr>
      <w:tr w:rsidR="006A1081" w:rsidRPr="00B243F2" w14:paraId="14959409"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84E94AF"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Fires</w:t>
            </w:r>
          </w:p>
        </w:tc>
        <w:tc>
          <w:tcPr>
            <w:tcW w:w="990" w:type="dxa"/>
            <w:tcBorders>
              <w:top w:val="nil"/>
              <w:left w:val="nil"/>
              <w:bottom w:val="single" w:sz="4" w:space="0" w:color="auto"/>
              <w:right w:val="nil"/>
            </w:tcBorders>
            <w:shd w:val="clear" w:color="auto" w:fill="auto"/>
            <w:noWrap/>
            <w:vAlign w:val="center"/>
            <w:hideMark/>
          </w:tcPr>
          <w:p w14:paraId="59AACFEB"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X09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08F75C1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Exposure to unspecified smoke, fire and flames</w:t>
            </w:r>
          </w:p>
        </w:tc>
      </w:tr>
      <w:tr w:rsidR="006A1081" w:rsidRPr="00B243F2" w14:paraId="0A7F2228" w14:textId="77777777" w:rsidTr="7437B88E">
        <w:trPr>
          <w:trHeight w:val="63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95CEC65"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Poisonings</w:t>
            </w:r>
          </w:p>
        </w:tc>
        <w:tc>
          <w:tcPr>
            <w:tcW w:w="990" w:type="dxa"/>
            <w:tcBorders>
              <w:top w:val="nil"/>
              <w:left w:val="nil"/>
              <w:bottom w:val="single" w:sz="4" w:space="0" w:color="auto"/>
              <w:right w:val="nil"/>
            </w:tcBorders>
            <w:shd w:val="clear" w:color="auto" w:fill="auto"/>
            <w:noWrap/>
            <w:vAlign w:val="center"/>
            <w:hideMark/>
          </w:tcPr>
          <w:p w14:paraId="0CE5B157"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X49</w:t>
            </w:r>
          </w:p>
        </w:tc>
        <w:tc>
          <w:tcPr>
            <w:tcW w:w="5662" w:type="dxa"/>
            <w:tcBorders>
              <w:top w:val="nil"/>
              <w:left w:val="single" w:sz="4" w:space="0" w:color="auto"/>
              <w:bottom w:val="single" w:sz="4" w:space="0" w:color="auto"/>
              <w:right w:val="single" w:sz="4" w:space="0" w:color="auto"/>
            </w:tcBorders>
            <w:shd w:val="clear" w:color="auto" w:fill="auto"/>
            <w:vAlign w:val="center"/>
            <w:hideMark/>
          </w:tcPr>
          <w:p w14:paraId="62D1177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Accidental poisoning by and exposure to other and unspecified chemicals and noxious substances</w:t>
            </w:r>
          </w:p>
        </w:tc>
      </w:tr>
      <w:tr w:rsidR="006A1081" w:rsidRPr="00B243F2" w14:paraId="2B107EB3"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A4E02C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Road Traffic</w:t>
            </w:r>
          </w:p>
        </w:tc>
        <w:tc>
          <w:tcPr>
            <w:tcW w:w="990" w:type="dxa"/>
            <w:tcBorders>
              <w:top w:val="nil"/>
              <w:left w:val="nil"/>
              <w:bottom w:val="single" w:sz="4" w:space="0" w:color="auto"/>
              <w:right w:val="nil"/>
            </w:tcBorders>
            <w:shd w:val="clear" w:color="auto" w:fill="auto"/>
            <w:noWrap/>
            <w:vAlign w:val="center"/>
            <w:hideMark/>
          </w:tcPr>
          <w:p w14:paraId="2DCDEA4F"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V89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4FA293E4"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 xml:space="preserve">Motor- or </w:t>
            </w:r>
            <w:proofErr w:type="spellStart"/>
            <w:r w:rsidRPr="7437B88E">
              <w:rPr>
                <w:rFonts w:eastAsia="Times New Roman" w:cs="Times New Roman"/>
                <w:color w:val="000000" w:themeColor="text1"/>
                <w:sz w:val="20"/>
                <w:szCs w:val="20"/>
                <w:lang w:eastAsia="en-AU"/>
              </w:rPr>
              <w:t>nonmotor</w:t>
            </w:r>
            <w:proofErr w:type="spellEnd"/>
            <w:r w:rsidRPr="7437B88E">
              <w:rPr>
                <w:rFonts w:eastAsia="Times New Roman" w:cs="Times New Roman"/>
                <w:color w:val="000000" w:themeColor="text1"/>
                <w:sz w:val="20"/>
                <w:szCs w:val="20"/>
                <w:lang w:eastAsia="en-AU"/>
              </w:rPr>
              <w:t>-vehicle accident, type of vehicle unspecified</w:t>
            </w:r>
          </w:p>
        </w:tc>
      </w:tr>
      <w:tr w:rsidR="006A1081" w:rsidRPr="00B243F2" w14:paraId="4A83B207"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32D96FF2" w14:textId="4868B106"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Homicide (assault)</w:t>
            </w:r>
          </w:p>
        </w:tc>
        <w:tc>
          <w:tcPr>
            <w:tcW w:w="990" w:type="dxa"/>
            <w:tcBorders>
              <w:top w:val="nil"/>
              <w:left w:val="nil"/>
              <w:bottom w:val="single" w:sz="4" w:space="0" w:color="auto"/>
              <w:right w:val="nil"/>
            </w:tcBorders>
            <w:shd w:val="clear" w:color="auto" w:fill="auto"/>
            <w:noWrap/>
            <w:vAlign w:val="center"/>
            <w:hideMark/>
          </w:tcPr>
          <w:p w14:paraId="5AA8655D"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Y09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09458172"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Assault by unspecified means</w:t>
            </w:r>
          </w:p>
        </w:tc>
      </w:tr>
      <w:tr w:rsidR="005E47F7" w:rsidRPr="005E47F7" w14:paraId="259059E7" w14:textId="77777777" w:rsidTr="7437B88E">
        <w:trPr>
          <w:trHeight w:val="300"/>
        </w:trPr>
        <w:tc>
          <w:tcPr>
            <w:tcW w:w="3134" w:type="dxa"/>
            <w:tcBorders>
              <w:top w:val="nil"/>
              <w:left w:val="single" w:sz="4" w:space="0" w:color="auto"/>
              <w:bottom w:val="single" w:sz="4" w:space="0" w:color="auto"/>
              <w:right w:val="single" w:sz="4" w:space="0" w:color="auto"/>
            </w:tcBorders>
            <w:shd w:val="clear" w:color="auto" w:fill="000000" w:themeFill="text1"/>
            <w:noWrap/>
            <w:vAlign w:val="center"/>
            <w:hideMark/>
          </w:tcPr>
          <w:p w14:paraId="3951988D" w14:textId="77777777" w:rsidR="006A1081" w:rsidRPr="005E47F7" w:rsidRDefault="7437B88E" w:rsidP="7437B88E">
            <w:pPr>
              <w:spacing w:after="0" w:line="240" w:lineRule="auto"/>
              <w:rPr>
                <w:rFonts w:eastAsia="Times New Roman" w:cs="Times New Roman"/>
                <w:b/>
                <w:bCs/>
                <w:color w:val="FFFFFF" w:themeColor="background1"/>
                <w:sz w:val="20"/>
                <w:szCs w:val="20"/>
                <w:lang w:eastAsia="en-AU"/>
              </w:rPr>
            </w:pPr>
            <w:r w:rsidRPr="7437B88E">
              <w:rPr>
                <w:rFonts w:eastAsia="Times New Roman" w:cs="Times New Roman"/>
                <w:b/>
                <w:bCs/>
                <w:color w:val="FFFFFF" w:themeColor="background1"/>
                <w:sz w:val="20"/>
                <w:szCs w:val="20"/>
                <w:lang w:eastAsia="en-AU"/>
              </w:rPr>
              <w:t>NEONATE CAUSES</w:t>
            </w:r>
          </w:p>
        </w:tc>
        <w:tc>
          <w:tcPr>
            <w:tcW w:w="6652" w:type="dxa"/>
            <w:gridSpan w:val="2"/>
            <w:tcBorders>
              <w:top w:val="single" w:sz="4" w:space="0" w:color="auto"/>
              <w:left w:val="nil"/>
              <w:bottom w:val="single" w:sz="4" w:space="0" w:color="auto"/>
              <w:right w:val="single" w:sz="4" w:space="0" w:color="000000" w:themeColor="text1"/>
            </w:tcBorders>
            <w:shd w:val="clear" w:color="auto" w:fill="000000" w:themeFill="text1"/>
            <w:noWrap/>
            <w:vAlign w:val="center"/>
            <w:hideMark/>
          </w:tcPr>
          <w:p w14:paraId="0A56232E" w14:textId="77777777" w:rsidR="006A1081" w:rsidRPr="005E47F7" w:rsidRDefault="7437B88E" w:rsidP="7437B88E">
            <w:pPr>
              <w:spacing w:after="0" w:line="240" w:lineRule="auto"/>
              <w:rPr>
                <w:rFonts w:eastAsia="Times New Roman" w:cs="Times New Roman"/>
                <w:b/>
                <w:bCs/>
                <w:color w:val="FFFFFF" w:themeColor="background1"/>
                <w:sz w:val="20"/>
                <w:szCs w:val="20"/>
                <w:lang w:eastAsia="en-AU"/>
              </w:rPr>
            </w:pPr>
            <w:r w:rsidRPr="7437B88E">
              <w:rPr>
                <w:rFonts w:eastAsia="Times New Roman" w:cs="Times New Roman"/>
                <w:b/>
                <w:bCs/>
                <w:color w:val="FFFFFF" w:themeColor="background1"/>
                <w:sz w:val="20"/>
                <w:szCs w:val="20"/>
                <w:lang w:eastAsia="en-AU"/>
              </w:rPr>
              <w:t> </w:t>
            </w:r>
          </w:p>
        </w:tc>
      </w:tr>
      <w:tr w:rsidR="006A1081" w:rsidRPr="00B243F2" w14:paraId="0CD992BB"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2DD5C39E"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Birth asphyxia</w:t>
            </w:r>
          </w:p>
        </w:tc>
        <w:tc>
          <w:tcPr>
            <w:tcW w:w="990" w:type="dxa"/>
            <w:tcBorders>
              <w:top w:val="nil"/>
              <w:left w:val="nil"/>
              <w:bottom w:val="single" w:sz="4" w:space="0" w:color="auto"/>
              <w:right w:val="nil"/>
            </w:tcBorders>
            <w:shd w:val="clear" w:color="auto" w:fill="auto"/>
            <w:noWrap/>
            <w:vAlign w:val="center"/>
            <w:hideMark/>
          </w:tcPr>
          <w:p w14:paraId="7CBE4FEC"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P21</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2C0D148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Birth asphyxia</w:t>
            </w:r>
          </w:p>
        </w:tc>
      </w:tr>
      <w:tr w:rsidR="006A1081" w:rsidRPr="00B243F2" w14:paraId="4AD24612"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11DEC3F0"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Congenital malformation</w:t>
            </w:r>
          </w:p>
        </w:tc>
        <w:tc>
          <w:tcPr>
            <w:tcW w:w="990" w:type="dxa"/>
            <w:tcBorders>
              <w:top w:val="nil"/>
              <w:left w:val="nil"/>
              <w:bottom w:val="single" w:sz="4" w:space="0" w:color="auto"/>
              <w:right w:val="nil"/>
            </w:tcBorders>
            <w:shd w:val="clear" w:color="auto" w:fill="auto"/>
            <w:noWrap/>
            <w:vAlign w:val="center"/>
            <w:hideMark/>
          </w:tcPr>
          <w:p w14:paraId="2A0F83EA"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Q89</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3044648D"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Other congenital malformations, not elsewhere classified</w:t>
            </w:r>
          </w:p>
        </w:tc>
      </w:tr>
      <w:tr w:rsidR="006A1081" w:rsidRPr="005E1146" w14:paraId="2274366E"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7FD6FA00" w14:textId="77777777" w:rsidR="006A1081" w:rsidRPr="005E1146" w:rsidRDefault="7437B88E" w:rsidP="7437B88E">
            <w:pPr>
              <w:spacing w:after="0" w:line="240" w:lineRule="auto"/>
              <w:rPr>
                <w:rFonts w:eastAsia="Times New Roman" w:cs="Times New Roman"/>
                <w:color w:val="000000" w:themeColor="text1"/>
                <w:sz w:val="20"/>
                <w:szCs w:val="20"/>
                <w:lang w:eastAsia="en-AU"/>
              </w:rPr>
            </w:pPr>
            <w:bookmarkStart w:id="2" w:name="_Hlk508615603"/>
            <w:r w:rsidRPr="7437B88E">
              <w:rPr>
                <w:rFonts w:eastAsia="Times New Roman" w:cs="Times New Roman"/>
                <w:color w:val="000000" w:themeColor="text1"/>
                <w:sz w:val="20"/>
                <w:szCs w:val="20"/>
                <w:lang w:eastAsia="en-AU"/>
              </w:rPr>
              <w:t>Neonatal Meningitis/Sepsis</w:t>
            </w:r>
            <w:bookmarkEnd w:id="2"/>
          </w:p>
        </w:tc>
        <w:tc>
          <w:tcPr>
            <w:tcW w:w="990" w:type="dxa"/>
            <w:tcBorders>
              <w:top w:val="nil"/>
              <w:left w:val="nil"/>
              <w:bottom w:val="single" w:sz="4" w:space="0" w:color="auto"/>
              <w:right w:val="nil"/>
            </w:tcBorders>
            <w:shd w:val="clear" w:color="auto" w:fill="auto"/>
            <w:noWrap/>
            <w:vAlign w:val="center"/>
            <w:hideMark/>
          </w:tcPr>
          <w:p w14:paraId="7541CD8E" w14:textId="77777777" w:rsidR="006A1081" w:rsidRPr="005E1146"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P36</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7877AEA7" w14:textId="77777777" w:rsidR="006A1081" w:rsidRPr="005E1146"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Bacterial sepsis of newborn</w:t>
            </w:r>
          </w:p>
        </w:tc>
      </w:tr>
      <w:tr w:rsidR="006A1081" w:rsidRPr="00B243F2" w14:paraId="425BB04D"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F58D3E1" w14:textId="77777777" w:rsidR="006A1081" w:rsidRPr="005E1146"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Neonatal Pneumonia</w:t>
            </w:r>
          </w:p>
        </w:tc>
        <w:tc>
          <w:tcPr>
            <w:tcW w:w="990" w:type="dxa"/>
            <w:tcBorders>
              <w:top w:val="nil"/>
              <w:left w:val="nil"/>
              <w:bottom w:val="single" w:sz="4" w:space="0" w:color="auto"/>
              <w:right w:val="nil"/>
            </w:tcBorders>
            <w:shd w:val="clear" w:color="auto" w:fill="auto"/>
            <w:noWrap/>
            <w:vAlign w:val="center"/>
            <w:hideMark/>
          </w:tcPr>
          <w:p w14:paraId="6DC5483C" w14:textId="77777777" w:rsidR="006A1081" w:rsidRPr="005E1146"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P23</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44711C69"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Congenital pneumonia/Unspecified acute lower respiratory infection</w:t>
            </w:r>
          </w:p>
        </w:tc>
      </w:tr>
      <w:tr w:rsidR="006A1081" w:rsidRPr="00B243F2" w14:paraId="79838659" w14:textId="77777777" w:rsidTr="7437B88E">
        <w:trPr>
          <w:trHeight w:val="63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528750BD"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Preterm Delivery</w:t>
            </w:r>
          </w:p>
        </w:tc>
        <w:tc>
          <w:tcPr>
            <w:tcW w:w="990" w:type="dxa"/>
            <w:tcBorders>
              <w:top w:val="nil"/>
              <w:left w:val="nil"/>
              <w:bottom w:val="single" w:sz="4" w:space="0" w:color="auto"/>
              <w:right w:val="nil"/>
            </w:tcBorders>
            <w:shd w:val="clear" w:color="auto" w:fill="auto"/>
            <w:noWrap/>
            <w:vAlign w:val="center"/>
            <w:hideMark/>
          </w:tcPr>
          <w:p w14:paraId="2C31498A"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P07</w:t>
            </w:r>
          </w:p>
        </w:tc>
        <w:tc>
          <w:tcPr>
            <w:tcW w:w="5662" w:type="dxa"/>
            <w:tcBorders>
              <w:top w:val="nil"/>
              <w:left w:val="single" w:sz="4" w:space="0" w:color="auto"/>
              <w:bottom w:val="single" w:sz="4" w:space="0" w:color="auto"/>
              <w:right w:val="single" w:sz="4" w:space="0" w:color="auto"/>
            </w:tcBorders>
            <w:shd w:val="clear" w:color="auto" w:fill="auto"/>
            <w:vAlign w:val="center"/>
            <w:hideMark/>
          </w:tcPr>
          <w:p w14:paraId="79DEF5AA"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Disorders related to short gestation and low birth weight, not elsewhere classified</w:t>
            </w:r>
          </w:p>
        </w:tc>
      </w:tr>
      <w:tr w:rsidR="006A1081" w:rsidRPr="00B243F2" w14:paraId="05F745B8" w14:textId="77777777" w:rsidTr="7437B88E">
        <w:trPr>
          <w:trHeight w:val="315"/>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14:paraId="45C5ED75"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Stillbirth</w:t>
            </w:r>
          </w:p>
        </w:tc>
        <w:tc>
          <w:tcPr>
            <w:tcW w:w="990" w:type="dxa"/>
            <w:tcBorders>
              <w:top w:val="nil"/>
              <w:left w:val="nil"/>
              <w:bottom w:val="single" w:sz="4" w:space="0" w:color="auto"/>
              <w:right w:val="nil"/>
            </w:tcBorders>
            <w:shd w:val="clear" w:color="auto" w:fill="auto"/>
            <w:noWrap/>
            <w:vAlign w:val="center"/>
            <w:hideMark/>
          </w:tcPr>
          <w:p w14:paraId="55337559" w14:textId="77777777" w:rsidR="006A1081" w:rsidRPr="00B243F2" w:rsidRDefault="7437B88E" w:rsidP="7437B88E">
            <w:pPr>
              <w:spacing w:after="0" w:line="240" w:lineRule="auto"/>
              <w:jc w:val="center"/>
              <w:rPr>
                <w:rFonts w:eastAsia="Times New Roman" w:cs="Times New Roman"/>
                <w:color w:val="000000" w:themeColor="text1"/>
                <w:sz w:val="20"/>
                <w:szCs w:val="20"/>
                <w:lang w:eastAsia="en-AU"/>
              </w:rPr>
            </w:pPr>
            <w:r w:rsidRPr="7437B88E">
              <w:rPr>
                <w:rFonts w:eastAsia="Times New Roman" w:cs="Times New Roman"/>
                <w:color w:val="000000" w:themeColor="text1"/>
                <w:sz w:val="20"/>
                <w:szCs w:val="20"/>
                <w:lang w:eastAsia="en-AU"/>
              </w:rPr>
              <w:t>P95</w:t>
            </w:r>
          </w:p>
        </w:tc>
        <w:tc>
          <w:tcPr>
            <w:tcW w:w="5662" w:type="dxa"/>
            <w:tcBorders>
              <w:top w:val="nil"/>
              <w:left w:val="single" w:sz="4" w:space="0" w:color="auto"/>
              <w:bottom w:val="single" w:sz="4" w:space="0" w:color="auto"/>
              <w:right w:val="single" w:sz="4" w:space="0" w:color="auto"/>
            </w:tcBorders>
            <w:shd w:val="clear" w:color="auto" w:fill="auto"/>
            <w:noWrap/>
            <w:vAlign w:val="center"/>
            <w:hideMark/>
          </w:tcPr>
          <w:p w14:paraId="3229BAFD" w14:textId="77777777" w:rsidR="006A1081" w:rsidRPr="00B243F2" w:rsidRDefault="7437B88E" w:rsidP="7437B88E">
            <w:pPr>
              <w:spacing w:after="0" w:line="240" w:lineRule="auto"/>
              <w:rPr>
                <w:rFonts w:eastAsia="Times New Roman" w:cs="Times New Roman"/>
                <w:color w:val="000000" w:themeColor="text1"/>
                <w:sz w:val="20"/>
                <w:szCs w:val="20"/>
                <w:lang w:eastAsia="en-AU"/>
              </w:rPr>
            </w:pPr>
            <w:proofErr w:type="spellStart"/>
            <w:r w:rsidRPr="7437B88E">
              <w:rPr>
                <w:rFonts w:eastAsia="Times New Roman" w:cs="Times New Roman"/>
                <w:color w:val="000000" w:themeColor="text1"/>
                <w:sz w:val="20"/>
                <w:szCs w:val="20"/>
                <w:lang w:eastAsia="en-AU"/>
              </w:rPr>
              <w:t>Fetal</w:t>
            </w:r>
            <w:proofErr w:type="spellEnd"/>
            <w:r w:rsidRPr="7437B88E">
              <w:rPr>
                <w:rFonts w:eastAsia="Times New Roman" w:cs="Times New Roman"/>
                <w:color w:val="000000" w:themeColor="text1"/>
                <w:sz w:val="20"/>
                <w:szCs w:val="20"/>
                <w:lang w:eastAsia="en-AU"/>
              </w:rPr>
              <w:t xml:space="preserve"> death of unspecified cause</w:t>
            </w:r>
          </w:p>
        </w:tc>
      </w:tr>
    </w:tbl>
    <w:p w14:paraId="4C0EE182" w14:textId="61F4DF05" w:rsidR="003F1CE0" w:rsidRDefault="7437B88E" w:rsidP="005E1146">
      <w:pPr>
        <w:ind w:left="-709"/>
      </w:pPr>
      <w:r w:rsidRPr="7437B88E">
        <w:rPr>
          <w:sz w:val="20"/>
          <w:szCs w:val="20"/>
        </w:rPr>
        <w:t xml:space="preserve">*Non ICD-10 Code to signify other NCD/Other defined causes of childhood death not otherwise included in the </w:t>
      </w:r>
      <w:proofErr w:type="spellStart"/>
      <w:r w:rsidRPr="7437B88E">
        <w:rPr>
          <w:sz w:val="20"/>
          <w:szCs w:val="20"/>
        </w:rPr>
        <w:t>SmartVA</w:t>
      </w:r>
      <w:proofErr w:type="spellEnd"/>
      <w:r w:rsidRPr="7437B88E">
        <w:rPr>
          <w:sz w:val="20"/>
          <w:szCs w:val="20"/>
        </w:rPr>
        <w:t xml:space="preserve"> cause list.</w:t>
      </w:r>
    </w:p>
    <w:sectPr w:rsidR="003F1CE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CE86E" w14:textId="77777777" w:rsidR="00C05A34" w:rsidRDefault="00C05A34" w:rsidP="00A5580E">
      <w:pPr>
        <w:spacing w:after="0" w:line="240" w:lineRule="auto"/>
      </w:pPr>
      <w:r>
        <w:separator/>
      </w:r>
    </w:p>
  </w:endnote>
  <w:endnote w:type="continuationSeparator" w:id="0">
    <w:p w14:paraId="32A613B8" w14:textId="77777777" w:rsidR="00C05A34" w:rsidRDefault="00C05A34" w:rsidP="00A55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73375" w14:textId="77777777" w:rsidR="00872BB0" w:rsidRDefault="00872B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22728" w14:textId="77777777" w:rsidR="00872BB0" w:rsidRDefault="00872B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F9BC" w14:textId="77777777" w:rsidR="00872BB0" w:rsidRDefault="00872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53CC7" w14:textId="77777777" w:rsidR="00C05A34" w:rsidRDefault="00C05A34" w:rsidP="00A5580E">
      <w:pPr>
        <w:spacing w:after="0" w:line="240" w:lineRule="auto"/>
      </w:pPr>
      <w:r>
        <w:separator/>
      </w:r>
    </w:p>
  </w:footnote>
  <w:footnote w:type="continuationSeparator" w:id="0">
    <w:p w14:paraId="79222B00" w14:textId="77777777" w:rsidR="00C05A34" w:rsidRDefault="00C05A34" w:rsidP="00A5580E">
      <w:pPr>
        <w:spacing w:after="0" w:line="240" w:lineRule="auto"/>
      </w:pPr>
      <w:r>
        <w:continuationSeparator/>
      </w:r>
    </w:p>
  </w:footnote>
  <w:footnote w:id="1">
    <w:p w14:paraId="0FBE628C" w14:textId="52069872" w:rsidR="0097281A" w:rsidRDefault="0097281A">
      <w:pPr>
        <w:pStyle w:val="FootnoteText"/>
      </w:pPr>
      <w:r>
        <w:rPr>
          <w:rStyle w:val="FootnoteReference"/>
        </w:rPr>
        <w:footnoteRef/>
      </w:r>
      <w:r>
        <w:t xml:space="preserve"> For </w:t>
      </w:r>
      <w:proofErr w:type="spellStart"/>
      <w:r>
        <w:t>SmartVA</w:t>
      </w:r>
      <w:proofErr w:type="spellEnd"/>
      <w:r>
        <w:t>, single three-digit ICD-10 codes represent a range of codes. See table at the end of this document which provides an explanation of the cause category for adults, child and neonate.</w:t>
      </w:r>
    </w:p>
  </w:footnote>
  <w:footnote w:id="2">
    <w:p w14:paraId="7BB8311A" w14:textId="77777777" w:rsidR="002A5347" w:rsidRDefault="002A5347" w:rsidP="7437B88E">
      <w:pPr>
        <w:rPr>
          <w:lang w:val="en-US"/>
        </w:rPr>
      </w:pPr>
      <w:r>
        <w:rPr>
          <w:rStyle w:val="FootnoteReference"/>
        </w:rPr>
        <w:footnoteRef/>
      </w:r>
      <w:r>
        <w:t xml:space="preserve"> </w:t>
      </w:r>
      <w:proofErr w:type="spellStart"/>
      <w:r w:rsidRPr="002A5347">
        <w:rPr>
          <w:sz w:val="20"/>
          <w:szCs w:val="20"/>
          <w:lang w:val="en-US"/>
        </w:rPr>
        <w:t>Serina</w:t>
      </w:r>
      <w:proofErr w:type="spellEnd"/>
      <w:r w:rsidRPr="002A5347">
        <w:rPr>
          <w:sz w:val="20"/>
          <w:szCs w:val="20"/>
          <w:lang w:val="en-US"/>
        </w:rPr>
        <w:t xml:space="preserve"> P, et al.  Improving performance of the Tariff Method for assigning causes of death to verbal autopsies. </w:t>
      </w:r>
      <w:r w:rsidRPr="7437B88E">
        <w:rPr>
          <w:i/>
          <w:iCs/>
          <w:sz w:val="20"/>
          <w:szCs w:val="20"/>
          <w:lang w:val="en-US"/>
        </w:rPr>
        <w:t>BMC Medicine</w:t>
      </w:r>
      <w:r w:rsidRPr="002A5347">
        <w:rPr>
          <w:sz w:val="20"/>
          <w:szCs w:val="20"/>
          <w:lang w:val="en-US"/>
        </w:rPr>
        <w:t>. 2015; 13:291</w:t>
      </w:r>
    </w:p>
    <w:p w14:paraId="6DDDE900" w14:textId="4779C267" w:rsidR="002A5347" w:rsidRDefault="002A5347">
      <w:pPr>
        <w:pStyle w:val="FootnoteText"/>
      </w:pPr>
    </w:p>
  </w:footnote>
  <w:footnote w:id="3">
    <w:p w14:paraId="42CA392D" w14:textId="5D9A05B5" w:rsidR="002A5347" w:rsidRPr="002A5347" w:rsidRDefault="002A5347" w:rsidP="7437B88E">
      <w:pPr>
        <w:pStyle w:val="FootnoteText"/>
        <w:rPr>
          <w:b/>
          <w:bCs/>
        </w:rPr>
      </w:pPr>
      <w:r>
        <w:rPr>
          <w:rStyle w:val="FootnoteReference"/>
        </w:rPr>
        <w:footnoteRef/>
      </w:r>
      <w:r>
        <w:t xml:space="preserve"> </w:t>
      </w:r>
      <w:r>
        <w:rPr>
          <w:lang w:val="en-US"/>
        </w:rPr>
        <w:t xml:space="preserve">Murray CJL, Lopez AD, et al. </w:t>
      </w:r>
      <w:r w:rsidRPr="002A5347">
        <w:rPr>
          <w:rStyle w:val="Strong"/>
          <w:b w:val="0"/>
          <w:bCs w:val="0"/>
          <w:lang w:val="en-US"/>
        </w:rPr>
        <w:t>Population Health Metrics Research Consortium gold standard verbal autopsy validation study: design, implementation, and development of analysis datasets</w:t>
      </w:r>
      <w:r w:rsidRPr="7437B88E">
        <w:rPr>
          <w:b/>
          <w:bCs/>
          <w:lang w:val="en-US"/>
        </w:rPr>
        <w:t>. </w:t>
      </w:r>
      <w:r w:rsidRPr="002A5347">
        <w:rPr>
          <w:rStyle w:val="Emphasis"/>
          <w:lang w:val="en-US"/>
        </w:rPr>
        <w:t>Population Health Metrics</w:t>
      </w:r>
      <w:r w:rsidRPr="002A5347">
        <w:rPr>
          <w:lang w:val="en-US"/>
        </w:rPr>
        <w:t>.</w:t>
      </w:r>
      <w:r w:rsidRPr="7437B88E">
        <w:rPr>
          <w:b/>
          <w:bCs/>
          <w:lang w:val="en-US"/>
        </w:rPr>
        <w:t xml:space="preserve"> 2011; 9:27.</w:t>
      </w:r>
    </w:p>
  </w:footnote>
  <w:footnote w:id="4">
    <w:p w14:paraId="182A15AD" w14:textId="76748106" w:rsidR="002A5347" w:rsidRDefault="002A5347">
      <w:pPr>
        <w:pStyle w:val="FootnoteText"/>
      </w:pPr>
      <w:r>
        <w:rPr>
          <w:rStyle w:val="FootnoteReference"/>
        </w:rPr>
        <w:footnoteRef/>
      </w:r>
      <w:r>
        <w:t xml:space="preserve"> </w:t>
      </w:r>
      <w:hyperlink r:id="rId1" w:history="1">
        <w:r>
          <w:rPr>
            <w:rStyle w:val="Hyperlink"/>
            <w:lang w:val="en-US"/>
          </w:rPr>
          <w:t>http://www.healthdata.org/gbd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055AD" w14:textId="77777777" w:rsidR="00872BB0" w:rsidRDefault="00872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8FBB4" w14:textId="77777777" w:rsidR="00872BB0" w:rsidRDefault="00872B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64995" w14:textId="77777777" w:rsidR="00872BB0" w:rsidRDefault="00872B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34A"/>
    <w:rsid w:val="00096784"/>
    <w:rsid w:val="001864C4"/>
    <w:rsid w:val="001D3EA6"/>
    <w:rsid w:val="002978CB"/>
    <w:rsid w:val="002A5347"/>
    <w:rsid w:val="002D5AF2"/>
    <w:rsid w:val="0030002F"/>
    <w:rsid w:val="003220F1"/>
    <w:rsid w:val="003608B1"/>
    <w:rsid w:val="003E4CBB"/>
    <w:rsid w:val="003F1CE0"/>
    <w:rsid w:val="004302C6"/>
    <w:rsid w:val="00496587"/>
    <w:rsid w:val="00590764"/>
    <w:rsid w:val="005A4682"/>
    <w:rsid w:val="005B1462"/>
    <w:rsid w:val="005E1146"/>
    <w:rsid w:val="005E47F7"/>
    <w:rsid w:val="00632B0E"/>
    <w:rsid w:val="006A1081"/>
    <w:rsid w:val="007071F6"/>
    <w:rsid w:val="00715395"/>
    <w:rsid w:val="00773371"/>
    <w:rsid w:val="008416CC"/>
    <w:rsid w:val="00872BB0"/>
    <w:rsid w:val="008B6262"/>
    <w:rsid w:val="00953870"/>
    <w:rsid w:val="0097281A"/>
    <w:rsid w:val="009B695E"/>
    <w:rsid w:val="009E788C"/>
    <w:rsid w:val="00A3034A"/>
    <w:rsid w:val="00A5580E"/>
    <w:rsid w:val="00AC6962"/>
    <w:rsid w:val="00BA0FD3"/>
    <w:rsid w:val="00BF206B"/>
    <w:rsid w:val="00C05A34"/>
    <w:rsid w:val="00C0774F"/>
    <w:rsid w:val="00C61B54"/>
    <w:rsid w:val="00D94901"/>
    <w:rsid w:val="00E55287"/>
    <w:rsid w:val="00F50595"/>
    <w:rsid w:val="00F527D6"/>
    <w:rsid w:val="00F65483"/>
    <w:rsid w:val="7437B8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ED5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1081"/>
    <w:pPr>
      <w:keepNext/>
      <w:keepLines/>
      <w:spacing w:before="480" w:after="0" w:line="360" w:lineRule="auto"/>
      <w:outlineLvl w:val="0"/>
    </w:pPr>
    <w:rPr>
      <w:rFonts w:ascii="Cambria" w:eastAsiaTheme="majorEastAsia" w:hAnsi="Cambria" w:cstheme="majorBidi"/>
      <w:b/>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64C4"/>
    <w:rPr>
      <w:sz w:val="16"/>
      <w:szCs w:val="16"/>
    </w:rPr>
  </w:style>
  <w:style w:type="paragraph" w:styleId="CommentText">
    <w:name w:val="annotation text"/>
    <w:basedOn w:val="Normal"/>
    <w:link w:val="CommentTextChar"/>
    <w:uiPriority w:val="99"/>
    <w:semiHidden/>
    <w:unhideWhenUsed/>
    <w:rsid w:val="001864C4"/>
    <w:pPr>
      <w:spacing w:line="240" w:lineRule="auto"/>
    </w:pPr>
    <w:rPr>
      <w:sz w:val="20"/>
      <w:szCs w:val="20"/>
    </w:rPr>
  </w:style>
  <w:style w:type="character" w:customStyle="1" w:styleId="CommentTextChar">
    <w:name w:val="Comment Text Char"/>
    <w:basedOn w:val="DefaultParagraphFont"/>
    <w:link w:val="CommentText"/>
    <w:uiPriority w:val="99"/>
    <w:semiHidden/>
    <w:rsid w:val="001864C4"/>
    <w:rPr>
      <w:sz w:val="20"/>
      <w:szCs w:val="20"/>
    </w:rPr>
  </w:style>
  <w:style w:type="paragraph" w:styleId="CommentSubject">
    <w:name w:val="annotation subject"/>
    <w:basedOn w:val="CommentText"/>
    <w:next w:val="CommentText"/>
    <w:link w:val="CommentSubjectChar"/>
    <w:uiPriority w:val="99"/>
    <w:semiHidden/>
    <w:unhideWhenUsed/>
    <w:rsid w:val="001864C4"/>
    <w:rPr>
      <w:b/>
      <w:bCs/>
    </w:rPr>
  </w:style>
  <w:style w:type="character" w:customStyle="1" w:styleId="CommentSubjectChar">
    <w:name w:val="Comment Subject Char"/>
    <w:basedOn w:val="CommentTextChar"/>
    <w:link w:val="CommentSubject"/>
    <w:uiPriority w:val="99"/>
    <w:semiHidden/>
    <w:rsid w:val="001864C4"/>
    <w:rPr>
      <w:b/>
      <w:bCs/>
      <w:sz w:val="20"/>
      <w:szCs w:val="20"/>
    </w:rPr>
  </w:style>
  <w:style w:type="paragraph" w:styleId="BalloonText">
    <w:name w:val="Balloon Text"/>
    <w:basedOn w:val="Normal"/>
    <w:link w:val="BalloonTextChar"/>
    <w:uiPriority w:val="99"/>
    <w:semiHidden/>
    <w:unhideWhenUsed/>
    <w:rsid w:val="00186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4C4"/>
    <w:rPr>
      <w:rFonts w:ascii="Segoe UI" w:hAnsi="Segoe UI" w:cs="Segoe UI"/>
      <w:sz w:val="18"/>
      <w:szCs w:val="18"/>
    </w:rPr>
  </w:style>
  <w:style w:type="paragraph" w:styleId="FootnoteText">
    <w:name w:val="footnote text"/>
    <w:basedOn w:val="Normal"/>
    <w:link w:val="FootnoteTextChar"/>
    <w:uiPriority w:val="99"/>
    <w:semiHidden/>
    <w:unhideWhenUsed/>
    <w:rsid w:val="00A558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580E"/>
    <w:rPr>
      <w:sz w:val="20"/>
      <w:szCs w:val="20"/>
    </w:rPr>
  </w:style>
  <w:style w:type="character" w:styleId="FootnoteReference">
    <w:name w:val="footnote reference"/>
    <w:basedOn w:val="DefaultParagraphFont"/>
    <w:uiPriority w:val="99"/>
    <w:semiHidden/>
    <w:unhideWhenUsed/>
    <w:rsid w:val="00A5580E"/>
    <w:rPr>
      <w:vertAlign w:val="superscript"/>
    </w:rPr>
  </w:style>
  <w:style w:type="character" w:customStyle="1" w:styleId="Heading1Char">
    <w:name w:val="Heading 1 Char"/>
    <w:basedOn w:val="DefaultParagraphFont"/>
    <w:link w:val="Heading1"/>
    <w:uiPriority w:val="9"/>
    <w:rsid w:val="006A1081"/>
    <w:rPr>
      <w:rFonts w:ascii="Cambria" w:eastAsiaTheme="majorEastAsia" w:hAnsi="Cambria" w:cstheme="majorBidi"/>
      <w:b/>
      <w:color w:val="2F5496" w:themeColor="accent1" w:themeShade="BF"/>
      <w:sz w:val="32"/>
      <w:szCs w:val="32"/>
      <w:lang w:val="en-US"/>
    </w:rPr>
  </w:style>
  <w:style w:type="character" w:styleId="Strong">
    <w:name w:val="Strong"/>
    <w:basedOn w:val="DefaultParagraphFont"/>
    <w:uiPriority w:val="22"/>
    <w:qFormat/>
    <w:rsid w:val="002A5347"/>
    <w:rPr>
      <w:b/>
      <w:bCs/>
    </w:rPr>
  </w:style>
  <w:style w:type="character" w:styleId="Emphasis">
    <w:name w:val="Emphasis"/>
    <w:basedOn w:val="DefaultParagraphFont"/>
    <w:uiPriority w:val="20"/>
    <w:qFormat/>
    <w:rsid w:val="002A5347"/>
    <w:rPr>
      <w:i/>
      <w:iCs/>
    </w:rPr>
  </w:style>
  <w:style w:type="character" w:styleId="Hyperlink">
    <w:name w:val="Hyperlink"/>
    <w:basedOn w:val="DefaultParagraphFont"/>
    <w:uiPriority w:val="99"/>
    <w:semiHidden/>
    <w:unhideWhenUsed/>
    <w:rsid w:val="002A5347"/>
    <w:rPr>
      <w:color w:val="0563C1"/>
      <w:u w:val="single"/>
    </w:rPr>
  </w:style>
  <w:style w:type="paragraph" w:styleId="Header">
    <w:name w:val="header"/>
    <w:basedOn w:val="Normal"/>
    <w:link w:val="HeaderChar"/>
    <w:uiPriority w:val="99"/>
    <w:unhideWhenUsed/>
    <w:rsid w:val="00872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B0"/>
  </w:style>
  <w:style w:type="paragraph" w:styleId="Footer">
    <w:name w:val="footer"/>
    <w:basedOn w:val="Normal"/>
    <w:link w:val="FooterChar"/>
    <w:uiPriority w:val="99"/>
    <w:unhideWhenUsed/>
    <w:rsid w:val="00872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78909">
      <w:bodyDiv w:val="1"/>
      <w:marLeft w:val="0"/>
      <w:marRight w:val="0"/>
      <w:marTop w:val="0"/>
      <w:marBottom w:val="0"/>
      <w:divBdr>
        <w:top w:val="none" w:sz="0" w:space="0" w:color="auto"/>
        <w:left w:val="none" w:sz="0" w:space="0" w:color="auto"/>
        <w:bottom w:val="none" w:sz="0" w:space="0" w:color="auto"/>
        <w:right w:val="none" w:sz="0" w:space="0" w:color="auto"/>
      </w:divBdr>
    </w:div>
    <w:div w:id="158210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protect-au.mimecast.com/s/fmPBCk8vpKs7xAKwfQvTfl?domain=health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1781</Words>
  <Characters>10153</Characters>
  <Application>Microsoft Office Word</Application>
  <DocSecurity>0</DocSecurity>
  <Lines>84</Lines>
  <Paragraphs>23</Paragraphs>
  <ScaleCrop>false</ScaleCrop>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2018-05-10T18:53:00Z</dcterms:created>
  <dcterms:modified xsi:type="dcterms:W3CDTF">2018-05-10T18:55:00Z</dcterms:modified>
</cp:coreProperties>
</file>