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1DB4F" w14:textId="0ADD5410" w:rsidR="00844238" w:rsidRDefault="00493A18" w:rsidP="00844238">
      <w:pPr>
        <w:pStyle w:val="Heading1"/>
      </w:pPr>
      <w:r>
        <w:t>Health i</w:t>
      </w:r>
      <w:r w:rsidR="002D27B7">
        <w:t>mpact of hypertension control in four countries</w:t>
      </w:r>
      <w:r w:rsidR="00991C71">
        <w:t>:</w:t>
      </w:r>
      <w:r w:rsidR="00844238" w:rsidRPr="00844238">
        <w:t xml:space="preserve"> a</w:t>
      </w:r>
      <w:r w:rsidR="00991C71">
        <w:t>n</w:t>
      </w:r>
      <w:r w:rsidR="00844238" w:rsidRPr="00844238">
        <w:t xml:space="preserve"> individual-based </w:t>
      </w:r>
      <w:r w:rsidR="003632D3">
        <w:t xml:space="preserve">simulation </w:t>
      </w:r>
      <w:r w:rsidR="00844238" w:rsidRPr="00844238">
        <w:t xml:space="preserve">model calibrated to Global Burden of Disease </w:t>
      </w:r>
      <w:r w:rsidR="003632D3">
        <w:t xml:space="preserve">Study </w:t>
      </w:r>
      <w:r w:rsidR="00844238" w:rsidRPr="00844238">
        <w:t>estimates</w:t>
      </w:r>
    </w:p>
    <w:p w14:paraId="2E1E290D" w14:textId="77777777" w:rsidR="006C6504" w:rsidRDefault="006C6504" w:rsidP="00844238"/>
    <w:p w14:paraId="00154B17" w14:textId="0ADFDFAC" w:rsidR="00AA19FA" w:rsidRPr="00C22741" w:rsidRDefault="00844238" w:rsidP="00C22741">
      <w:r w:rsidRPr="00C22741">
        <w:t>Andrew Moran</w:t>
      </w:r>
      <w:r w:rsidR="0068056E">
        <w:t xml:space="preserve">, </w:t>
      </w:r>
      <w:r w:rsidR="002D27B7" w:rsidRPr="00C22741">
        <w:t xml:space="preserve">Columbia University, </w:t>
      </w:r>
      <w:r w:rsidR="0068056E">
        <w:t xml:space="preserve">USA; </w:t>
      </w:r>
      <w:r w:rsidR="0068056E">
        <w:rPr>
          <w:color w:val="333333"/>
          <w:shd w:val="clear" w:color="auto" w:fill="FFFFFF"/>
        </w:rPr>
        <w:t xml:space="preserve">Dorairaj Prabhakaran, </w:t>
      </w:r>
      <w:r w:rsidR="002E2AE9" w:rsidRPr="00C22741">
        <w:rPr>
          <w:rFonts w:eastAsia="Times New Roman"/>
        </w:rPr>
        <w:t>Public Health Foundation of India</w:t>
      </w:r>
      <w:r w:rsidR="00C22741">
        <w:rPr>
          <w:rFonts w:eastAsia="Times New Roman"/>
        </w:rPr>
        <w:t xml:space="preserve">, </w:t>
      </w:r>
      <w:r w:rsidR="002E2AE9" w:rsidRPr="00C22741">
        <w:rPr>
          <w:rFonts w:eastAsia="Times New Roman"/>
        </w:rPr>
        <w:t>Gurugram</w:t>
      </w:r>
      <w:r w:rsidR="00C22741">
        <w:rPr>
          <w:rFonts w:eastAsia="Times New Roman"/>
        </w:rPr>
        <w:t>, I</w:t>
      </w:r>
      <w:r w:rsidR="002E2AE9" w:rsidRPr="00C22741">
        <w:rPr>
          <w:rFonts w:eastAsia="Times New Roman"/>
        </w:rPr>
        <w:t>ndia</w:t>
      </w:r>
      <w:r w:rsidR="0068056E">
        <w:rPr>
          <w:rFonts w:eastAsia="Times New Roman"/>
        </w:rPr>
        <w:t xml:space="preserve"> and </w:t>
      </w:r>
      <w:r w:rsidR="002E2AE9" w:rsidRPr="00C22741">
        <w:rPr>
          <w:rFonts w:eastAsia="Times New Roman"/>
        </w:rPr>
        <w:t>London School of Hygiene and Tropical Medicine</w:t>
      </w:r>
      <w:r w:rsidR="00C22741">
        <w:rPr>
          <w:rFonts w:eastAsia="Times New Roman"/>
        </w:rPr>
        <w:t xml:space="preserve">, </w:t>
      </w:r>
      <w:r w:rsidR="002E2AE9" w:rsidRPr="00C22741">
        <w:rPr>
          <w:rFonts w:eastAsia="Times New Roman"/>
        </w:rPr>
        <w:t>London</w:t>
      </w:r>
      <w:r w:rsidR="00C22741">
        <w:rPr>
          <w:rFonts w:eastAsia="Times New Roman"/>
        </w:rPr>
        <w:t xml:space="preserve">, </w:t>
      </w:r>
      <w:r w:rsidR="002E2AE9" w:rsidRPr="00C22741">
        <w:rPr>
          <w:rFonts w:eastAsia="Times New Roman"/>
        </w:rPr>
        <w:t>United Kingdom</w:t>
      </w:r>
      <w:r w:rsidR="0068056E">
        <w:rPr>
          <w:rFonts w:eastAsia="Times New Roman"/>
        </w:rPr>
        <w:t xml:space="preserve">; </w:t>
      </w:r>
      <w:r w:rsidR="00CC3F21" w:rsidRPr="00C22741">
        <w:rPr>
          <w:bCs/>
        </w:rPr>
        <w:t>Zixiao Li</w:t>
      </w:r>
      <w:r w:rsidR="0068056E">
        <w:rPr>
          <w:bCs/>
        </w:rPr>
        <w:t xml:space="preserve">, </w:t>
      </w:r>
      <w:r w:rsidR="00CC3F21" w:rsidRPr="00C22741">
        <w:t>Tiantan Hospital,</w:t>
      </w:r>
      <w:r w:rsidR="00CC3F21" w:rsidRPr="00C22741">
        <w:rPr>
          <w:bCs/>
        </w:rPr>
        <w:t xml:space="preserve"> China</w:t>
      </w:r>
      <w:r w:rsidR="0068056E">
        <w:rPr>
          <w:bCs/>
        </w:rPr>
        <w:t xml:space="preserve">; </w:t>
      </w:r>
      <w:r w:rsidR="00013E19" w:rsidRPr="00C22741">
        <w:rPr>
          <w:bCs/>
        </w:rPr>
        <w:t>Georges Saade</w:t>
      </w:r>
      <w:r w:rsidR="0068056E">
        <w:rPr>
          <w:bCs/>
        </w:rPr>
        <w:t xml:space="preserve">, </w:t>
      </w:r>
      <w:r w:rsidR="00013E19" w:rsidRPr="00C22741">
        <w:t xml:space="preserve">Lebanese University &amp; Bellevue Medical Center </w:t>
      </w:r>
      <w:r w:rsidR="00013E19" w:rsidRPr="00C22741">
        <w:rPr>
          <w:bCs/>
        </w:rPr>
        <w:t>Lebanon</w:t>
      </w:r>
      <w:r w:rsidR="0068056E">
        <w:rPr>
          <w:bCs/>
        </w:rPr>
        <w:t xml:space="preserve">; </w:t>
      </w:r>
      <w:r w:rsidR="00CC3F21" w:rsidRPr="00C22741">
        <w:rPr>
          <w:bCs/>
        </w:rPr>
        <w:t>Paola Santalucia</w:t>
      </w:r>
      <w:r w:rsidR="0068056E">
        <w:rPr>
          <w:bCs/>
        </w:rPr>
        <w:t xml:space="preserve">, </w:t>
      </w:r>
      <w:r w:rsidR="00CC3F21" w:rsidRPr="00C22741">
        <w:t xml:space="preserve">Foundation IRCCS Maggiore Hospital Policlinico, </w:t>
      </w:r>
      <w:r w:rsidR="00CC3F21" w:rsidRPr="00C22741">
        <w:rPr>
          <w:bCs/>
        </w:rPr>
        <w:t>Italy</w:t>
      </w:r>
      <w:r w:rsidR="0068056E">
        <w:rPr>
          <w:bCs/>
        </w:rPr>
        <w:t xml:space="preserve">; </w:t>
      </w:r>
      <w:r w:rsidR="00CC3F21" w:rsidRPr="00C22741">
        <w:rPr>
          <w:bCs/>
        </w:rPr>
        <w:t>Anthony Rodgers</w:t>
      </w:r>
      <w:r w:rsidR="0068056E">
        <w:rPr>
          <w:bCs/>
        </w:rPr>
        <w:t xml:space="preserve">, </w:t>
      </w:r>
      <w:r w:rsidR="00CC3F21" w:rsidRPr="00C22741">
        <w:t xml:space="preserve">The George Institute, </w:t>
      </w:r>
      <w:r w:rsidR="00CC3F21" w:rsidRPr="00C22741">
        <w:rPr>
          <w:bCs/>
        </w:rPr>
        <w:t>Australia</w:t>
      </w:r>
      <w:r w:rsidR="0068056E">
        <w:rPr>
          <w:bCs/>
        </w:rPr>
        <w:t xml:space="preserve">; </w:t>
      </w:r>
      <w:r w:rsidRPr="00C22741">
        <w:t>Abraham D. Flaxman</w:t>
      </w:r>
      <w:r w:rsidR="0068056E">
        <w:t xml:space="preserve">, </w:t>
      </w:r>
      <w:r w:rsidR="00AA19FA" w:rsidRPr="00C22741">
        <w:t>Institute for Health Metrics and Evaluation, University of Washi</w:t>
      </w:r>
      <w:r w:rsidR="00C22741">
        <w:t>ngton, USA</w:t>
      </w:r>
      <w:r w:rsidR="0068056E">
        <w:t>.</w:t>
      </w:r>
      <w:bookmarkStart w:id="0" w:name="_GoBack"/>
      <w:bookmarkEnd w:id="0"/>
    </w:p>
    <w:p w14:paraId="5F5164C2" w14:textId="7006224B" w:rsidR="002164B5" w:rsidRDefault="002755A0" w:rsidP="002164B5">
      <w:pPr>
        <w:pStyle w:val="Heading1"/>
      </w:pPr>
      <w:r>
        <w:t>Research Objective</w:t>
      </w:r>
    </w:p>
    <w:p w14:paraId="509359A4" w14:textId="1C56B3CF" w:rsidR="002164B5" w:rsidRDefault="003632D3" w:rsidP="002164B5">
      <w:r>
        <w:t xml:space="preserve">Globally, </w:t>
      </w:r>
      <w:r w:rsidR="00E87F46">
        <w:t xml:space="preserve">218 million </w:t>
      </w:r>
      <w:r w:rsidR="00991C71">
        <w:t xml:space="preserve">disability adjusted life years (DALYs) </w:t>
      </w:r>
      <w:r>
        <w:t>were lost due to systolic blood pressure</w:t>
      </w:r>
      <w:r w:rsidR="00E81827">
        <w:t xml:space="preserve"> (SBP)</w:t>
      </w:r>
      <w:r>
        <w:t xml:space="preserve"> </w:t>
      </w:r>
      <w:r w:rsidRPr="000D5E34">
        <w:rPr>
          <w:rFonts w:ascii="MS Gothic" w:eastAsia="MS Gothic" w:hAnsi="MS Gothic"/>
          <w:color w:val="000000"/>
        </w:rPr>
        <w:t>≥</w:t>
      </w:r>
      <w:r>
        <w:t xml:space="preserve">140 mmHg </w:t>
      </w:r>
      <w:r w:rsidR="00991C71">
        <w:t>in 201</w:t>
      </w:r>
      <w:r w:rsidR="00E87F46">
        <w:t>7</w:t>
      </w:r>
      <w:r w:rsidR="00991C71">
        <w:t xml:space="preserve">. </w:t>
      </w:r>
      <w:r>
        <w:t>The effectiveness of</w:t>
      </w:r>
      <w:r w:rsidR="00991C71">
        <w:t xml:space="preserve"> low-cost </w:t>
      </w:r>
      <w:r>
        <w:t>antihypertensive medications is established</w:t>
      </w:r>
      <w:r w:rsidR="00991C71">
        <w:t xml:space="preserve">, but </w:t>
      </w:r>
      <w:r w:rsidR="002D27B7">
        <w:t xml:space="preserve">hypertension screening and </w:t>
      </w:r>
      <w:r>
        <w:t xml:space="preserve">medication </w:t>
      </w:r>
      <w:r w:rsidR="00991C71">
        <w:t xml:space="preserve">coverage varies widely </w:t>
      </w:r>
      <w:r>
        <w:t>among countries</w:t>
      </w:r>
      <w:r w:rsidR="00991C71">
        <w:t xml:space="preserve">.  </w:t>
      </w:r>
      <w:r w:rsidR="00AA19FA">
        <w:t>We projected the potential impact of an opportunistic hypertension screening program coupled with treatment with fixed dose combination (FDC) antihypertensive medications in four countries using a</w:t>
      </w:r>
      <w:r>
        <w:t xml:space="preserve"> </w:t>
      </w:r>
      <w:r w:rsidR="00991C71">
        <w:t>computer</w:t>
      </w:r>
      <w:r w:rsidR="001D0DD9">
        <w:t xml:space="preserve"> simulation</w:t>
      </w:r>
      <w:r w:rsidR="00991C71">
        <w:t xml:space="preserve"> </w:t>
      </w:r>
      <w:r>
        <w:t xml:space="preserve">model </w:t>
      </w:r>
      <w:r w:rsidR="001D0DD9">
        <w:t xml:space="preserve">of hypertension treatment </w:t>
      </w:r>
      <w:r w:rsidR="0073485F">
        <w:t>based on</w:t>
      </w:r>
      <w:r w:rsidR="001D0DD9">
        <w:t xml:space="preserve"> </w:t>
      </w:r>
      <w:r w:rsidR="009C11B5">
        <w:t xml:space="preserve">country-level estimates from the </w:t>
      </w:r>
      <w:r w:rsidR="00991C71">
        <w:t xml:space="preserve">Global Burden of Disease (GBD) </w:t>
      </w:r>
      <w:r w:rsidR="001D0DD9">
        <w:t>Study .</w:t>
      </w:r>
    </w:p>
    <w:p w14:paraId="3FE2C963" w14:textId="3009FD7C" w:rsidR="002164B5" w:rsidRDefault="002755A0" w:rsidP="002164B5">
      <w:pPr>
        <w:pStyle w:val="Heading1"/>
      </w:pPr>
      <w:r>
        <w:t>Study Design</w:t>
      </w:r>
    </w:p>
    <w:p w14:paraId="479D7317" w14:textId="1DBE1F12" w:rsidR="002755A0" w:rsidRDefault="00BD527C" w:rsidP="00BD527C">
      <w:r>
        <w:t>We developed</w:t>
      </w:r>
      <w:r w:rsidRPr="009D38F2">
        <w:t xml:space="preserve"> a</w:t>
      </w:r>
      <w:r>
        <w:t>n individual-based,</w:t>
      </w:r>
      <w:r w:rsidRPr="009D38F2">
        <w:t xml:space="preserve"> discrete-time Markov model </w:t>
      </w:r>
      <w:r>
        <w:t xml:space="preserve">of </w:t>
      </w:r>
      <w:r w:rsidRPr="009D38F2">
        <w:t>disease and risk factor prevalence, incidence, and mortality</w:t>
      </w:r>
      <w:r>
        <w:t xml:space="preserve">. </w:t>
      </w:r>
      <w:r w:rsidR="00612B0C">
        <w:t xml:space="preserve">In </w:t>
      </w:r>
      <w:r w:rsidR="009D1EE2">
        <w:t>each cycle,</w:t>
      </w:r>
      <w:r w:rsidR="000C4719">
        <w:t xml:space="preserve"> </w:t>
      </w:r>
      <w:r w:rsidR="007B22A3">
        <w:t xml:space="preserve">we exposed </w:t>
      </w:r>
      <w:r w:rsidR="00612B0C">
        <w:t xml:space="preserve">individuals </w:t>
      </w:r>
      <w:r w:rsidR="007B22A3">
        <w:t xml:space="preserve">to </w:t>
      </w:r>
      <w:r w:rsidR="009D1EE2">
        <w:t>risk of nonfatal or fata</w:t>
      </w:r>
      <w:r w:rsidR="006A41E8">
        <w:t>l</w:t>
      </w:r>
      <w:r w:rsidR="00612B0C">
        <w:t xml:space="preserve"> </w:t>
      </w:r>
      <w:r w:rsidR="00991C71">
        <w:t>ischemic heart disease</w:t>
      </w:r>
      <w:r w:rsidR="009D1EE2">
        <w:t>,</w:t>
      </w:r>
      <w:r w:rsidR="00991C71">
        <w:t xml:space="preserve"> ischemic</w:t>
      </w:r>
      <w:r w:rsidR="009D1EE2">
        <w:t xml:space="preserve"> stroke,</w:t>
      </w:r>
      <w:r w:rsidR="00612B0C">
        <w:t xml:space="preserve"> </w:t>
      </w:r>
      <w:r w:rsidR="009E2F9E">
        <w:t xml:space="preserve">or </w:t>
      </w:r>
      <w:r w:rsidR="00612B0C">
        <w:t>hemorrhagic stroke</w:t>
      </w:r>
      <w:r w:rsidR="000C4719">
        <w:t xml:space="preserve">, </w:t>
      </w:r>
      <w:r w:rsidR="009D1EE2">
        <w:t>or</w:t>
      </w:r>
      <w:r w:rsidR="00612B0C">
        <w:t xml:space="preserve"> mortality </w:t>
      </w:r>
      <w:r w:rsidR="009D1EE2">
        <w:t>from other causes.</w:t>
      </w:r>
      <w:r w:rsidR="00991C71">
        <w:t xml:space="preserve"> </w:t>
      </w:r>
      <w:r w:rsidR="007B22A3">
        <w:t>We calibrated m</w:t>
      </w:r>
      <w:r w:rsidR="00E81827">
        <w:t xml:space="preserve">odel output </w:t>
      </w:r>
      <w:r w:rsidR="00991C71">
        <w:t xml:space="preserve">to match </w:t>
      </w:r>
      <w:r w:rsidR="00E81827">
        <w:t xml:space="preserve">country-level </w:t>
      </w:r>
      <w:r w:rsidR="00991C71">
        <w:t>GBD incidence</w:t>
      </w:r>
      <w:r w:rsidR="00E81827">
        <w:t xml:space="preserve">, </w:t>
      </w:r>
      <w:r w:rsidR="00991C71">
        <w:t>cause-specific mortality</w:t>
      </w:r>
      <w:r w:rsidR="00E81827">
        <w:t xml:space="preserve">, </w:t>
      </w:r>
      <w:r w:rsidR="00E81827" w:rsidRPr="00132B3B">
        <w:t>and all-cause mortality</w:t>
      </w:r>
      <w:r w:rsidR="00612B0C">
        <w:t xml:space="preserve">. </w:t>
      </w:r>
      <w:r w:rsidR="00132B3B">
        <w:t>We assigned e</w:t>
      </w:r>
      <w:r w:rsidR="000C4719">
        <w:t>ach individual</w:t>
      </w:r>
      <w:r w:rsidR="00612B0C">
        <w:t xml:space="preserve"> </w:t>
      </w:r>
      <w:r w:rsidR="00E81827">
        <w:t>a</w:t>
      </w:r>
      <w:r w:rsidR="00132B3B">
        <w:t xml:space="preserve"> sex and a time-varying</w:t>
      </w:r>
      <w:r w:rsidR="003705C3">
        <w:t xml:space="preserve"> age, </w:t>
      </w:r>
      <w:r w:rsidR="00612B0C">
        <w:t>systolic blood pressure, fasting plasma glucose, kidney function</w:t>
      </w:r>
      <w:r w:rsidR="00E81827">
        <w:t xml:space="preserve"> status</w:t>
      </w:r>
      <w:r w:rsidR="003705C3">
        <w:t>, and hypertension treatment status</w:t>
      </w:r>
      <w:r w:rsidR="00E81827">
        <w:t xml:space="preserve">. </w:t>
      </w:r>
      <w:r w:rsidR="007B22A3">
        <w:t xml:space="preserve">In the treatment </w:t>
      </w:r>
      <w:r w:rsidR="00E81827">
        <w:t>scenario</w:t>
      </w:r>
      <w:r w:rsidR="007B22A3">
        <w:t>, we</w:t>
      </w:r>
      <w:r w:rsidR="00E81827">
        <w:t xml:space="preserve"> </w:t>
      </w:r>
      <w:r w:rsidR="007B22A3">
        <w:t xml:space="preserve">simulated a program consisting of an opportunistic hypertension screening </w:t>
      </w:r>
      <w:r w:rsidR="009C11B5">
        <w:t xml:space="preserve">(using age-/sex-/location-specific outpatient visit rates to simulate screening opportunities) </w:t>
      </w:r>
      <w:r w:rsidR="007B22A3">
        <w:t xml:space="preserve">and treatment with FDC for </w:t>
      </w:r>
      <w:r w:rsidR="00B82E03">
        <w:t xml:space="preserve">individuals </w:t>
      </w:r>
      <w:r w:rsidR="007B22A3">
        <w:t xml:space="preserve">age 40+ </w:t>
      </w:r>
      <w:r w:rsidR="00B82E03">
        <w:t xml:space="preserve">with </w:t>
      </w:r>
      <w:r w:rsidR="007B22A3">
        <w:t xml:space="preserve">measured </w:t>
      </w:r>
      <w:r w:rsidR="00B82E03">
        <w:t xml:space="preserve">SBP </w:t>
      </w:r>
      <w:r w:rsidR="00B82E03" w:rsidRPr="000D5E34">
        <w:rPr>
          <w:rFonts w:ascii="MS Gothic" w:eastAsia="MS Gothic" w:hAnsi="MS Gothic"/>
          <w:color w:val="000000"/>
        </w:rPr>
        <w:t>≥</w:t>
      </w:r>
      <w:r w:rsidR="00B82E03">
        <w:t>140 mmHg</w:t>
      </w:r>
      <w:r w:rsidR="009C11B5">
        <w:t>,</w:t>
      </w:r>
      <w:r w:rsidR="00B82E03">
        <w:t xml:space="preserve"> </w:t>
      </w:r>
      <w:r w:rsidR="007B22A3">
        <w:t>including</w:t>
      </w:r>
      <w:r w:rsidR="002D27B7">
        <w:t xml:space="preserve"> </w:t>
      </w:r>
      <w:r w:rsidR="007B22A3">
        <w:t xml:space="preserve">untreated hypertension as well as treated, but uncontrolled hypertension. We compared population health under this intervention with </w:t>
      </w:r>
      <w:r w:rsidR="00B82E03">
        <w:t xml:space="preserve">the </w:t>
      </w:r>
      <w:r w:rsidR="006B60D7">
        <w:t>current standard of care</w:t>
      </w:r>
      <w:r w:rsidR="005D5920">
        <w:t>.</w:t>
      </w:r>
      <w:r w:rsidR="00612B0C">
        <w:t xml:space="preserve"> To capture real-world </w:t>
      </w:r>
      <w:r w:rsidR="00E81827">
        <w:t xml:space="preserve">challenges to </w:t>
      </w:r>
      <w:r w:rsidR="00B82E03">
        <w:t xml:space="preserve">quality </w:t>
      </w:r>
      <w:r w:rsidR="00125962">
        <w:t xml:space="preserve">hypertension </w:t>
      </w:r>
      <w:r w:rsidR="00B82E03">
        <w:t xml:space="preserve">screening and </w:t>
      </w:r>
      <w:r w:rsidR="00E81827">
        <w:t>treatment</w:t>
      </w:r>
      <w:r w:rsidR="00612B0C">
        <w:t xml:space="preserve">, we included SBP measurement error, </w:t>
      </w:r>
      <w:r w:rsidR="00E81827">
        <w:t xml:space="preserve">risk of </w:t>
      </w:r>
      <w:r w:rsidR="00125962">
        <w:t xml:space="preserve">medication-related </w:t>
      </w:r>
      <w:r w:rsidR="002D59AB">
        <w:t>adverse events leading treatment</w:t>
      </w:r>
      <w:r w:rsidR="00E81827">
        <w:t xml:space="preserve"> discontinuation</w:t>
      </w:r>
      <w:r w:rsidR="002D59AB">
        <w:t xml:space="preserve">, and </w:t>
      </w:r>
      <w:r w:rsidR="00612B0C">
        <w:t>therapeutic inertia</w:t>
      </w:r>
      <w:r w:rsidR="002D59AB">
        <w:t xml:space="preserve"> </w:t>
      </w:r>
      <w:r w:rsidR="00E81827">
        <w:t xml:space="preserve">(failure to intensify antihypertensive treatment </w:t>
      </w:r>
      <w:r w:rsidR="00125962">
        <w:t>given</w:t>
      </w:r>
      <w:r w:rsidR="00B82E03">
        <w:t xml:space="preserve"> </w:t>
      </w:r>
      <w:r w:rsidR="00E81827">
        <w:t>uncontrolled SBP).</w:t>
      </w:r>
    </w:p>
    <w:p w14:paraId="1EEB4C91" w14:textId="29803E5E" w:rsidR="002755A0" w:rsidRDefault="002755A0" w:rsidP="00AA19FA">
      <w:pPr>
        <w:pStyle w:val="Heading1"/>
      </w:pPr>
      <w:r w:rsidRPr="002755A0">
        <w:t>Population Studied</w:t>
      </w:r>
    </w:p>
    <w:p w14:paraId="1AAFB4C9" w14:textId="21BAC245" w:rsidR="002755A0" w:rsidRPr="009D38F2" w:rsidRDefault="002755A0" w:rsidP="002755A0">
      <w:r>
        <w:t xml:space="preserve">We </w:t>
      </w:r>
      <w:r w:rsidR="007A518E">
        <w:t xml:space="preserve">generated 1,000 replicates of </w:t>
      </w:r>
      <w:r>
        <w:t xml:space="preserve">cohorts of 1,000,000 adults representing the population aged </w:t>
      </w:r>
      <w:r w:rsidRPr="000D5E34">
        <w:rPr>
          <w:rFonts w:ascii="MS Gothic" w:eastAsia="MS Gothic" w:hAnsi="MS Gothic"/>
          <w:color w:val="000000"/>
        </w:rPr>
        <w:t>≥</w:t>
      </w:r>
      <w:r>
        <w:t>35 years in each of four middle-income countries (</w:t>
      </w:r>
      <w:r w:rsidRPr="006534E3">
        <w:rPr>
          <w:lang w:val="it-IT"/>
        </w:rPr>
        <w:t>Brazil, Russia</w:t>
      </w:r>
      <w:r>
        <w:rPr>
          <w:lang w:val="it-IT"/>
        </w:rPr>
        <w:t>,</w:t>
      </w:r>
      <w:r w:rsidRPr="006534E3">
        <w:rPr>
          <w:lang w:val="it-IT"/>
        </w:rPr>
        <w:t xml:space="preserve"> India</w:t>
      </w:r>
      <w:r>
        <w:rPr>
          <w:lang w:val="it-IT"/>
        </w:rPr>
        <w:t>,</w:t>
      </w:r>
      <w:r w:rsidRPr="006534E3">
        <w:rPr>
          <w:lang w:val="it-IT"/>
        </w:rPr>
        <w:t xml:space="preserve"> </w:t>
      </w:r>
      <w:r>
        <w:rPr>
          <w:lang w:val="it-IT"/>
        </w:rPr>
        <w:t xml:space="preserve">and </w:t>
      </w:r>
      <w:r w:rsidRPr="006534E3">
        <w:rPr>
          <w:lang w:val="it-IT"/>
        </w:rPr>
        <w:t>China</w:t>
      </w:r>
      <w:r>
        <w:rPr>
          <w:lang w:val="it-IT"/>
        </w:rPr>
        <w:t>)</w:t>
      </w:r>
      <w:r>
        <w:t>.</w:t>
      </w:r>
    </w:p>
    <w:p w14:paraId="1CD1A9B8" w14:textId="14BB848C" w:rsidR="002164B5" w:rsidRDefault="002755A0" w:rsidP="002164B5">
      <w:pPr>
        <w:pStyle w:val="Heading1"/>
      </w:pPr>
      <w:r>
        <w:t>Principal Findings</w:t>
      </w:r>
    </w:p>
    <w:p w14:paraId="3268C2B3" w14:textId="15A8DF89" w:rsidR="002164B5" w:rsidRDefault="00D878AE" w:rsidP="002164B5">
      <w:r>
        <w:t>A</w:t>
      </w:r>
      <w:r w:rsidR="00EC796D">
        <w:t>ge-standardized c</w:t>
      </w:r>
      <w:r w:rsidR="002164B5">
        <w:t>hange in SBP </w:t>
      </w:r>
      <w:r>
        <w:t xml:space="preserve">with FDC treatment </w:t>
      </w:r>
      <w:r w:rsidR="00C14AC0">
        <w:t xml:space="preserve">varied </w:t>
      </w:r>
      <w:r>
        <w:t>among countries</w:t>
      </w:r>
      <w:r w:rsidR="00C14AC0">
        <w:t xml:space="preserve">, from a mean </w:t>
      </w:r>
      <w:r w:rsidR="00D82198">
        <w:t xml:space="preserve">reduction of </w:t>
      </w:r>
      <w:r w:rsidR="0015615B">
        <w:t>6.23</w:t>
      </w:r>
      <w:r w:rsidR="00C14AC0">
        <w:t xml:space="preserve"> mmHg in </w:t>
      </w:r>
      <w:r w:rsidR="0015615B">
        <w:t xml:space="preserve">India </w:t>
      </w:r>
      <w:r w:rsidR="00C14AC0">
        <w:t xml:space="preserve">to </w:t>
      </w:r>
      <w:r w:rsidR="0015615B">
        <w:t xml:space="preserve">8.21 </w:t>
      </w:r>
      <w:r w:rsidR="00C14AC0">
        <w:t>mmHg in Russia</w:t>
      </w:r>
      <w:r w:rsidR="00025961">
        <w:t xml:space="preserve">; this corresponded to a change in the </w:t>
      </w:r>
      <w:r w:rsidR="00025961">
        <w:lastRenderedPageBreak/>
        <w:t>percent controlled of 14.2 percentage points (pp) in India to 18.4 pp in Russia</w:t>
      </w:r>
      <w:r w:rsidR="002164B5">
        <w:t xml:space="preserve">. </w:t>
      </w:r>
      <w:r>
        <w:t xml:space="preserve">Reduction in </w:t>
      </w:r>
      <w:r w:rsidR="00D73E2A">
        <w:t xml:space="preserve">average number of days lived with uncontrolled hypertension varied </w:t>
      </w:r>
      <w:r>
        <w:t>from</w:t>
      </w:r>
      <w:r w:rsidR="00D73E2A">
        <w:t xml:space="preserve"> </w:t>
      </w:r>
      <w:r>
        <w:t xml:space="preserve">a mean of </w:t>
      </w:r>
      <w:r w:rsidR="00DD1AF4">
        <w:t>41</w:t>
      </w:r>
      <w:r w:rsidR="004F2240">
        <w:t xml:space="preserve"> </w:t>
      </w:r>
      <w:r w:rsidR="00203EEE">
        <w:t xml:space="preserve">days </w:t>
      </w:r>
      <w:r>
        <w:t xml:space="preserve">uncontrolled </w:t>
      </w:r>
      <w:r w:rsidR="00203EEE">
        <w:t xml:space="preserve">per </w:t>
      </w:r>
      <w:r>
        <w:t>patient</w:t>
      </w:r>
      <w:r w:rsidR="004F2240">
        <w:t>-year</w:t>
      </w:r>
      <w:r>
        <w:t xml:space="preserve"> </w:t>
      </w:r>
      <w:r w:rsidR="00D73E2A">
        <w:t>in Chi</w:t>
      </w:r>
      <w:r w:rsidR="00203EEE">
        <w:t xml:space="preserve">na to </w:t>
      </w:r>
      <w:r w:rsidR="004F2240">
        <w:t xml:space="preserve">58 </w:t>
      </w:r>
      <w:r w:rsidR="00203EEE">
        <w:t>in Russia</w:t>
      </w:r>
      <w:r w:rsidR="002164B5">
        <w:t xml:space="preserve">. DALYs </w:t>
      </w:r>
      <w:r w:rsidR="00203EEE">
        <w:t xml:space="preserve">averted </w:t>
      </w:r>
      <w:r w:rsidR="00B82E03">
        <w:t xml:space="preserve">with FDC treatment </w:t>
      </w:r>
      <w:r w:rsidR="00203EEE">
        <w:t xml:space="preserve">varied from </w:t>
      </w:r>
      <w:r w:rsidR="0015615B">
        <w:t xml:space="preserve">991 </w:t>
      </w:r>
      <w:r w:rsidR="00203EEE">
        <w:t xml:space="preserve">per 100,000 </w:t>
      </w:r>
      <w:r>
        <w:t xml:space="preserve">person-years in </w:t>
      </w:r>
      <w:r w:rsidR="0015615B">
        <w:t xml:space="preserve">Brazil </w:t>
      </w:r>
      <w:r>
        <w:t xml:space="preserve">to </w:t>
      </w:r>
      <w:r w:rsidR="0015615B">
        <w:t xml:space="preserve">2,960 </w:t>
      </w:r>
      <w:r>
        <w:t xml:space="preserve">in </w:t>
      </w:r>
      <w:r w:rsidR="0015615B">
        <w:t>Russia</w:t>
      </w:r>
      <w:r w:rsidR="00203EEE">
        <w:t>.</w:t>
      </w:r>
    </w:p>
    <w:p w14:paraId="496B82A1" w14:textId="3C7F3B39" w:rsidR="007A518E" w:rsidRDefault="007A518E" w:rsidP="002164B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967"/>
        <w:gridCol w:w="1494"/>
        <w:gridCol w:w="1624"/>
        <w:gridCol w:w="36"/>
        <w:gridCol w:w="2274"/>
      </w:tblGrid>
      <w:tr w:rsidR="00025961" w:rsidRPr="007A518E" w14:paraId="2C0D2D2F" w14:textId="77777777" w:rsidTr="00AA19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5CF4A" w14:textId="77777777" w:rsidR="00025961" w:rsidRPr="007A518E" w:rsidRDefault="00025961" w:rsidP="0002596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DFCE8" w14:textId="0EE24F16" w:rsidR="00025961" w:rsidRPr="007A518E" w:rsidRDefault="00025961">
            <w:pPr>
              <w:rPr>
                <w:b/>
                <w:bCs/>
              </w:rPr>
            </w:pPr>
            <w:r w:rsidRPr="007A518E">
              <w:rPr>
                <w:b/>
                <w:bCs/>
              </w:rPr>
              <w:t>DALYs Averted</w:t>
            </w:r>
            <w:r>
              <w:rPr>
                <w:b/>
                <w:bCs/>
              </w:rPr>
              <w:br/>
              <w:t xml:space="preserve">(per 100,000 PY)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C44DF" w14:textId="6634C757" w:rsidR="00025961" w:rsidRPr="007A518E" w:rsidRDefault="00025961" w:rsidP="00025961">
            <w:pPr>
              <w:rPr>
                <w:b/>
                <w:bCs/>
              </w:rPr>
            </w:pPr>
            <w:r w:rsidRPr="007A518E">
              <w:rPr>
                <w:b/>
                <w:bCs/>
              </w:rPr>
              <w:t>Shift in SBP</w:t>
            </w:r>
            <w:r>
              <w:rPr>
                <w:b/>
                <w:bCs/>
              </w:rPr>
              <w:br/>
              <w:t>(mmHg)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8E83" w14:textId="6149CF5C" w:rsidR="00025961" w:rsidRDefault="00025961" w:rsidP="00025961">
            <w:pPr>
              <w:rPr>
                <w:b/>
                <w:bCs/>
              </w:rPr>
            </w:pPr>
            <w:r w:rsidRPr="00025961">
              <w:rPr>
                <w:b/>
                <w:bCs/>
              </w:rPr>
              <w:t>Change in</w:t>
            </w:r>
            <w:r>
              <w:rPr>
                <w:b/>
                <w:bCs/>
              </w:rPr>
              <w:t xml:space="preserve"> %</w:t>
            </w:r>
          </w:p>
          <w:p w14:paraId="07C8D1D2" w14:textId="1F74EC12" w:rsidR="00025961" w:rsidRPr="007A518E" w:rsidRDefault="00025961">
            <w:pPr>
              <w:rPr>
                <w:b/>
                <w:bCs/>
              </w:rPr>
            </w:pPr>
            <w:r>
              <w:rPr>
                <w:b/>
                <w:bCs/>
              </w:rPr>
              <w:t>Controlled (pp)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37FB5" w14:textId="5895D993" w:rsidR="00025961" w:rsidRPr="007A518E" w:rsidRDefault="00025961" w:rsidP="0002596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AEAC3" w14:textId="74DDFB6D" w:rsidR="00025961" w:rsidRPr="007A518E" w:rsidRDefault="00025961">
            <w:pPr>
              <w:rPr>
                <w:b/>
                <w:bCs/>
              </w:rPr>
            </w:pPr>
            <w:r w:rsidRPr="007A518E">
              <w:rPr>
                <w:b/>
                <w:bCs/>
              </w:rPr>
              <w:t>Change in</w:t>
            </w:r>
            <w:r>
              <w:rPr>
                <w:b/>
                <w:bCs/>
              </w:rPr>
              <w:t xml:space="preserve"> Time</w:t>
            </w:r>
            <w:r>
              <w:rPr>
                <w:b/>
                <w:bCs/>
              </w:rPr>
              <w:br/>
            </w:r>
            <w:r w:rsidRPr="007A518E">
              <w:rPr>
                <w:b/>
                <w:bCs/>
              </w:rPr>
              <w:t>Uncontrolled</w:t>
            </w:r>
            <w:r>
              <w:rPr>
                <w:b/>
                <w:bCs/>
              </w:rPr>
              <w:t xml:space="preserve"> (days)</w:t>
            </w:r>
          </w:p>
        </w:tc>
      </w:tr>
      <w:tr w:rsidR="00025961" w:rsidRPr="007A518E" w14:paraId="1488A137" w14:textId="77777777" w:rsidTr="00AA19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EDFBF" w14:textId="77777777" w:rsidR="00025961" w:rsidRPr="007A518E" w:rsidRDefault="00025961" w:rsidP="00025961">
            <w:pPr>
              <w:rPr>
                <w:b/>
                <w:bCs/>
              </w:rPr>
            </w:pPr>
            <w:r w:rsidRPr="007A518E">
              <w:rPr>
                <w:b/>
                <w:bCs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A7389" w14:textId="77777777" w:rsidR="00025961" w:rsidRPr="007A518E" w:rsidRDefault="00025961" w:rsidP="00025961">
            <w:r w:rsidRPr="007A518E">
              <w:t>991.0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1DBF" w14:textId="77777777" w:rsidR="00025961" w:rsidRPr="007A518E" w:rsidRDefault="00025961" w:rsidP="00025961">
            <w:r w:rsidRPr="007A518E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1A151" w14:textId="379B7030" w:rsidR="00025961" w:rsidRPr="007A518E" w:rsidRDefault="00025961" w:rsidP="00025961">
            <w: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4EA24" w14:textId="3E260A9B" w:rsidR="00025961" w:rsidRPr="007A518E" w:rsidRDefault="00025961" w:rsidP="0002596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4ED18" w14:textId="38470704" w:rsidR="00025961" w:rsidRPr="007A518E" w:rsidRDefault="00025961" w:rsidP="00025961">
            <w:r w:rsidRPr="007A518E">
              <w:t>55.2</w:t>
            </w:r>
          </w:p>
        </w:tc>
      </w:tr>
      <w:tr w:rsidR="00025961" w:rsidRPr="007A518E" w14:paraId="0BE5B45B" w14:textId="77777777" w:rsidTr="00AA19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D793F" w14:textId="77777777" w:rsidR="00025961" w:rsidRPr="007A518E" w:rsidRDefault="00025961" w:rsidP="00025961">
            <w:pPr>
              <w:rPr>
                <w:b/>
                <w:bCs/>
              </w:rPr>
            </w:pPr>
            <w:r w:rsidRPr="007A518E">
              <w:rPr>
                <w:b/>
                <w:bCs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13D8E" w14:textId="77777777" w:rsidR="00025961" w:rsidRPr="007A518E" w:rsidRDefault="00025961" w:rsidP="00025961">
            <w:r w:rsidRPr="007A518E">
              <w:t>1524.2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337FE" w14:textId="77777777" w:rsidR="00025961" w:rsidRPr="007A518E" w:rsidRDefault="00025961" w:rsidP="00025961">
            <w:r w:rsidRPr="007A518E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79A11A" w14:textId="209D8FD2" w:rsidR="00025961" w:rsidRPr="007A518E" w:rsidRDefault="00025961" w:rsidP="00025961">
            <w: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C7C877" w14:textId="2646856E" w:rsidR="00025961" w:rsidRPr="007A518E" w:rsidRDefault="00025961" w:rsidP="0002596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7E915" w14:textId="43F72EB6" w:rsidR="00025961" w:rsidRPr="007A518E" w:rsidRDefault="00025961" w:rsidP="00025961">
            <w:r w:rsidRPr="007A518E">
              <w:t>44.7</w:t>
            </w:r>
          </w:p>
        </w:tc>
      </w:tr>
      <w:tr w:rsidR="00025961" w:rsidRPr="007A518E" w14:paraId="429D97A2" w14:textId="77777777" w:rsidTr="00AA19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4C5ED" w14:textId="77777777" w:rsidR="00025961" w:rsidRPr="007A518E" w:rsidRDefault="00025961" w:rsidP="00025961">
            <w:pPr>
              <w:rPr>
                <w:b/>
                <w:bCs/>
              </w:rPr>
            </w:pPr>
            <w:r w:rsidRPr="007A518E">
              <w:rPr>
                <w:b/>
                <w:bCs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9D7C9" w14:textId="77777777" w:rsidR="00025961" w:rsidRPr="007A518E" w:rsidRDefault="00025961" w:rsidP="00025961">
            <w:r w:rsidRPr="007A518E">
              <w:t>1604.7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06D2" w14:textId="77777777" w:rsidR="00025961" w:rsidRPr="007A518E" w:rsidRDefault="00025961" w:rsidP="00025961">
            <w:r w:rsidRPr="007A518E"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6D4B" w14:textId="34ACEFF8" w:rsidR="00025961" w:rsidRPr="007A518E" w:rsidRDefault="00025961" w:rsidP="00025961">
            <w: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9F711" w14:textId="272661FA" w:rsidR="00025961" w:rsidRPr="007A518E" w:rsidRDefault="00025961" w:rsidP="0002596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A8719" w14:textId="176280F5" w:rsidR="00025961" w:rsidRPr="007A518E" w:rsidRDefault="00025961" w:rsidP="00025961">
            <w:r w:rsidRPr="007A518E">
              <w:t>40.8</w:t>
            </w:r>
          </w:p>
        </w:tc>
      </w:tr>
      <w:tr w:rsidR="00025961" w:rsidRPr="007A518E" w14:paraId="429329D5" w14:textId="77777777" w:rsidTr="00AA19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EFB9E" w14:textId="77777777" w:rsidR="00025961" w:rsidRPr="007A518E" w:rsidRDefault="00025961" w:rsidP="00025961">
            <w:pPr>
              <w:rPr>
                <w:b/>
                <w:bCs/>
              </w:rPr>
            </w:pPr>
            <w:r w:rsidRPr="007A518E">
              <w:rPr>
                <w:b/>
                <w:bCs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7A71A" w14:textId="77777777" w:rsidR="00025961" w:rsidRPr="007A518E" w:rsidRDefault="00025961" w:rsidP="00025961">
            <w:r w:rsidRPr="007A518E">
              <w:t>2963.8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26DF4" w14:textId="77777777" w:rsidR="00025961" w:rsidRPr="007A518E" w:rsidRDefault="00025961" w:rsidP="00025961">
            <w:r w:rsidRPr="007A518E"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EDACC" w14:textId="1CFB514D" w:rsidR="00025961" w:rsidRPr="007A518E" w:rsidRDefault="00025961" w:rsidP="00025961">
            <w: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24F414" w14:textId="613295EF" w:rsidR="00025961" w:rsidRPr="007A518E" w:rsidRDefault="00025961" w:rsidP="0002596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1DDB" w14:textId="68882CA0" w:rsidR="00025961" w:rsidRPr="007A518E" w:rsidRDefault="00025961" w:rsidP="00025961">
            <w:r w:rsidRPr="007A518E">
              <w:t>58.0</w:t>
            </w:r>
          </w:p>
        </w:tc>
      </w:tr>
    </w:tbl>
    <w:p w14:paraId="780FC049" w14:textId="77777777" w:rsidR="007A518E" w:rsidRDefault="007A518E" w:rsidP="002164B5"/>
    <w:p w14:paraId="7802121C" w14:textId="78D89A2A" w:rsidR="002164B5" w:rsidRDefault="002755A0" w:rsidP="002164B5">
      <w:pPr>
        <w:pStyle w:val="Heading1"/>
      </w:pPr>
      <w:r>
        <w:t>Conclusions</w:t>
      </w:r>
    </w:p>
    <w:p w14:paraId="6C82CF75" w14:textId="289F3D03" w:rsidR="00203EEE" w:rsidRPr="00203EEE" w:rsidRDefault="00C41E03" w:rsidP="002164B5">
      <w:r>
        <w:t>An individual</w:t>
      </w:r>
      <w:r w:rsidR="00203EEE">
        <w:t xml:space="preserve">-based computer simulation </w:t>
      </w:r>
      <w:r w:rsidR="003705C3">
        <w:t xml:space="preserve">leveraged GBD standard country-level demographic, epidemiologic, and treatment coverage data, thus allowing valid </w:t>
      </w:r>
      <w:r w:rsidR="002D27B7">
        <w:t>between</w:t>
      </w:r>
      <w:r w:rsidR="003705C3">
        <w:t xml:space="preserve">-country </w:t>
      </w:r>
      <w:r w:rsidR="007C6A4E">
        <w:t xml:space="preserve">treatment program simulation </w:t>
      </w:r>
      <w:r w:rsidR="003705C3">
        <w:t xml:space="preserve">comparisons.  The analysis </w:t>
      </w:r>
      <w:r w:rsidR="00203EEE">
        <w:t>revealed</w:t>
      </w:r>
      <w:r w:rsidR="002164B5">
        <w:t xml:space="preserve"> </w:t>
      </w:r>
      <w:r w:rsidR="00203EEE">
        <w:t xml:space="preserve">substantial variation </w:t>
      </w:r>
      <w:r w:rsidR="003705C3">
        <w:t xml:space="preserve">among countries </w:t>
      </w:r>
      <w:r w:rsidR="00203EEE">
        <w:t>in the</w:t>
      </w:r>
      <w:r w:rsidR="003705C3">
        <w:t xml:space="preserve"> potential</w:t>
      </w:r>
      <w:r w:rsidR="00203EEE">
        <w:t xml:space="preserve"> impact of a screen</w:t>
      </w:r>
      <w:r w:rsidR="003705C3">
        <w:t xml:space="preserve">ing and FDC </w:t>
      </w:r>
      <w:r w:rsidR="00203EEE">
        <w:t>treat</w:t>
      </w:r>
      <w:r w:rsidR="003705C3">
        <w:t>ment</w:t>
      </w:r>
      <w:r w:rsidR="00203EEE">
        <w:t xml:space="preserve"> program. </w:t>
      </w:r>
      <w:r w:rsidR="00B729B9">
        <w:t xml:space="preserve">Countries’ </w:t>
      </w:r>
      <w:r w:rsidR="007C6A4E">
        <w:t xml:space="preserve">SBP reductions and DALYs averted per 100,000 </w:t>
      </w:r>
      <w:r w:rsidR="00B729B9">
        <w:t>increased with higher</w:t>
      </w:r>
      <w:r w:rsidR="0073485F">
        <w:t xml:space="preserve"> mean SBP among hypertensive individuals and lowe</w:t>
      </w:r>
      <w:r w:rsidR="00B729B9">
        <w:t>r proportion of controlled hypertension at baseline.</w:t>
      </w:r>
    </w:p>
    <w:p w14:paraId="3BFF85A5" w14:textId="02D9531A" w:rsidR="005C79C5" w:rsidRDefault="002755A0" w:rsidP="00AA19FA">
      <w:pPr>
        <w:pStyle w:val="Heading1"/>
      </w:pPr>
      <w:r>
        <w:t>Implications for Policy or Practice</w:t>
      </w:r>
    </w:p>
    <w:p w14:paraId="6655CE01" w14:textId="31573A06" w:rsidR="002755A0" w:rsidRPr="002755A0" w:rsidRDefault="00493A18">
      <w:r>
        <w:t>Scale up of a</w:t>
      </w:r>
      <w:r w:rsidR="009869F0">
        <w:t xml:space="preserve"> screening and FDC treatment program</w:t>
      </w:r>
      <w:r>
        <w:t xml:space="preserve"> would lead to substantial health gains in four middle income countries; program health impact varies according to the country context.</w:t>
      </w:r>
    </w:p>
    <w:sectPr w:rsidR="002755A0" w:rsidRPr="0027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B5"/>
    <w:rsid w:val="000045E4"/>
    <w:rsid w:val="000115F3"/>
    <w:rsid w:val="00012DEC"/>
    <w:rsid w:val="00013E19"/>
    <w:rsid w:val="00025961"/>
    <w:rsid w:val="000459CE"/>
    <w:rsid w:val="000477F8"/>
    <w:rsid w:val="00050E07"/>
    <w:rsid w:val="00057EF3"/>
    <w:rsid w:val="0006663D"/>
    <w:rsid w:val="00074350"/>
    <w:rsid w:val="0007587A"/>
    <w:rsid w:val="000762B2"/>
    <w:rsid w:val="00076668"/>
    <w:rsid w:val="00077A90"/>
    <w:rsid w:val="00082505"/>
    <w:rsid w:val="00084CF6"/>
    <w:rsid w:val="000A17DC"/>
    <w:rsid w:val="000B2FC4"/>
    <w:rsid w:val="000C4719"/>
    <w:rsid w:val="000D5D57"/>
    <w:rsid w:val="0011184D"/>
    <w:rsid w:val="00113899"/>
    <w:rsid w:val="00117C46"/>
    <w:rsid w:val="00125962"/>
    <w:rsid w:val="00126FF6"/>
    <w:rsid w:val="00132B3B"/>
    <w:rsid w:val="00134B30"/>
    <w:rsid w:val="00141A27"/>
    <w:rsid w:val="0015615B"/>
    <w:rsid w:val="00162BFD"/>
    <w:rsid w:val="00170D0A"/>
    <w:rsid w:val="00184366"/>
    <w:rsid w:val="001A1031"/>
    <w:rsid w:val="001B25AE"/>
    <w:rsid w:val="001B27D7"/>
    <w:rsid w:val="001B2D81"/>
    <w:rsid w:val="001B3E74"/>
    <w:rsid w:val="001B41CF"/>
    <w:rsid w:val="001C70AB"/>
    <w:rsid w:val="001C75F6"/>
    <w:rsid w:val="001D0DD9"/>
    <w:rsid w:val="001D1E30"/>
    <w:rsid w:val="001D4ABB"/>
    <w:rsid w:val="001D4DA5"/>
    <w:rsid w:val="001D5F4C"/>
    <w:rsid w:val="001E4CEF"/>
    <w:rsid w:val="001E6A71"/>
    <w:rsid w:val="001E7F28"/>
    <w:rsid w:val="001F32ED"/>
    <w:rsid w:val="001F47DD"/>
    <w:rsid w:val="00203EEE"/>
    <w:rsid w:val="00203F3F"/>
    <w:rsid w:val="00210AC4"/>
    <w:rsid w:val="00210F93"/>
    <w:rsid w:val="00214EF5"/>
    <w:rsid w:val="002164B5"/>
    <w:rsid w:val="00216AA4"/>
    <w:rsid w:val="00226F78"/>
    <w:rsid w:val="00234C53"/>
    <w:rsid w:val="002379A3"/>
    <w:rsid w:val="00237C86"/>
    <w:rsid w:val="002474F1"/>
    <w:rsid w:val="0024797C"/>
    <w:rsid w:val="0025129B"/>
    <w:rsid w:val="00273158"/>
    <w:rsid w:val="002755A0"/>
    <w:rsid w:val="00282BFC"/>
    <w:rsid w:val="002851F2"/>
    <w:rsid w:val="002853CD"/>
    <w:rsid w:val="00286455"/>
    <w:rsid w:val="002937D0"/>
    <w:rsid w:val="002D27B7"/>
    <w:rsid w:val="002D59AB"/>
    <w:rsid w:val="002E2AE9"/>
    <w:rsid w:val="002F0DE6"/>
    <w:rsid w:val="00312AF7"/>
    <w:rsid w:val="003260B7"/>
    <w:rsid w:val="00331F0C"/>
    <w:rsid w:val="00332521"/>
    <w:rsid w:val="003337C4"/>
    <w:rsid w:val="0033722D"/>
    <w:rsid w:val="00337DF5"/>
    <w:rsid w:val="00345EC5"/>
    <w:rsid w:val="0034631D"/>
    <w:rsid w:val="003632D3"/>
    <w:rsid w:val="00363966"/>
    <w:rsid w:val="00364A15"/>
    <w:rsid w:val="003705C3"/>
    <w:rsid w:val="00373DA8"/>
    <w:rsid w:val="00374825"/>
    <w:rsid w:val="00376C3F"/>
    <w:rsid w:val="0038298A"/>
    <w:rsid w:val="00383245"/>
    <w:rsid w:val="00383D3E"/>
    <w:rsid w:val="00394476"/>
    <w:rsid w:val="003C0451"/>
    <w:rsid w:val="003C2DB3"/>
    <w:rsid w:val="003C480F"/>
    <w:rsid w:val="003C61D4"/>
    <w:rsid w:val="003C757D"/>
    <w:rsid w:val="003D4C94"/>
    <w:rsid w:val="003D60D2"/>
    <w:rsid w:val="003E2383"/>
    <w:rsid w:val="003F247E"/>
    <w:rsid w:val="003F5954"/>
    <w:rsid w:val="003F6559"/>
    <w:rsid w:val="0040587F"/>
    <w:rsid w:val="0042041A"/>
    <w:rsid w:val="00427AC0"/>
    <w:rsid w:val="00447A8C"/>
    <w:rsid w:val="00452A7A"/>
    <w:rsid w:val="00456413"/>
    <w:rsid w:val="00461A3A"/>
    <w:rsid w:val="004764A1"/>
    <w:rsid w:val="00476A50"/>
    <w:rsid w:val="00476EBD"/>
    <w:rsid w:val="00493A18"/>
    <w:rsid w:val="00497616"/>
    <w:rsid w:val="004A0FC6"/>
    <w:rsid w:val="004A7BCD"/>
    <w:rsid w:val="004B5CBD"/>
    <w:rsid w:val="004C7B79"/>
    <w:rsid w:val="004D0044"/>
    <w:rsid w:val="004D03F0"/>
    <w:rsid w:val="004D6AA9"/>
    <w:rsid w:val="004F2240"/>
    <w:rsid w:val="004F6F91"/>
    <w:rsid w:val="0050205A"/>
    <w:rsid w:val="00513E71"/>
    <w:rsid w:val="00524630"/>
    <w:rsid w:val="005320AD"/>
    <w:rsid w:val="00536FEA"/>
    <w:rsid w:val="005558DB"/>
    <w:rsid w:val="00561AE8"/>
    <w:rsid w:val="005651BF"/>
    <w:rsid w:val="0056767A"/>
    <w:rsid w:val="005740D4"/>
    <w:rsid w:val="005759CE"/>
    <w:rsid w:val="00576684"/>
    <w:rsid w:val="00585E50"/>
    <w:rsid w:val="00590703"/>
    <w:rsid w:val="00595F9E"/>
    <w:rsid w:val="0059719E"/>
    <w:rsid w:val="005A21F8"/>
    <w:rsid w:val="005A6BA5"/>
    <w:rsid w:val="005C4B5A"/>
    <w:rsid w:val="005C70CC"/>
    <w:rsid w:val="005C7880"/>
    <w:rsid w:val="005C79C5"/>
    <w:rsid w:val="005D3DCE"/>
    <w:rsid w:val="005D5920"/>
    <w:rsid w:val="005F1BCA"/>
    <w:rsid w:val="00601F69"/>
    <w:rsid w:val="00610D2E"/>
    <w:rsid w:val="00611982"/>
    <w:rsid w:val="00611F5D"/>
    <w:rsid w:val="00612B0C"/>
    <w:rsid w:val="0061483A"/>
    <w:rsid w:val="0062653B"/>
    <w:rsid w:val="006527FA"/>
    <w:rsid w:val="006534E3"/>
    <w:rsid w:val="00667A38"/>
    <w:rsid w:val="00671572"/>
    <w:rsid w:val="0068056E"/>
    <w:rsid w:val="00683760"/>
    <w:rsid w:val="00683FA0"/>
    <w:rsid w:val="00684AF3"/>
    <w:rsid w:val="00685272"/>
    <w:rsid w:val="0068790C"/>
    <w:rsid w:val="006A41E8"/>
    <w:rsid w:val="006A7D8C"/>
    <w:rsid w:val="006B062A"/>
    <w:rsid w:val="006B60D7"/>
    <w:rsid w:val="006C02D4"/>
    <w:rsid w:val="006C6504"/>
    <w:rsid w:val="006C764F"/>
    <w:rsid w:val="006D6826"/>
    <w:rsid w:val="006E04D5"/>
    <w:rsid w:val="006E64FC"/>
    <w:rsid w:val="006F6EE8"/>
    <w:rsid w:val="006F75F9"/>
    <w:rsid w:val="00706373"/>
    <w:rsid w:val="00713574"/>
    <w:rsid w:val="0071775A"/>
    <w:rsid w:val="00717F8E"/>
    <w:rsid w:val="007267BA"/>
    <w:rsid w:val="007328F1"/>
    <w:rsid w:val="0073485F"/>
    <w:rsid w:val="007403C1"/>
    <w:rsid w:val="0075032E"/>
    <w:rsid w:val="00776A44"/>
    <w:rsid w:val="0078001B"/>
    <w:rsid w:val="007A518E"/>
    <w:rsid w:val="007B22A3"/>
    <w:rsid w:val="007C3E01"/>
    <w:rsid w:val="007C6A4E"/>
    <w:rsid w:val="007E0C50"/>
    <w:rsid w:val="007E0D03"/>
    <w:rsid w:val="007E2F3C"/>
    <w:rsid w:val="007F459C"/>
    <w:rsid w:val="00812D82"/>
    <w:rsid w:val="008133ED"/>
    <w:rsid w:val="00821A98"/>
    <w:rsid w:val="00824255"/>
    <w:rsid w:val="00830BC1"/>
    <w:rsid w:val="008336BC"/>
    <w:rsid w:val="00834078"/>
    <w:rsid w:val="00835371"/>
    <w:rsid w:val="00844238"/>
    <w:rsid w:val="00856211"/>
    <w:rsid w:val="008637EB"/>
    <w:rsid w:val="00886E57"/>
    <w:rsid w:val="00890D56"/>
    <w:rsid w:val="00894436"/>
    <w:rsid w:val="00897E46"/>
    <w:rsid w:val="008A5658"/>
    <w:rsid w:val="008B6A1D"/>
    <w:rsid w:val="008D10D9"/>
    <w:rsid w:val="008D2CDE"/>
    <w:rsid w:val="008E39B0"/>
    <w:rsid w:val="008F098E"/>
    <w:rsid w:val="008F3053"/>
    <w:rsid w:val="008F3623"/>
    <w:rsid w:val="008F66D7"/>
    <w:rsid w:val="008F6BB1"/>
    <w:rsid w:val="008F6D7A"/>
    <w:rsid w:val="0090262E"/>
    <w:rsid w:val="00904CD0"/>
    <w:rsid w:val="00911ACA"/>
    <w:rsid w:val="009165B3"/>
    <w:rsid w:val="00941E1A"/>
    <w:rsid w:val="00953DD1"/>
    <w:rsid w:val="00974EE0"/>
    <w:rsid w:val="0097536A"/>
    <w:rsid w:val="009770E9"/>
    <w:rsid w:val="009840C0"/>
    <w:rsid w:val="00984BB3"/>
    <w:rsid w:val="009869F0"/>
    <w:rsid w:val="00991C71"/>
    <w:rsid w:val="009A32AD"/>
    <w:rsid w:val="009A5648"/>
    <w:rsid w:val="009C065A"/>
    <w:rsid w:val="009C11B5"/>
    <w:rsid w:val="009D1EE2"/>
    <w:rsid w:val="009E2F9E"/>
    <w:rsid w:val="009E4DA7"/>
    <w:rsid w:val="009F5C28"/>
    <w:rsid w:val="009F7B46"/>
    <w:rsid w:val="00A01F1D"/>
    <w:rsid w:val="00A033D3"/>
    <w:rsid w:val="00A24F00"/>
    <w:rsid w:val="00A31E94"/>
    <w:rsid w:val="00A46900"/>
    <w:rsid w:val="00A52C89"/>
    <w:rsid w:val="00A56B3A"/>
    <w:rsid w:val="00A60469"/>
    <w:rsid w:val="00A6621B"/>
    <w:rsid w:val="00A73924"/>
    <w:rsid w:val="00A77682"/>
    <w:rsid w:val="00A81E53"/>
    <w:rsid w:val="00A82B42"/>
    <w:rsid w:val="00A93325"/>
    <w:rsid w:val="00AA19FA"/>
    <w:rsid w:val="00AA2766"/>
    <w:rsid w:val="00AA40E1"/>
    <w:rsid w:val="00AB5967"/>
    <w:rsid w:val="00AC454C"/>
    <w:rsid w:val="00AD0DC6"/>
    <w:rsid w:val="00AD1501"/>
    <w:rsid w:val="00AD15DF"/>
    <w:rsid w:val="00AD58D3"/>
    <w:rsid w:val="00AF15C8"/>
    <w:rsid w:val="00B04556"/>
    <w:rsid w:val="00B13767"/>
    <w:rsid w:val="00B1646D"/>
    <w:rsid w:val="00B23165"/>
    <w:rsid w:val="00B31BBA"/>
    <w:rsid w:val="00B50230"/>
    <w:rsid w:val="00B51FCA"/>
    <w:rsid w:val="00B729B9"/>
    <w:rsid w:val="00B7332E"/>
    <w:rsid w:val="00B75EEB"/>
    <w:rsid w:val="00B82E03"/>
    <w:rsid w:val="00B868AD"/>
    <w:rsid w:val="00BA2984"/>
    <w:rsid w:val="00BB6C19"/>
    <w:rsid w:val="00BC30DF"/>
    <w:rsid w:val="00BC3481"/>
    <w:rsid w:val="00BC5888"/>
    <w:rsid w:val="00BD527C"/>
    <w:rsid w:val="00BD7C90"/>
    <w:rsid w:val="00BE4C12"/>
    <w:rsid w:val="00BE6469"/>
    <w:rsid w:val="00BF0CB7"/>
    <w:rsid w:val="00BF5AB2"/>
    <w:rsid w:val="00BF5E6D"/>
    <w:rsid w:val="00C0041D"/>
    <w:rsid w:val="00C0107D"/>
    <w:rsid w:val="00C05A36"/>
    <w:rsid w:val="00C06B2E"/>
    <w:rsid w:val="00C14AC0"/>
    <w:rsid w:val="00C14F1E"/>
    <w:rsid w:val="00C17600"/>
    <w:rsid w:val="00C22741"/>
    <w:rsid w:val="00C25ADE"/>
    <w:rsid w:val="00C26C3F"/>
    <w:rsid w:val="00C36D03"/>
    <w:rsid w:val="00C41E03"/>
    <w:rsid w:val="00C464A8"/>
    <w:rsid w:val="00C66C74"/>
    <w:rsid w:val="00C825E4"/>
    <w:rsid w:val="00C83A25"/>
    <w:rsid w:val="00C83C56"/>
    <w:rsid w:val="00C83D6D"/>
    <w:rsid w:val="00C83DE7"/>
    <w:rsid w:val="00CC3F21"/>
    <w:rsid w:val="00CD2D91"/>
    <w:rsid w:val="00CD3ADB"/>
    <w:rsid w:val="00CD7572"/>
    <w:rsid w:val="00CE22C4"/>
    <w:rsid w:val="00CF23DC"/>
    <w:rsid w:val="00CF6A59"/>
    <w:rsid w:val="00D07110"/>
    <w:rsid w:val="00D11375"/>
    <w:rsid w:val="00D215C0"/>
    <w:rsid w:val="00D272A5"/>
    <w:rsid w:val="00D45343"/>
    <w:rsid w:val="00D73445"/>
    <w:rsid w:val="00D73E2A"/>
    <w:rsid w:val="00D82198"/>
    <w:rsid w:val="00D878AE"/>
    <w:rsid w:val="00DC5D79"/>
    <w:rsid w:val="00DD1AF4"/>
    <w:rsid w:val="00DD1BA3"/>
    <w:rsid w:val="00DD7312"/>
    <w:rsid w:val="00DE2DCF"/>
    <w:rsid w:val="00DE5607"/>
    <w:rsid w:val="00DE7E0E"/>
    <w:rsid w:val="00E04E61"/>
    <w:rsid w:val="00E068DD"/>
    <w:rsid w:val="00E207C8"/>
    <w:rsid w:val="00E21BFE"/>
    <w:rsid w:val="00E31084"/>
    <w:rsid w:val="00E33315"/>
    <w:rsid w:val="00E33B04"/>
    <w:rsid w:val="00E47084"/>
    <w:rsid w:val="00E62AD2"/>
    <w:rsid w:val="00E81827"/>
    <w:rsid w:val="00E87F46"/>
    <w:rsid w:val="00E92391"/>
    <w:rsid w:val="00EB2845"/>
    <w:rsid w:val="00EC5A3A"/>
    <w:rsid w:val="00EC5AA1"/>
    <w:rsid w:val="00EC796D"/>
    <w:rsid w:val="00EE401E"/>
    <w:rsid w:val="00EE4695"/>
    <w:rsid w:val="00EF365D"/>
    <w:rsid w:val="00EF4BC9"/>
    <w:rsid w:val="00F0025D"/>
    <w:rsid w:val="00F00E99"/>
    <w:rsid w:val="00F11641"/>
    <w:rsid w:val="00F33162"/>
    <w:rsid w:val="00F36364"/>
    <w:rsid w:val="00F36F5C"/>
    <w:rsid w:val="00F4147B"/>
    <w:rsid w:val="00F60D03"/>
    <w:rsid w:val="00F7050B"/>
    <w:rsid w:val="00F743C8"/>
    <w:rsid w:val="00F7491A"/>
    <w:rsid w:val="00F96379"/>
    <w:rsid w:val="00FA5CF7"/>
    <w:rsid w:val="00FB1FCE"/>
    <w:rsid w:val="00FB21AB"/>
    <w:rsid w:val="00FB5B02"/>
    <w:rsid w:val="00FD3515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E81D9"/>
  <w15:docId w15:val="{09537CA6-CCAC-4346-9C51-EE88AD7E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4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4B5"/>
  </w:style>
  <w:style w:type="character" w:customStyle="1" w:styleId="Heading1Char">
    <w:name w:val="Heading 1 Char"/>
    <w:basedOn w:val="DefaultParagraphFont"/>
    <w:link w:val="Heading1"/>
    <w:uiPriority w:val="9"/>
    <w:rsid w:val="00216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2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5C4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B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B5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B5A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B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4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5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3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0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32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4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29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8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D. Flaxman</dc:creator>
  <cp:keywords/>
  <dc:description/>
  <cp:lastModifiedBy>Abie Flaxman</cp:lastModifiedBy>
  <cp:revision>9</cp:revision>
  <dcterms:created xsi:type="dcterms:W3CDTF">2019-01-04T18:26:00Z</dcterms:created>
  <dcterms:modified xsi:type="dcterms:W3CDTF">2019-05-21T18:04:00Z</dcterms:modified>
</cp:coreProperties>
</file>