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AB9" w:rsidRPr="00802AB9" w:rsidRDefault="00802AB9" w:rsidP="00B63FDA">
      <w:pPr>
        <w:pStyle w:val="Heading1"/>
        <w:rPr>
          <w:sz w:val="24"/>
          <w:szCs w:val="24"/>
        </w:rPr>
      </w:pPr>
      <w:bookmarkStart w:id="0" w:name="_Toc198107243"/>
      <w:r w:rsidRPr="00802AB9">
        <w:rPr>
          <w:sz w:val="24"/>
          <w:szCs w:val="24"/>
        </w:rPr>
        <w:t>CHAPTER II</w:t>
      </w:r>
      <w:bookmarkEnd w:id="0"/>
    </w:p>
    <w:p w:rsidR="00802AB9" w:rsidRPr="00802AB9" w:rsidRDefault="00802AB9" w:rsidP="00B63FDA">
      <w:pPr>
        <w:pStyle w:val="Heading1"/>
        <w:rPr>
          <w:sz w:val="24"/>
          <w:szCs w:val="24"/>
        </w:rPr>
      </w:pPr>
      <w:bookmarkStart w:id="1" w:name="_Toc198107244"/>
      <w:r w:rsidRPr="00802AB9">
        <w:rPr>
          <w:sz w:val="24"/>
          <w:szCs w:val="24"/>
        </w:rPr>
        <w:t>OPERATIONS OF THE ORGANIZER</w:t>
      </w:r>
      <w:bookmarkEnd w:id="1"/>
      <w:r w:rsidRPr="00802AB9">
        <w:rPr>
          <w:sz w:val="24"/>
          <w:szCs w:val="24"/>
        </w:rPr>
        <w:t xml:space="preserve"> </w:t>
      </w:r>
    </w:p>
    <w:p w:rsidR="00802AB9" w:rsidRPr="00802AB9" w:rsidRDefault="00802AB9" w:rsidP="00B63FDA">
      <w:pPr>
        <w:ind w:hanging="7"/>
        <w:jc w:val="center"/>
        <w:rPr>
          <w:b/>
        </w:rPr>
      </w:pPr>
    </w:p>
    <w:p w:rsidR="00802AB9" w:rsidRPr="00802AB9" w:rsidRDefault="00802AB9" w:rsidP="00B63FDA">
      <w:pPr>
        <w:pStyle w:val="Heading2"/>
        <w:tabs>
          <w:tab w:val="clear" w:pos="1980"/>
        </w:tabs>
        <w:ind w:left="720" w:hanging="720"/>
        <w:rPr>
          <w:sz w:val="24"/>
          <w:szCs w:val="24"/>
        </w:rPr>
      </w:pPr>
      <w:bookmarkStart w:id="2" w:name="_Toc198107165"/>
      <w:bookmarkStart w:id="3" w:name="_Toc198107245"/>
      <w:r w:rsidRPr="00802AB9">
        <w:rPr>
          <w:sz w:val="24"/>
          <w:szCs w:val="24"/>
        </w:rPr>
        <w:t xml:space="preserve">Organization of the Organizer </w:t>
      </w:r>
      <w:bookmarkEnd w:id="2"/>
      <w:bookmarkEnd w:id="3"/>
    </w:p>
    <w:p w:rsidR="00802AB9" w:rsidRPr="00802AB9" w:rsidRDefault="00802AB9" w:rsidP="00B63FDA">
      <w:pPr>
        <w:pStyle w:val="BodyTextIndent2"/>
        <w:numPr>
          <w:ilvl w:val="1"/>
          <w:numId w:val="1"/>
        </w:numPr>
        <w:tabs>
          <w:tab w:val="clear" w:pos="1440"/>
        </w:tabs>
        <w:ind w:left="1440" w:hanging="720"/>
        <w:rPr>
          <w:szCs w:val="24"/>
        </w:rPr>
      </w:pPr>
      <w:r w:rsidRPr="00802AB9">
        <w:rPr>
          <w:szCs w:val="24"/>
        </w:rPr>
        <w:t xml:space="preserve">The Directorate of Monetary Management </w:t>
      </w:r>
      <w:r w:rsidRPr="00802AB9">
        <w:rPr>
          <w:i/>
          <w:szCs w:val="24"/>
        </w:rPr>
        <w:t>c.q.</w:t>
      </w:r>
      <w:r w:rsidRPr="00802AB9">
        <w:rPr>
          <w:szCs w:val="24"/>
        </w:rPr>
        <w:t xml:space="preserve"> the Bureau of Monetary Operation (BopM) shall conduct Transaction with Bank </w:t>
      </w:r>
      <w:smartTag w:uri="urn:schemas-microsoft-com:office:smarttags" w:element="country-region">
        <w:smartTag w:uri="urn:schemas-microsoft-com:office:smarttags" w:element="place">
          <w:r w:rsidRPr="00802AB9">
            <w:rPr>
              <w:szCs w:val="24"/>
            </w:rPr>
            <w:t>Indonesia</w:t>
          </w:r>
        </w:smartTag>
      </w:smartTag>
      <w:r w:rsidRPr="00802AB9">
        <w:rPr>
          <w:szCs w:val="24"/>
        </w:rPr>
        <w:t xml:space="preserve"> with the following address :</w:t>
      </w:r>
    </w:p>
    <w:p w:rsidR="00802AB9" w:rsidRPr="00802AB9" w:rsidRDefault="00802AB9" w:rsidP="00B63FDA">
      <w:pPr>
        <w:pStyle w:val="BodyText"/>
        <w:tabs>
          <w:tab w:val="left" w:pos="3240"/>
        </w:tabs>
        <w:spacing w:after="0"/>
        <w:ind w:left="3600" w:hanging="1440"/>
      </w:pPr>
      <w:r w:rsidRPr="00802AB9">
        <w:t xml:space="preserve">Bank </w:t>
      </w:r>
      <w:smartTag w:uri="urn:schemas-microsoft-com:office:smarttags" w:element="country-region">
        <w:smartTag w:uri="urn:schemas-microsoft-com:office:smarttags" w:element="place">
          <w:r w:rsidRPr="00802AB9">
            <w:t>Indonesia</w:t>
          </w:r>
        </w:smartTag>
      </w:smartTag>
      <w:r w:rsidRPr="00802AB9">
        <w:t xml:space="preserve"> – Directorate of Monetary Management</w:t>
      </w:r>
    </w:p>
    <w:p w:rsidR="00802AB9" w:rsidRPr="00802AB9" w:rsidRDefault="00802AB9" w:rsidP="00B63FDA">
      <w:pPr>
        <w:pStyle w:val="BodyText"/>
        <w:tabs>
          <w:tab w:val="left" w:pos="3240"/>
        </w:tabs>
        <w:spacing w:after="0"/>
        <w:ind w:left="3600" w:hanging="1440"/>
      </w:pPr>
      <w:r w:rsidRPr="00802AB9">
        <w:rPr>
          <w:i/>
        </w:rPr>
        <w:t>c.q.</w:t>
      </w:r>
      <w:r w:rsidRPr="00802AB9">
        <w:t xml:space="preserve"> Bureau of Monetary Operation</w:t>
      </w:r>
    </w:p>
    <w:p w:rsidR="00802AB9" w:rsidRPr="00802AB9" w:rsidRDefault="00802AB9" w:rsidP="00B63FDA">
      <w:pPr>
        <w:pStyle w:val="BodyText"/>
        <w:tabs>
          <w:tab w:val="left" w:pos="3240"/>
        </w:tabs>
        <w:spacing w:after="0"/>
        <w:ind w:left="3600" w:hanging="1440"/>
      </w:pPr>
      <w:smartTag w:uri="urn:schemas-microsoft-com:office:smarttags" w:element="place">
        <w:smartTag w:uri="urn:schemas-microsoft-com:office:smarttags" w:element="PlaceName">
          <w:r w:rsidRPr="00802AB9">
            <w:t>Sjafruddin</w:t>
          </w:r>
        </w:smartTag>
        <w:r w:rsidRPr="00802AB9">
          <w:t xml:space="preserve"> </w:t>
        </w:r>
        <w:smartTag w:uri="urn:schemas-microsoft-com:office:smarttags" w:element="PlaceName">
          <w:r w:rsidRPr="00802AB9">
            <w:t>Prawiranegara</w:t>
          </w:r>
        </w:smartTag>
        <w:r w:rsidRPr="00802AB9">
          <w:t xml:space="preserve"> </w:t>
        </w:r>
        <w:smartTag w:uri="urn:schemas-microsoft-com:office:smarttags" w:element="PlaceType">
          <w:r w:rsidRPr="00802AB9">
            <w:t>Tower</w:t>
          </w:r>
        </w:smartTag>
      </w:smartTag>
      <w:r w:rsidRPr="00802AB9">
        <w:t>, 13</w:t>
      </w:r>
      <w:r w:rsidRPr="00802AB9">
        <w:rPr>
          <w:vertAlign w:val="superscript"/>
        </w:rPr>
        <w:t>th</w:t>
      </w:r>
      <w:r w:rsidRPr="00802AB9">
        <w:t xml:space="preserve"> Floor </w:t>
      </w:r>
    </w:p>
    <w:p w:rsidR="00802AB9" w:rsidRPr="00802AB9" w:rsidRDefault="00802AB9" w:rsidP="00B63FDA">
      <w:pPr>
        <w:pStyle w:val="BodyText"/>
        <w:tabs>
          <w:tab w:val="left" w:pos="3240"/>
        </w:tabs>
        <w:spacing w:after="0"/>
        <w:ind w:left="3600" w:hanging="1440"/>
      </w:pPr>
      <w:r w:rsidRPr="00802AB9">
        <w:t xml:space="preserve">Jl. M. H. Thamrin No. 2, </w:t>
      </w:r>
      <w:smartTag w:uri="urn:schemas-microsoft-com:office:smarttags" w:element="City">
        <w:smartTag w:uri="urn:schemas-microsoft-com:office:smarttags" w:element="place">
          <w:r w:rsidRPr="00802AB9">
            <w:t>Jakarta</w:t>
          </w:r>
        </w:smartTag>
      </w:smartTag>
      <w:r w:rsidRPr="00802AB9">
        <w:t xml:space="preserve"> 10350.</w:t>
      </w:r>
    </w:p>
    <w:p w:rsidR="00802AB9" w:rsidRPr="00802AB9" w:rsidRDefault="00802AB9" w:rsidP="00B63FDA">
      <w:pPr>
        <w:pStyle w:val="BodyText"/>
        <w:tabs>
          <w:tab w:val="left" w:pos="3060"/>
          <w:tab w:val="left" w:pos="3240"/>
        </w:tabs>
        <w:spacing w:after="0"/>
        <w:ind w:left="3600" w:hanging="1440"/>
      </w:pPr>
      <w:r w:rsidRPr="00802AB9">
        <w:t xml:space="preserve">Phone </w:t>
      </w:r>
      <w:r w:rsidRPr="00802AB9">
        <w:tab/>
      </w:r>
      <w:r>
        <w:tab/>
      </w:r>
      <w:r w:rsidRPr="00802AB9">
        <w:t xml:space="preserve">: </w:t>
      </w:r>
      <w:r>
        <w:tab/>
      </w:r>
      <w:r w:rsidRPr="00802AB9">
        <w:t>021-381 8350/021-381 8351</w:t>
      </w:r>
    </w:p>
    <w:p w:rsidR="00802AB9" w:rsidRPr="00802AB9" w:rsidRDefault="00802AB9" w:rsidP="00B63FDA">
      <w:pPr>
        <w:pStyle w:val="BodyText"/>
        <w:tabs>
          <w:tab w:val="left" w:pos="3240"/>
        </w:tabs>
        <w:spacing w:after="0"/>
        <w:ind w:left="3600" w:hanging="1440"/>
      </w:pPr>
      <w:r w:rsidRPr="00802AB9">
        <w:t xml:space="preserve">Facsimile   : </w:t>
      </w:r>
      <w:r>
        <w:tab/>
      </w:r>
      <w:r w:rsidRPr="00802AB9">
        <w:t>021-231 0347</w:t>
      </w:r>
    </w:p>
    <w:p w:rsidR="00802AB9" w:rsidRPr="00802AB9" w:rsidRDefault="00802AB9" w:rsidP="00B63FDA">
      <w:pPr>
        <w:pStyle w:val="BodyTextIndent2"/>
        <w:numPr>
          <w:ilvl w:val="1"/>
          <w:numId w:val="1"/>
        </w:numPr>
        <w:tabs>
          <w:tab w:val="clear" w:pos="360"/>
          <w:tab w:val="clear" w:pos="1440"/>
        </w:tabs>
        <w:ind w:left="1440" w:hanging="720"/>
        <w:rPr>
          <w:szCs w:val="24"/>
        </w:rPr>
      </w:pPr>
      <w:r w:rsidRPr="00802AB9">
        <w:rPr>
          <w:szCs w:val="24"/>
        </w:rPr>
        <w:t xml:space="preserve">The Directorate of Monetary Management </w:t>
      </w:r>
      <w:r w:rsidRPr="00802AB9">
        <w:rPr>
          <w:i/>
          <w:szCs w:val="24"/>
        </w:rPr>
        <w:t>c.q.</w:t>
      </w:r>
      <w:r w:rsidRPr="00802AB9">
        <w:rPr>
          <w:szCs w:val="24"/>
        </w:rPr>
        <w:t xml:space="preserve"> the Division of Monetary Management Transactions Settlement (PTPM) shall conduct the BI-SSSS management and administration with the following address:</w:t>
      </w:r>
    </w:p>
    <w:p w:rsidR="00802AB9" w:rsidRPr="00802AB9" w:rsidRDefault="00802AB9" w:rsidP="00B63FDA">
      <w:pPr>
        <w:pStyle w:val="BodyText"/>
        <w:tabs>
          <w:tab w:val="left" w:pos="3240"/>
        </w:tabs>
        <w:spacing w:after="0"/>
        <w:ind w:left="3600" w:hanging="1440"/>
      </w:pPr>
      <w:r w:rsidRPr="00802AB9">
        <w:t xml:space="preserve">Bank </w:t>
      </w:r>
      <w:smartTag w:uri="urn:schemas-microsoft-com:office:smarttags" w:element="country-region">
        <w:smartTag w:uri="urn:schemas-microsoft-com:office:smarttags" w:element="place">
          <w:r w:rsidRPr="00802AB9">
            <w:t>Indonesia</w:t>
          </w:r>
        </w:smartTag>
      </w:smartTag>
      <w:r w:rsidRPr="00802AB9">
        <w:t xml:space="preserve"> – Directorate of Monetary Management</w:t>
      </w:r>
    </w:p>
    <w:p w:rsidR="00802AB9" w:rsidRPr="00802AB9" w:rsidRDefault="00802AB9" w:rsidP="00B63FDA">
      <w:pPr>
        <w:pStyle w:val="BodyText"/>
        <w:tabs>
          <w:tab w:val="left" w:pos="3240"/>
        </w:tabs>
        <w:spacing w:after="0"/>
        <w:ind w:left="2160"/>
      </w:pPr>
      <w:r w:rsidRPr="00802AB9">
        <w:rPr>
          <w:i/>
        </w:rPr>
        <w:t>c.q.</w:t>
      </w:r>
      <w:r w:rsidRPr="00802AB9">
        <w:t xml:space="preserve"> Division of Monetary Management Transactions Settlement</w:t>
      </w:r>
    </w:p>
    <w:p w:rsidR="00802AB9" w:rsidRPr="00802AB9" w:rsidRDefault="00802AB9" w:rsidP="00B63FDA">
      <w:pPr>
        <w:pStyle w:val="BodyText"/>
        <w:tabs>
          <w:tab w:val="left" w:pos="3240"/>
        </w:tabs>
        <w:spacing w:after="0"/>
        <w:ind w:left="3600" w:hanging="1440"/>
      </w:pPr>
      <w:smartTag w:uri="urn:schemas-microsoft-com:office:smarttags" w:element="place">
        <w:smartTag w:uri="urn:schemas-microsoft-com:office:smarttags" w:element="PlaceName">
          <w:r w:rsidRPr="00802AB9">
            <w:t>Sjafruddin</w:t>
          </w:r>
        </w:smartTag>
        <w:r w:rsidRPr="00802AB9">
          <w:t xml:space="preserve"> </w:t>
        </w:r>
        <w:smartTag w:uri="urn:schemas-microsoft-com:office:smarttags" w:element="PlaceName">
          <w:r w:rsidRPr="00802AB9">
            <w:t>Prawiranegara</w:t>
          </w:r>
        </w:smartTag>
        <w:r w:rsidRPr="00802AB9">
          <w:t xml:space="preserve"> </w:t>
        </w:r>
        <w:smartTag w:uri="urn:schemas-microsoft-com:office:smarttags" w:element="PlaceType">
          <w:r w:rsidRPr="00802AB9">
            <w:t>Tower</w:t>
          </w:r>
        </w:smartTag>
      </w:smartTag>
      <w:r w:rsidRPr="00802AB9">
        <w:t>, 11</w:t>
      </w:r>
      <w:r w:rsidRPr="00802AB9">
        <w:rPr>
          <w:vertAlign w:val="superscript"/>
        </w:rPr>
        <w:t>th</w:t>
      </w:r>
      <w:r w:rsidRPr="00802AB9">
        <w:t xml:space="preserve"> Floor </w:t>
      </w:r>
    </w:p>
    <w:p w:rsidR="00802AB9" w:rsidRPr="00802AB9" w:rsidRDefault="00802AB9" w:rsidP="00B63FDA">
      <w:pPr>
        <w:pStyle w:val="BodyText"/>
        <w:tabs>
          <w:tab w:val="left" w:pos="3240"/>
        </w:tabs>
        <w:spacing w:after="0"/>
        <w:ind w:left="3600" w:hanging="1440"/>
      </w:pPr>
      <w:r w:rsidRPr="00802AB9">
        <w:t xml:space="preserve">Jl. M. H. Thamrin No. 2, </w:t>
      </w:r>
      <w:smartTag w:uri="urn:schemas-microsoft-com:office:smarttags" w:element="City">
        <w:smartTag w:uri="urn:schemas-microsoft-com:office:smarttags" w:element="place">
          <w:r w:rsidRPr="00802AB9">
            <w:t>Jakarta</w:t>
          </w:r>
        </w:smartTag>
      </w:smartTag>
      <w:r w:rsidRPr="00802AB9">
        <w:t xml:space="preserve"> 10350.</w:t>
      </w:r>
    </w:p>
    <w:p w:rsidR="00802AB9" w:rsidRPr="00802AB9" w:rsidRDefault="00802AB9" w:rsidP="00B63FDA">
      <w:pPr>
        <w:pStyle w:val="BodyText"/>
        <w:tabs>
          <w:tab w:val="left" w:pos="3240"/>
        </w:tabs>
        <w:spacing w:after="0"/>
        <w:ind w:left="3600" w:hanging="1440"/>
      </w:pPr>
      <w:r w:rsidRPr="00802AB9">
        <w:t xml:space="preserve">Phone </w:t>
      </w:r>
      <w:r w:rsidRPr="00802AB9">
        <w:tab/>
        <w:t xml:space="preserve">: </w:t>
      </w:r>
      <w:r>
        <w:tab/>
      </w:r>
      <w:r w:rsidRPr="00802AB9">
        <w:t>021-381 8366/021-381 7414</w:t>
      </w:r>
    </w:p>
    <w:p w:rsidR="00802AB9" w:rsidRPr="00802AB9" w:rsidRDefault="00802AB9" w:rsidP="00B63FDA">
      <w:pPr>
        <w:pStyle w:val="BodyText"/>
        <w:tabs>
          <w:tab w:val="left" w:pos="3240"/>
        </w:tabs>
        <w:spacing w:after="0"/>
        <w:ind w:left="3600" w:hanging="1440"/>
      </w:pPr>
      <w:r w:rsidRPr="00802AB9">
        <w:t xml:space="preserve">Facsimile </w:t>
      </w:r>
      <w:r>
        <w:tab/>
      </w:r>
      <w:r w:rsidRPr="00802AB9">
        <w:t xml:space="preserve">: </w:t>
      </w:r>
      <w:r>
        <w:tab/>
      </w:r>
      <w:r w:rsidRPr="00802AB9">
        <w:t>021-231 0171</w:t>
      </w:r>
    </w:p>
    <w:p w:rsidR="00802AB9" w:rsidRPr="00802AB9" w:rsidRDefault="00802AB9" w:rsidP="00B63FDA">
      <w:pPr>
        <w:pStyle w:val="BodyTextIndent2"/>
        <w:numPr>
          <w:ilvl w:val="1"/>
          <w:numId w:val="1"/>
        </w:numPr>
        <w:tabs>
          <w:tab w:val="clear" w:pos="360"/>
          <w:tab w:val="clear" w:pos="1440"/>
        </w:tabs>
        <w:ind w:left="1440" w:hanging="720"/>
        <w:rPr>
          <w:szCs w:val="24"/>
        </w:rPr>
      </w:pPr>
      <w:r w:rsidRPr="00802AB9">
        <w:rPr>
          <w:szCs w:val="24"/>
        </w:rPr>
        <w:t xml:space="preserve">In the BI-SSSS administration, the Directorate of Monetary Management </w:t>
      </w:r>
      <w:r w:rsidRPr="00802AB9">
        <w:rPr>
          <w:i/>
          <w:szCs w:val="24"/>
        </w:rPr>
        <w:t>c.q.</w:t>
      </w:r>
      <w:r w:rsidRPr="00802AB9">
        <w:rPr>
          <w:szCs w:val="24"/>
        </w:rPr>
        <w:t xml:space="preserve">  the Division of Monetary Management Transactions Settlement (PTPM) shall provide a Help Desk to address operational issues of the BI-SSSS encountered by the Members with the following address:</w:t>
      </w:r>
    </w:p>
    <w:p w:rsidR="00802AB9" w:rsidRPr="00802AB9" w:rsidRDefault="00802AB9" w:rsidP="00B63FDA">
      <w:pPr>
        <w:pStyle w:val="BodyText"/>
        <w:tabs>
          <w:tab w:val="left" w:pos="3240"/>
        </w:tabs>
        <w:spacing w:after="0"/>
        <w:ind w:left="3600" w:hanging="1440"/>
        <w:rPr>
          <w:color w:val="000000"/>
        </w:rPr>
      </w:pPr>
      <w:r w:rsidRPr="00802AB9">
        <w:rPr>
          <w:color w:val="000000"/>
        </w:rPr>
        <w:t>BI-SSSS</w:t>
      </w:r>
      <w:r w:rsidRPr="00802AB9">
        <w:rPr>
          <w:iCs/>
          <w:color w:val="000000"/>
        </w:rPr>
        <w:t xml:space="preserve"> Help Desk</w:t>
      </w:r>
    </w:p>
    <w:p w:rsidR="00802AB9" w:rsidRPr="00802AB9" w:rsidRDefault="00802AB9" w:rsidP="00B63FDA">
      <w:pPr>
        <w:pStyle w:val="BodyText"/>
        <w:tabs>
          <w:tab w:val="left" w:pos="3240"/>
        </w:tabs>
        <w:spacing w:after="0"/>
        <w:ind w:left="3600" w:hanging="1440"/>
      </w:pPr>
      <w:r w:rsidRPr="00802AB9">
        <w:lastRenderedPageBreak/>
        <w:t xml:space="preserve">Bank </w:t>
      </w:r>
      <w:smartTag w:uri="urn:schemas-microsoft-com:office:smarttags" w:element="country-region">
        <w:smartTag w:uri="urn:schemas-microsoft-com:office:smarttags" w:element="place">
          <w:r w:rsidRPr="00802AB9">
            <w:t>Indonesia</w:t>
          </w:r>
        </w:smartTag>
      </w:smartTag>
      <w:r w:rsidRPr="00802AB9">
        <w:t xml:space="preserve"> – Directorate of Monetary Management</w:t>
      </w:r>
    </w:p>
    <w:p w:rsidR="00802AB9" w:rsidRPr="00802AB9" w:rsidRDefault="00802AB9" w:rsidP="00B63FDA">
      <w:pPr>
        <w:pStyle w:val="BodyText"/>
        <w:tabs>
          <w:tab w:val="left" w:pos="3240"/>
        </w:tabs>
        <w:spacing w:after="0"/>
        <w:ind w:left="2160"/>
      </w:pPr>
      <w:r w:rsidRPr="00802AB9">
        <w:rPr>
          <w:i/>
        </w:rPr>
        <w:t>c.q.</w:t>
      </w:r>
      <w:r w:rsidRPr="00802AB9">
        <w:t xml:space="preserve"> Division of Monetary Management Transactions Settlement</w:t>
      </w:r>
    </w:p>
    <w:p w:rsidR="00802AB9" w:rsidRPr="00802AB9" w:rsidRDefault="00802AB9" w:rsidP="00B63FDA">
      <w:pPr>
        <w:pStyle w:val="BodyText"/>
        <w:tabs>
          <w:tab w:val="left" w:pos="3240"/>
        </w:tabs>
        <w:spacing w:after="0"/>
        <w:ind w:left="3600" w:hanging="1440"/>
      </w:pPr>
      <w:smartTag w:uri="urn:schemas-microsoft-com:office:smarttags" w:element="place">
        <w:smartTag w:uri="urn:schemas-microsoft-com:office:smarttags" w:element="PlaceName">
          <w:r w:rsidRPr="00802AB9">
            <w:t>Sjafruddin</w:t>
          </w:r>
        </w:smartTag>
        <w:r w:rsidRPr="00802AB9">
          <w:t xml:space="preserve"> </w:t>
        </w:r>
        <w:smartTag w:uri="urn:schemas-microsoft-com:office:smarttags" w:element="PlaceName">
          <w:r w:rsidRPr="00802AB9">
            <w:t>Prawiranegara</w:t>
          </w:r>
        </w:smartTag>
        <w:r w:rsidRPr="00802AB9">
          <w:t xml:space="preserve"> </w:t>
        </w:r>
        <w:smartTag w:uri="urn:schemas-microsoft-com:office:smarttags" w:element="PlaceType">
          <w:r w:rsidRPr="00802AB9">
            <w:t>Tower</w:t>
          </w:r>
        </w:smartTag>
      </w:smartTag>
      <w:r w:rsidRPr="00802AB9">
        <w:t>, 11</w:t>
      </w:r>
      <w:r w:rsidRPr="00802AB9">
        <w:rPr>
          <w:vertAlign w:val="superscript"/>
        </w:rPr>
        <w:t>th</w:t>
      </w:r>
      <w:r w:rsidRPr="00802AB9">
        <w:t xml:space="preserve"> Floor </w:t>
      </w:r>
    </w:p>
    <w:p w:rsidR="00802AB9" w:rsidRPr="00802AB9" w:rsidRDefault="00802AB9" w:rsidP="00B63FDA">
      <w:pPr>
        <w:pStyle w:val="BodyText"/>
        <w:tabs>
          <w:tab w:val="left" w:pos="3240"/>
        </w:tabs>
        <w:spacing w:after="0"/>
        <w:ind w:left="3600" w:hanging="1440"/>
      </w:pPr>
      <w:r w:rsidRPr="00802AB9">
        <w:t xml:space="preserve">Jl. M. H. Thamrin No. 2, </w:t>
      </w:r>
      <w:smartTag w:uri="urn:schemas-microsoft-com:office:smarttags" w:element="City">
        <w:smartTag w:uri="urn:schemas-microsoft-com:office:smarttags" w:element="place">
          <w:r w:rsidRPr="00802AB9">
            <w:t>Jakarta</w:t>
          </w:r>
        </w:smartTag>
      </w:smartTag>
      <w:r w:rsidRPr="00802AB9">
        <w:t xml:space="preserve"> 10350.</w:t>
      </w:r>
    </w:p>
    <w:p w:rsidR="00802AB9" w:rsidRPr="00802AB9" w:rsidRDefault="00802AB9" w:rsidP="00B63FDA">
      <w:pPr>
        <w:pStyle w:val="BodyText"/>
        <w:tabs>
          <w:tab w:val="left" w:pos="3240"/>
        </w:tabs>
        <w:spacing w:after="0"/>
        <w:ind w:left="3600" w:hanging="1440"/>
      </w:pPr>
      <w:r w:rsidRPr="00802AB9">
        <w:t xml:space="preserve">Phone </w:t>
      </w:r>
      <w:r w:rsidRPr="00802AB9">
        <w:tab/>
        <w:t xml:space="preserve">: </w:t>
      </w:r>
      <w:r w:rsidR="00630B29">
        <w:tab/>
      </w:r>
      <w:r w:rsidRPr="00802AB9">
        <w:t>021-381 8555</w:t>
      </w:r>
    </w:p>
    <w:p w:rsidR="00802AB9" w:rsidRDefault="00802AB9" w:rsidP="00B63FDA">
      <w:pPr>
        <w:pStyle w:val="BodyText"/>
        <w:tabs>
          <w:tab w:val="left" w:pos="3240"/>
        </w:tabs>
        <w:spacing w:after="0"/>
        <w:ind w:left="3600" w:hanging="1440"/>
      </w:pPr>
      <w:r w:rsidRPr="00802AB9">
        <w:t xml:space="preserve">Facsimile   : </w:t>
      </w:r>
      <w:r w:rsidR="00630B29">
        <w:tab/>
      </w:r>
      <w:r w:rsidRPr="00802AB9">
        <w:t>021-381 8026</w:t>
      </w:r>
    </w:p>
    <w:p w:rsidR="00630B29" w:rsidRPr="00802AB9" w:rsidRDefault="00630B29" w:rsidP="00B63FDA">
      <w:pPr>
        <w:pStyle w:val="BodyText"/>
        <w:tabs>
          <w:tab w:val="left" w:pos="3240"/>
        </w:tabs>
        <w:spacing w:after="0"/>
        <w:ind w:left="3600" w:hanging="1440"/>
      </w:pPr>
    </w:p>
    <w:p w:rsidR="00802AB9" w:rsidRPr="00802AB9" w:rsidRDefault="00802AB9" w:rsidP="00B63FDA">
      <w:pPr>
        <w:pStyle w:val="Heading2"/>
        <w:tabs>
          <w:tab w:val="clear" w:pos="1980"/>
        </w:tabs>
        <w:ind w:left="720" w:hanging="720"/>
        <w:rPr>
          <w:sz w:val="24"/>
          <w:szCs w:val="24"/>
        </w:rPr>
      </w:pPr>
      <w:r w:rsidRPr="00802AB9">
        <w:rPr>
          <w:sz w:val="24"/>
          <w:szCs w:val="24"/>
        </w:rPr>
        <w:t xml:space="preserve">   </w:t>
      </w:r>
      <w:bookmarkStart w:id="4" w:name="_Toc198107166"/>
      <w:bookmarkStart w:id="5" w:name="_Toc198107246"/>
      <w:r w:rsidRPr="00802AB9">
        <w:rPr>
          <w:sz w:val="24"/>
          <w:szCs w:val="24"/>
        </w:rPr>
        <w:t xml:space="preserve">Duties of the Organizer </w:t>
      </w:r>
      <w:bookmarkEnd w:id="4"/>
      <w:bookmarkEnd w:id="5"/>
    </w:p>
    <w:p w:rsidR="00802AB9" w:rsidRPr="00802AB9" w:rsidRDefault="00802AB9" w:rsidP="00B63FDA">
      <w:pPr>
        <w:numPr>
          <w:ilvl w:val="0"/>
          <w:numId w:val="2"/>
        </w:numPr>
        <w:tabs>
          <w:tab w:val="clear" w:pos="900"/>
        </w:tabs>
        <w:ind w:left="1440" w:hanging="720"/>
      </w:pPr>
      <w:bookmarkStart w:id="6" w:name="_Toc113679786"/>
      <w:r w:rsidRPr="00802AB9">
        <w:t>Administration of BI-SSSS</w:t>
      </w:r>
    </w:p>
    <w:p w:rsidR="00802AB9" w:rsidRPr="00802AB9" w:rsidRDefault="00802AB9" w:rsidP="00B63FDA">
      <w:pPr>
        <w:ind w:left="1440"/>
      </w:pPr>
      <w:r w:rsidRPr="00802AB9">
        <w:t xml:space="preserve">The Directorate of Monetary Management </w:t>
      </w:r>
      <w:r w:rsidRPr="00802AB9">
        <w:rPr>
          <w:i/>
        </w:rPr>
        <w:t>c.q.</w:t>
      </w:r>
      <w:r w:rsidRPr="00802AB9">
        <w:t xml:space="preserve"> the Division of Monetary Management Transactions Settlement (PTPM) shall provide facilities and infrastructure as well as maintaining the uninterrupted BI-SSSS organization among other things by the following means:</w:t>
      </w:r>
    </w:p>
    <w:p w:rsidR="00802AB9" w:rsidRPr="00802AB9" w:rsidRDefault="00802AB9" w:rsidP="00B63FDA">
      <w:pPr>
        <w:numPr>
          <w:ilvl w:val="0"/>
          <w:numId w:val="3"/>
        </w:numPr>
        <w:tabs>
          <w:tab w:val="clear" w:pos="2340"/>
        </w:tabs>
        <w:ind w:left="2160" w:hanging="720"/>
      </w:pPr>
      <w:r w:rsidRPr="00802AB9">
        <w:t>Providing application (</w:t>
      </w:r>
      <w:r w:rsidRPr="00802AB9">
        <w:rPr>
          <w:iCs/>
        </w:rPr>
        <w:t>software</w:t>
      </w:r>
      <w:r w:rsidRPr="00802AB9">
        <w:t>), network and other supporting tools.</w:t>
      </w:r>
    </w:p>
    <w:p w:rsidR="00802AB9" w:rsidRPr="00802AB9" w:rsidRDefault="00802AB9" w:rsidP="00B63FDA">
      <w:pPr>
        <w:numPr>
          <w:ilvl w:val="0"/>
          <w:numId w:val="3"/>
        </w:numPr>
        <w:tabs>
          <w:tab w:val="clear" w:pos="2340"/>
        </w:tabs>
        <w:ind w:left="2160" w:hanging="720"/>
      </w:pPr>
      <w:r w:rsidRPr="00802AB9">
        <w:t xml:space="preserve">Providing 1 (one) leased line communication channel connecting the ST to the SCC. </w:t>
      </w:r>
    </w:p>
    <w:p w:rsidR="00802AB9" w:rsidRPr="00802AB9" w:rsidRDefault="00802AB9" w:rsidP="00B63FDA">
      <w:pPr>
        <w:ind w:left="2160" w:hanging="720"/>
      </w:pPr>
      <w:r w:rsidRPr="00802AB9">
        <w:t>In the event that the Member intends to add communication channel (leased-line) as a back-up in addition to the channel provided by the Organizer, the Member concerned may submit a request for additional communication channel to the Organizer at the expense of the Member by stating the reason thereof. The approval to the request for additional communication channel concerned shall be in accordance with policy of the Organizer.</w:t>
      </w:r>
    </w:p>
    <w:p w:rsidR="00802AB9" w:rsidRPr="00802AB9" w:rsidRDefault="00802AB9" w:rsidP="00B63FDA">
      <w:pPr>
        <w:numPr>
          <w:ilvl w:val="0"/>
          <w:numId w:val="3"/>
        </w:numPr>
        <w:tabs>
          <w:tab w:val="clear" w:pos="2340"/>
        </w:tabs>
        <w:ind w:left="2160" w:hanging="720"/>
      </w:pPr>
      <w:bookmarkStart w:id="7" w:name="_Toc113679788"/>
      <w:r w:rsidRPr="00802AB9">
        <w:t>Providing the ST application and guidelines on its installation to all Members</w:t>
      </w:r>
      <w:bookmarkStart w:id="8" w:name="_Toc113679789"/>
      <w:bookmarkEnd w:id="7"/>
      <w:r w:rsidRPr="00802AB9">
        <w:t xml:space="preserve">, including in the event of a change in the ST application. </w:t>
      </w:r>
      <w:bookmarkEnd w:id="8"/>
    </w:p>
    <w:p w:rsidR="00802AB9" w:rsidRPr="00802AB9" w:rsidRDefault="00802AB9" w:rsidP="00B63FDA">
      <w:pPr>
        <w:numPr>
          <w:ilvl w:val="0"/>
          <w:numId w:val="3"/>
        </w:numPr>
        <w:tabs>
          <w:tab w:val="clear" w:pos="2340"/>
        </w:tabs>
        <w:ind w:left="2160" w:hanging="720"/>
      </w:pPr>
      <w:r w:rsidRPr="00802AB9">
        <w:lastRenderedPageBreak/>
        <w:t>Providing a manual on the Use of BI-SSSS, including in the event of update as a result of a change in the ST application.</w:t>
      </w:r>
    </w:p>
    <w:p w:rsidR="00802AB9" w:rsidRPr="00802AB9" w:rsidRDefault="00802AB9" w:rsidP="00B63FDA">
      <w:pPr>
        <w:numPr>
          <w:ilvl w:val="0"/>
          <w:numId w:val="3"/>
        </w:numPr>
        <w:tabs>
          <w:tab w:val="clear" w:pos="2340"/>
        </w:tabs>
        <w:ind w:left="2160" w:hanging="720"/>
      </w:pPr>
      <w:r w:rsidRPr="00802AB9">
        <w:t>Providing training on the use of the BI-SSSS application for candidate Members and/or the Members according to the needs.</w:t>
      </w:r>
    </w:p>
    <w:p w:rsidR="00802AB9" w:rsidRPr="00802AB9" w:rsidRDefault="00802AB9" w:rsidP="00B63FDA">
      <w:pPr>
        <w:numPr>
          <w:ilvl w:val="0"/>
          <w:numId w:val="3"/>
        </w:numPr>
        <w:tabs>
          <w:tab w:val="clear" w:pos="2340"/>
        </w:tabs>
        <w:ind w:left="2160" w:hanging="720"/>
      </w:pPr>
      <w:r w:rsidRPr="00802AB9">
        <w:t>Registering a new Member, including managing the membership data and its changes in the SCC.</w:t>
      </w:r>
    </w:p>
    <w:p w:rsidR="00802AB9" w:rsidRPr="00802AB9" w:rsidRDefault="00802AB9" w:rsidP="00B63FDA">
      <w:pPr>
        <w:numPr>
          <w:ilvl w:val="0"/>
          <w:numId w:val="3"/>
        </w:numPr>
        <w:tabs>
          <w:tab w:val="clear" w:pos="2340"/>
        </w:tabs>
        <w:ind w:left="2160" w:hanging="720"/>
      </w:pPr>
      <w:r w:rsidRPr="00802AB9">
        <w:t>Making announcement of a change of cost for the use of BI-SSSS.</w:t>
      </w:r>
    </w:p>
    <w:p w:rsidR="00802AB9" w:rsidRPr="00802AB9" w:rsidRDefault="00802AB9" w:rsidP="00B63FDA">
      <w:pPr>
        <w:numPr>
          <w:ilvl w:val="0"/>
          <w:numId w:val="3"/>
        </w:numPr>
        <w:tabs>
          <w:tab w:val="clear" w:pos="2340"/>
        </w:tabs>
        <w:ind w:left="2160" w:hanging="720"/>
      </w:pPr>
      <w:r w:rsidRPr="00802AB9">
        <w:t>Making announcement of a change in the operation time of BI-SSSS.</w:t>
      </w:r>
    </w:p>
    <w:p w:rsidR="00802AB9" w:rsidRPr="00802AB9" w:rsidRDefault="00802AB9" w:rsidP="00B63FDA">
      <w:pPr>
        <w:numPr>
          <w:ilvl w:val="0"/>
          <w:numId w:val="3"/>
        </w:numPr>
        <w:tabs>
          <w:tab w:val="clear" w:pos="2340"/>
        </w:tabs>
        <w:ind w:left="2160" w:hanging="720"/>
      </w:pPr>
      <w:r w:rsidRPr="00802AB9">
        <w:t xml:space="preserve">Providing a </w:t>
      </w:r>
      <w:r w:rsidRPr="00802AB9">
        <w:rPr>
          <w:iCs/>
        </w:rPr>
        <w:t>help desk</w:t>
      </w:r>
      <w:r w:rsidRPr="00802AB9">
        <w:t xml:space="preserve"> to address the operational issues of BI-SSSS encountered by the Members during the operation time of BI-SSSS.</w:t>
      </w:r>
    </w:p>
    <w:p w:rsidR="00802AB9" w:rsidRPr="00802AB9" w:rsidRDefault="00802AB9" w:rsidP="00B63FDA">
      <w:pPr>
        <w:numPr>
          <w:ilvl w:val="0"/>
          <w:numId w:val="3"/>
        </w:numPr>
        <w:tabs>
          <w:tab w:val="clear" w:pos="2340"/>
        </w:tabs>
        <w:ind w:left="2160" w:hanging="720"/>
      </w:pPr>
      <w:r w:rsidRPr="00802AB9">
        <w:t>Providing a Guest Bank Facility for the Members.</w:t>
      </w:r>
    </w:p>
    <w:p w:rsidR="00802AB9" w:rsidRPr="00802AB9" w:rsidRDefault="00802AB9" w:rsidP="00B63FDA">
      <w:pPr>
        <w:numPr>
          <w:ilvl w:val="0"/>
          <w:numId w:val="3"/>
        </w:numPr>
        <w:tabs>
          <w:tab w:val="clear" w:pos="2340"/>
        </w:tabs>
        <w:ind w:left="2160" w:hanging="720"/>
      </w:pPr>
      <w:r w:rsidRPr="00802AB9">
        <w:t>Making announcement of Emergency Conditions and the enforcement of a contingency plan.</w:t>
      </w:r>
    </w:p>
    <w:p w:rsidR="00802AB9" w:rsidRPr="00802AB9" w:rsidRDefault="00802AB9" w:rsidP="00B63FDA">
      <w:pPr>
        <w:numPr>
          <w:ilvl w:val="0"/>
          <w:numId w:val="3"/>
        </w:numPr>
        <w:tabs>
          <w:tab w:val="clear" w:pos="2340"/>
        </w:tabs>
        <w:ind w:left="2160" w:hanging="720"/>
      </w:pPr>
      <w:r w:rsidRPr="00802AB9">
        <w:t>Conducting supervision of the Members on the use of BI-SSSS.</w:t>
      </w:r>
    </w:p>
    <w:p w:rsidR="00802AB9" w:rsidRPr="00802AB9" w:rsidRDefault="00802AB9" w:rsidP="00B63FDA">
      <w:pPr>
        <w:numPr>
          <w:ilvl w:val="0"/>
          <w:numId w:val="3"/>
        </w:numPr>
        <w:tabs>
          <w:tab w:val="clear" w:pos="2340"/>
        </w:tabs>
        <w:ind w:left="2160" w:hanging="720"/>
      </w:pPr>
      <w:r w:rsidRPr="00802AB9">
        <w:t>Imposing administrative sanction on the Members violating the provisions and/or failing to comply with their obligations.</w:t>
      </w:r>
    </w:p>
    <w:p w:rsidR="00802AB9" w:rsidRDefault="00802AB9" w:rsidP="00B63FDA">
      <w:pPr>
        <w:numPr>
          <w:ilvl w:val="0"/>
          <w:numId w:val="3"/>
        </w:numPr>
        <w:tabs>
          <w:tab w:val="clear" w:pos="2340"/>
        </w:tabs>
        <w:ind w:left="2160" w:hanging="720"/>
      </w:pPr>
      <w:r w:rsidRPr="00802AB9">
        <w:t>Changing the status of the Members based on a request from an authorized supervisory agency or the Member concerned or other reasons.</w:t>
      </w:r>
    </w:p>
    <w:p w:rsidR="00630B29" w:rsidRPr="00802AB9" w:rsidRDefault="00630B29" w:rsidP="00B63FDA">
      <w:pPr>
        <w:ind w:left="1440"/>
      </w:pPr>
    </w:p>
    <w:p w:rsidR="00802AB9" w:rsidRPr="00802AB9" w:rsidRDefault="00802AB9" w:rsidP="00B63FDA">
      <w:pPr>
        <w:numPr>
          <w:ilvl w:val="0"/>
          <w:numId w:val="2"/>
        </w:numPr>
        <w:tabs>
          <w:tab w:val="clear" w:pos="900"/>
        </w:tabs>
        <w:ind w:left="1440" w:hanging="720"/>
      </w:pPr>
      <w:r w:rsidRPr="00802AB9">
        <w:t xml:space="preserve">Transactions with Bank </w:t>
      </w:r>
      <w:smartTag w:uri="urn:schemas-microsoft-com:office:smarttags" w:element="place">
        <w:smartTag w:uri="urn:schemas-microsoft-com:office:smarttags" w:element="country-region">
          <w:r w:rsidRPr="00802AB9">
            <w:t>Indonesia</w:t>
          </w:r>
        </w:smartTag>
      </w:smartTag>
      <w:r w:rsidRPr="00802AB9">
        <w:t xml:space="preserve"> </w:t>
      </w:r>
    </w:p>
    <w:p w:rsidR="00802AB9" w:rsidRPr="00802AB9" w:rsidRDefault="00802AB9" w:rsidP="00B63FDA">
      <w:pPr>
        <w:ind w:left="1440"/>
      </w:pPr>
      <w:r w:rsidRPr="00802AB9">
        <w:t xml:space="preserve">In organizing (auction/non-auction) transactions, the Directorate of Monetary Management </w:t>
      </w:r>
      <w:r w:rsidRPr="00802AB9">
        <w:rPr>
          <w:i/>
        </w:rPr>
        <w:t>c.q.</w:t>
      </w:r>
      <w:r w:rsidRPr="00802AB9">
        <w:t xml:space="preserve"> the Division of Monetary Management Transactions Settlement (PTPM) shall conduct activity in the BidCC as follows:</w:t>
      </w:r>
    </w:p>
    <w:p w:rsidR="00802AB9" w:rsidRPr="00802AB9" w:rsidRDefault="00802AB9" w:rsidP="00B63FDA">
      <w:pPr>
        <w:numPr>
          <w:ilvl w:val="0"/>
          <w:numId w:val="4"/>
        </w:numPr>
        <w:tabs>
          <w:tab w:val="clear" w:pos="2340"/>
        </w:tabs>
        <w:ind w:left="2160" w:hanging="720"/>
      </w:pPr>
      <w:r w:rsidRPr="00802AB9">
        <w:lastRenderedPageBreak/>
        <w:t>Making announcement of window time of auction/non-auction transactions and its changes.</w:t>
      </w:r>
    </w:p>
    <w:p w:rsidR="00802AB9" w:rsidRPr="00802AB9" w:rsidRDefault="00802AB9" w:rsidP="00B63FDA">
      <w:pPr>
        <w:numPr>
          <w:ilvl w:val="0"/>
          <w:numId w:val="4"/>
        </w:numPr>
        <w:tabs>
          <w:tab w:val="clear" w:pos="2340"/>
        </w:tabs>
        <w:ind w:left="2160" w:hanging="720"/>
      </w:pPr>
      <w:r w:rsidRPr="00802AB9">
        <w:t>Registering the Members of auction/non-auction transactions and the changes.</w:t>
      </w:r>
    </w:p>
    <w:p w:rsidR="00802AB9" w:rsidRPr="00802AB9" w:rsidRDefault="00802AB9" w:rsidP="00B63FDA">
      <w:pPr>
        <w:numPr>
          <w:ilvl w:val="0"/>
          <w:numId w:val="4"/>
        </w:numPr>
        <w:tabs>
          <w:tab w:val="clear" w:pos="2340"/>
        </w:tabs>
        <w:ind w:left="2160" w:hanging="720"/>
      </w:pPr>
      <w:r w:rsidRPr="00802AB9">
        <w:t>Making announcement of time of the implementation of auction/non-auction transactions to all Members.</w:t>
      </w:r>
    </w:p>
    <w:p w:rsidR="00802AB9" w:rsidRPr="00802AB9" w:rsidRDefault="00802AB9" w:rsidP="00B63FDA">
      <w:pPr>
        <w:numPr>
          <w:ilvl w:val="0"/>
          <w:numId w:val="4"/>
        </w:numPr>
        <w:tabs>
          <w:tab w:val="clear" w:pos="2340"/>
        </w:tabs>
        <w:ind w:left="2160" w:hanging="720"/>
      </w:pPr>
      <w:r w:rsidRPr="00802AB9">
        <w:t>Receiving data on transactions from the Members registered as transaction Members.</w:t>
      </w:r>
    </w:p>
    <w:p w:rsidR="00802AB9" w:rsidRPr="00802AB9" w:rsidRDefault="00802AB9" w:rsidP="00B63FDA">
      <w:pPr>
        <w:numPr>
          <w:ilvl w:val="0"/>
          <w:numId w:val="4"/>
        </w:numPr>
        <w:tabs>
          <w:tab w:val="clear" w:pos="2340"/>
        </w:tabs>
        <w:ind w:left="2160" w:hanging="720"/>
      </w:pPr>
      <w:r w:rsidRPr="00802AB9">
        <w:t>Making announcement of decision on the results of auction/non-auction transactions or the approval to Financing Facility to the Members.</w:t>
      </w:r>
    </w:p>
    <w:p w:rsidR="00802AB9" w:rsidRPr="00802AB9" w:rsidRDefault="00802AB9" w:rsidP="00B63FDA">
      <w:pPr>
        <w:numPr>
          <w:ilvl w:val="0"/>
          <w:numId w:val="4"/>
        </w:numPr>
        <w:tabs>
          <w:tab w:val="clear" w:pos="2340"/>
        </w:tabs>
        <w:ind w:left="2160" w:hanging="720"/>
      </w:pPr>
      <w:r w:rsidRPr="00802AB9">
        <w:t xml:space="preserve">Forwarding the decision on the results of auction/non-auction transactions or the approval to Financing Facility as intended in letter e to the SCC for settlement by the Directorate of Monetary Management </w:t>
      </w:r>
      <w:r w:rsidRPr="00802AB9">
        <w:rPr>
          <w:i/>
        </w:rPr>
        <w:t>c.q.</w:t>
      </w:r>
      <w:r w:rsidRPr="00802AB9">
        <w:t xml:space="preserve"> the Division of Monetary Management Transactions Settlement (PTPM).</w:t>
      </w:r>
    </w:p>
    <w:p w:rsidR="00802AB9" w:rsidRPr="00802AB9" w:rsidRDefault="00802AB9" w:rsidP="00B63FDA"/>
    <w:p w:rsidR="00802AB9" w:rsidRPr="00802AB9" w:rsidRDefault="00802AB9" w:rsidP="00B63FDA">
      <w:pPr>
        <w:numPr>
          <w:ilvl w:val="0"/>
          <w:numId w:val="2"/>
        </w:numPr>
        <w:tabs>
          <w:tab w:val="clear" w:pos="900"/>
        </w:tabs>
        <w:ind w:left="1440" w:hanging="720"/>
      </w:pPr>
      <w:r w:rsidRPr="00802AB9">
        <w:t xml:space="preserve">Administration </w:t>
      </w:r>
    </w:p>
    <w:p w:rsidR="00802AB9" w:rsidRPr="00802AB9" w:rsidRDefault="00802AB9" w:rsidP="00B63FDA">
      <w:pPr>
        <w:ind w:left="1440"/>
      </w:pPr>
      <w:r w:rsidRPr="00802AB9">
        <w:t xml:space="preserve">The Directorate of Monetary Management </w:t>
      </w:r>
      <w:r w:rsidRPr="00802AB9">
        <w:rPr>
          <w:i/>
        </w:rPr>
        <w:t>c.q.</w:t>
      </w:r>
      <w:r w:rsidRPr="00802AB9">
        <w:t xml:space="preserve"> the Division of Monetary Management Transactions Settlement (PTPM) shall conduct administration in the SCC among other things in the following activities:     </w:t>
      </w:r>
    </w:p>
    <w:p w:rsidR="00802AB9" w:rsidRPr="00802AB9" w:rsidRDefault="00802AB9" w:rsidP="00B63FDA">
      <w:pPr>
        <w:numPr>
          <w:ilvl w:val="0"/>
          <w:numId w:val="5"/>
        </w:numPr>
        <w:tabs>
          <w:tab w:val="clear" w:pos="2340"/>
        </w:tabs>
        <w:ind w:left="2160" w:hanging="720"/>
      </w:pPr>
      <w:r w:rsidRPr="00802AB9">
        <w:t xml:space="preserve">Registering Securities/Open Market Operation Instruments in accordance with terms and conditions stipulated by the issuer of Securities/Open Market Operation Instruments. </w:t>
      </w:r>
    </w:p>
    <w:p w:rsidR="00802AB9" w:rsidRPr="00802AB9" w:rsidRDefault="00802AB9" w:rsidP="00B63FDA">
      <w:pPr>
        <w:numPr>
          <w:ilvl w:val="0"/>
          <w:numId w:val="5"/>
        </w:numPr>
        <w:tabs>
          <w:tab w:val="clear" w:pos="2340"/>
        </w:tabs>
        <w:ind w:left="2160" w:hanging="720"/>
      </w:pPr>
      <w:r w:rsidRPr="00802AB9">
        <w:t>Determining the deadline of the Queue System for the implementation of the Securities settlement and its changes.</w:t>
      </w:r>
    </w:p>
    <w:p w:rsidR="00802AB9" w:rsidRPr="00802AB9" w:rsidRDefault="00802AB9" w:rsidP="00B63FDA">
      <w:pPr>
        <w:numPr>
          <w:ilvl w:val="0"/>
          <w:numId w:val="5"/>
        </w:numPr>
        <w:tabs>
          <w:tab w:val="clear" w:pos="2340"/>
        </w:tabs>
        <w:ind w:left="2160" w:hanging="720"/>
      </w:pPr>
      <w:r w:rsidRPr="00802AB9">
        <w:t xml:space="preserve">Conducting the settlement of Transactions with Bank </w:t>
      </w:r>
      <w:smartTag w:uri="urn:schemas-microsoft-com:office:smarttags" w:element="country-region">
        <w:smartTag w:uri="urn:schemas-microsoft-com:office:smarttags" w:element="place">
          <w:r w:rsidRPr="00802AB9">
            <w:t>Indonesia</w:t>
          </w:r>
        </w:smartTag>
      </w:smartTag>
      <w:r w:rsidRPr="00802AB9">
        <w:t xml:space="preserve"> and the settlement of inter-Members transactions transmitted through the ST.</w:t>
      </w:r>
    </w:p>
    <w:p w:rsidR="00802AB9" w:rsidRPr="00802AB9" w:rsidRDefault="00802AB9" w:rsidP="00B63FDA">
      <w:pPr>
        <w:numPr>
          <w:ilvl w:val="0"/>
          <w:numId w:val="5"/>
        </w:numPr>
        <w:tabs>
          <w:tab w:val="clear" w:pos="2340"/>
        </w:tabs>
        <w:ind w:left="2160" w:hanging="720"/>
      </w:pPr>
      <w:r w:rsidRPr="00802AB9">
        <w:lastRenderedPageBreak/>
        <w:t xml:space="preserve">Conducting registration of ownership of the Securities for the settlement of Transactions with Bank </w:t>
      </w:r>
      <w:smartTag w:uri="urn:schemas-microsoft-com:office:smarttags" w:element="country-region">
        <w:smartTag w:uri="urn:schemas-microsoft-com:office:smarttags" w:element="place">
          <w:r w:rsidRPr="00802AB9">
            <w:t>Indonesia</w:t>
          </w:r>
        </w:smartTag>
      </w:smartTag>
      <w:r w:rsidRPr="00802AB9">
        <w:t xml:space="preserve"> and registration of ownership of the Securities for the settlement of inter-Members transactions through BI-SSSS. </w:t>
      </w:r>
    </w:p>
    <w:p w:rsidR="00802AB9" w:rsidRPr="00802AB9" w:rsidRDefault="00802AB9" w:rsidP="00B63FDA">
      <w:pPr>
        <w:numPr>
          <w:ilvl w:val="0"/>
          <w:numId w:val="5"/>
        </w:numPr>
        <w:tabs>
          <w:tab w:val="clear" w:pos="2340"/>
        </w:tabs>
        <w:ind w:left="2160" w:hanging="720"/>
      </w:pPr>
      <w:r w:rsidRPr="00802AB9">
        <w:t>Imposing sanction of obligations of payment on the Members of the Open Market Operation which fail to conduct settlement because the balance of the Securities Account and/or the balance of the Giro Account are/is insufficient.</w:t>
      </w:r>
    </w:p>
    <w:p w:rsidR="00802AB9" w:rsidRPr="00802AB9" w:rsidRDefault="00802AB9" w:rsidP="00B63FDA">
      <w:pPr>
        <w:numPr>
          <w:ilvl w:val="0"/>
          <w:numId w:val="5"/>
        </w:numPr>
        <w:tabs>
          <w:tab w:val="clear" w:pos="2340"/>
        </w:tabs>
        <w:ind w:left="2160" w:hanging="720"/>
      </w:pPr>
      <w:r w:rsidRPr="00802AB9">
        <w:t xml:space="preserve">Conducting procedures for the execution of pledge of the Securities in accordance with provision related to Open Market Operation, Financing Facility, and/or State Securities transaction by the Government. </w:t>
      </w:r>
    </w:p>
    <w:p w:rsidR="00802AB9" w:rsidRPr="00802AB9" w:rsidRDefault="00802AB9" w:rsidP="00B63FDA">
      <w:pPr>
        <w:numPr>
          <w:ilvl w:val="0"/>
          <w:numId w:val="5"/>
        </w:numPr>
        <w:tabs>
          <w:tab w:val="clear" w:pos="2340"/>
        </w:tabs>
        <w:ind w:left="2160" w:hanging="720"/>
      </w:pPr>
      <w:r w:rsidRPr="00802AB9">
        <w:t>Conducting early termination of repurchase agreement transaction, pledge, Securities borrowing and lending at the request of one of the Members conducting transaction, decision of authorized supervisory agency, court decision and/or arbitration agency having permanent legal force, causing an early termination to be conducted.</w:t>
      </w:r>
    </w:p>
    <w:p w:rsidR="00802AB9" w:rsidRPr="00802AB9" w:rsidRDefault="00802AB9" w:rsidP="00B63FDA">
      <w:pPr>
        <w:numPr>
          <w:ilvl w:val="0"/>
          <w:numId w:val="5"/>
        </w:numPr>
        <w:tabs>
          <w:tab w:val="clear" w:pos="2340"/>
        </w:tabs>
        <w:ind w:left="2160" w:hanging="720"/>
      </w:pPr>
      <w:r w:rsidRPr="00802AB9">
        <w:t xml:space="preserve">Conducting payment of coupon (interest) or yield, and principal/nominal amount of the Securities/Open Market Operation Instruments to the Members. </w:t>
      </w:r>
      <w:bookmarkEnd w:id="6"/>
    </w:p>
    <w:p w:rsidR="00802AB9" w:rsidRPr="00802AB9" w:rsidRDefault="00802AB9" w:rsidP="00B63FDA"/>
    <w:sectPr w:rsidR="00802AB9" w:rsidRPr="00802AB9" w:rsidSect="00802AB9">
      <w:headerReference w:type="default" r:id="rId7"/>
      <w:pgSz w:w="11909" w:h="16834" w:code="9"/>
      <w:pgMar w:top="2448" w:right="1728" w:bottom="1728" w:left="201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35A1" w:rsidRDefault="004A35A1" w:rsidP="00263CB0">
      <w:pPr>
        <w:spacing w:line="240" w:lineRule="auto"/>
      </w:pPr>
      <w:r>
        <w:separator/>
      </w:r>
    </w:p>
  </w:endnote>
  <w:endnote w:type="continuationSeparator" w:id="0">
    <w:p w:rsidR="004A35A1" w:rsidRDefault="004A35A1" w:rsidP="00263CB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35A1" w:rsidRDefault="004A35A1" w:rsidP="00263CB0">
      <w:pPr>
        <w:spacing w:line="240" w:lineRule="auto"/>
      </w:pPr>
      <w:r>
        <w:separator/>
      </w:r>
    </w:p>
  </w:footnote>
  <w:footnote w:type="continuationSeparator" w:id="0">
    <w:p w:rsidR="004A35A1" w:rsidRDefault="004A35A1" w:rsidP="00263CB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7B0" w:rsidRPr="004D3D56" w:rsidRDefault="00D057B0" w:rsidP="00D057B0">
    <w:pPr>
      <w:pStyle w:val="Header"/>
      <w:tabs>
        <w:tab w:val="clear" w:pos="4680"/>
        <w:tab w:val="clear" w:pos="9360"/>
      </w:tabs>
      <w:spacing w:line="240" w:lineRule="auto"/>
      <w:jc w:val="left"/>
      <w:rPr>
        <w:sz w:val="26"/>
        <w:szCs w:val="26"/>
        <w:lang w:val="it-IT"/>
      </w:rPr>
    </w:pPr>
    <w:r w:rsidRPr="002E3DB6">
      <w:rPr>
        <w:noProof/>
        <w:sz w:val="26"/>
      </w:rPr>
      <w:pict>
        <v:line id="_x0000_s2049" style="position:absolute;z-index:251657728" from=".75pt,18.05pt" to="286.5pt,18.05pt">
          <v:stroke dashstyle="dash"/>
        </v:line>
      </w:pict>
    </w:r>
    <w:r w:rsidRPr="00676860">
      <w:rPr>
        <w:sz w:val="26"/>
        <w:lang w:val="it-IT"/>
      </w:rPr>
      <w:t xml:space="preserve"> </w:t>
    </w:r>
    <w:r>
      <w:rPr>
        <w:sz w:val="26"/>
        <w:lang w:val="it-IT"/>
      </w:rPr>
      <w:t>Attachment to Circular Letter</w:t>
    </w:r>
    <w:r w:rsidRPr="00644F05">
      <w:rPr>
        <w:sz w:val="26"/>
        <w:lang w:val="it-IT"/>
      </w:rPr>
      <w:t xml:space="preserve"> No. 1</w:t>
    </w:r>
    <w:r>
      <w:rPr>
        <w:sz w:val="26"/>
        <w:lang w:val="it-IT"/>
      </w:rPr>
      <w:t>1</w:t>
    </w:r>
    <w:r w:rsidRPr="00644F05">
      <w:rPr>
        <w:sz w:val="26"/>
        <w:lang w:val="it-IT"/>
      </w:rPr>
      <w:t>/</w:t>
    </w:r>
    <w:r>
      <w:rPr>
        <w:sz w:val="26"/>
        <w:lang w:val="it-IT"/>
      </w:rPr>
      <w:t>23/</w:t>
    </w:r>
    <w:r w:rsidRPr="00644F05">
      <w:rPr>
        <w:sz w:val="26"/>
        <w:lang w:val="it-IT"/>
      </w:rPr>
      <w:t xml:space="preserve">DPM </w:t>
    </w:r>
    <w:r>
      <w:rPr>
        <w:sz w:val="26"/>
        <w:lang w:val="it-IT"/>
      </w:rPr>
      <w:t>dated August</w:t>
    </w:r>
    <w:r w:rsidRPr="00644F05">
      <w:rPr>
        <w:sz w:val="26"/>
        <w:lang w:val="it-IT"/>
      </w:rPr>
      <w:t xml:space="preserve"> </w:t>
    </w:r>
    <w:r>
      <w:rPr>
        <w:sz w:val="26"/>
        <w:lang w:val="it-IT"/>
      </w:rPr>
      <w:t>25, 2009</w:t>
    </w:r>
    <w:r w:rsidR="00DE0FFF">
      <w:rPr>
        <w:sz w:val="26"/>
        <w:lang w:val="it-IT"/>
      </w:rPr>
      <w:t xml:space="preserve">       </w:t>
    </w:r>
    <w:r w:rsidRPr="00760303">
      <w:rPr>
        <w:sz w:val="26"/>
        <w:szCs w:val="26"/>
        <w:lang w:val="it-IT"/>
      </w:rPr>
      <w:t>II</w:t>
    </w:r>
    <w:r w:rsidRPr="004D3D56">
      <w:rPr>
        <w:sz w:val="26"/>
        <w:szCs w:val="26"/>
        <w:lang w:val="it-IT"/>
      </w:rPr>
      <w:t>-</w:t>
    </w:r>
    <w:r w:rsidRPr="00760303">
      <w:rPr>
        <w:sz w:val="26"/>
        <w:szCs w:val="26"/>
      </w:rPr>
      <w:fldChar w:fldCharType="begin"/>
    </w:r>
    <w:r w:rsidRPr="004D3D56">
      <w:rPr>
        <w:sz w:val="26"/>
        <w:szCs w:val="26"/>
        <w:lang w:val="it-IT"/>
      </w:rPr>
      <w:instrText xml:space="preserve"> PAGE   \* MERGEFORMAT </w:instrText>
    </w:r>
    <w:r w:rsidRPr="00760303">
      <w:rPr>
        <w:sz w:val="26"/>
        <w:szCs w:val="26"/>
      </w:rPr>
      <w:fldChar w:fldCharType="separate"/>
    </w:r>
    <w:r w:rsidR="00B63FDA">
      <w:rPr>
        <w:noProof/>
        <w:sz w:val="26"/>
        <w:szCs w:val="26"/>
        <w:lang w:val="it-IT"/>
      </w:rPr>
      <w:t>1</w:t>
    </w:r>
    <w:r w:rsidRPr="00760303">
      <w:rPr>
        <w:sz w:val="26"/>
        <w:szCs w:val="26"/>
      </w:rPr>
      <w:fldChar w:fldCharType="end"/>
    </w:r>
  </w:p>
  <w:p w:rsidR="00D057B0" w:rsidRPr="004D3D56" w:rsidRDefault="00D057B0" w:rsidP="00D057B0">
    <w:pPr>
      <w:pStyle w:val="Header"/>
      <w:tabs>
        <w:tab w:val="clear" w:pos="4680"/>
        <w:tab w:val="clear" w:pos="9360"/>
      </w:tabs>
      <w:spacing w:line="240" w:lineRule="auto"/>
      <w:jc w:val="right"/>
      <w:rPr>
        <w:b/>
        <w:sz w:val="26"/>
        <w:szCs w:val="26"/>
        <w:u w:val="single"/>
        <w:lang w:val="it-IT"/>
      </w:rPr>
    </w:pPr>
  </w:p>
  <w:p w:rsidR="00D057B0" w:rsidRDefault="00D057B0" w:rsidP="00D057B0">
    <w:pPr>
      <w:pStyle w:val="Header"/>
      <w:spacing w:line="240" w:lineRule="auto"/>
      <w:jc w:val="right"/>
      <w:rPr>
        <w:sz w:val="26"/>
        <w:szCs w:val="26"/>
        <w:u w:val="single"/>
        <w:lang w:val="it-IT"/>
      </w:rPr>
    </w:pPr>
    <w:r>
      <w:rPr>
        <w:sz w:val="26"/>
        <w:szCs w:val="26"/>
        <w:u w:val="single"/>
        <w:lang w:val="it-IT"/>
      </w:rPr>
      <w:t>Continuation of</w:t>
    </w:r>
    <w:r w:rsidRPr="007701A7">
      <w:rPr>
        <w:sz w:val="26"/>
        <w:szCs w:val="26"/>
        <w:u w:val="single"/>
        <w:lang w:val="it-IT"/>
      </w:rPr>
      <w:t xml:space="preserve"> </w:t>
    </w:r>
    <w:r>
      <w:rPr>
        <w:sz w:val="26"/>
        <w:szCs w:val="26"/>
        <w:u w:val="single"/>
        <w:lang w:val="it-IT"/>
      </w:rPr>
      <w:t>Attachment</w:t>
    </w:r>
    <w:r w:rsidRPr="007701A7">
      <w:rPr>
        <w:sz w:val="26"/>
        <w:szCs w:val="26"/>
        <w:u w:val="single"/>
        <w:lang w:val="it-IT"/>
      </w:rPr>
      <w:t xml:space="preserve"> 7</w:t>
    </w:r>
  </w:p>
  <w:p w:rsidR="00D057B0" w:rsidRPr="004D3D56" w:rsidRDefault="00D057B0" w:rsidP="00D057B0">
    <w:pPr>
      <w:pStyle w:val="Header"/>
      <w:tabs>
        <w:tab w:val="clear" w:pos="4680"/>
        <w:tab w:val="clear" w:pos="9360"/>
      </w:tabs>
      <w:jc w:val="right"/>
      <w:rPr>
        <w:b/>
        <w:sz w:val="26"/>
        <w:szCs w:val="26"/>
        <w:u w:val="single"/>
        <w:lang w:val="it-I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06078"/>
    <w:multiLevelType w:val="hybridMultilevel"/>
    <w:tmpl w:val="66C0473E"/>
    <w:lvl w:ilvl="0" w:tplc="0409001B">
      <w:start w:val="1"/>
      <w:numFmt w:val="lowerLetter"/>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9C42C04"/>
    <w:multiLevelType w:val="hybridMultilevel"/>
    <w:tmpl w:val="A50C6C92"/>
    <w:lvl w:ilvl="0" w:tplc="0409001B">
      <w:start w:val="1"/>
      <w:numFmt w:val="lowerLetter"/>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A47141D"/>
    <w:multiLevelType w:val="hybridMultilevel"/>
    <w:tmpl w:val="C75A7444"/>
    <w:lvl w:ilvl="0" w:tplc="17324B62">
      <w:start w:val="1"/>
      <w:numFmt w:val="upperLetter"/>
      <w:pStyle w:val="Heading2"/>
      <w:lvlText w:val="%1."/>
      <w:lvlJc w:val="left"/>
      <w:pPr>
        <w:ind w:left="360" w:hanging="360"/>
      </w:pPr>
      <w:rPr>
        <w:rFonts w:ascii="Times New Roman" w:hAnsi="Times New Roman" w:hint="default"/>
        <w:b w:val="0"/>
        <w:i w:val="0"/>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BEE774D"/>
    <w:multiLevelType w:val="hybridMultilevel"/>
    <w:tmpl w:val="18F28486"/>
    <w:lvl w:ilvl="0" w:tplc="0409001B">
      <w:start w:val="1"/>
      <w:numFmt w:val="lowerLetter"/>
      <w:lvlText w:val="%1."/>
      <w:lvlJc w:val="left"/>
      <w:pPr>
        <w:tabs>
          <w:tab w:val="num" w:pos="2340"/>
        </w:tabs>
        <w:ind w:left="23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D923D54"/>
    <w:multiLevelType w:val="hybridMultilevel"/>
    <w:tmpl w:val="5A168040"/>
    <w:lvl w:ilvl="0" w:tplc="61D8FDD6">
      <w:start w:val="1"/>
      <w:numFmt w:val="upperLetter"/>
      <w:lvlText w:val="%1."/>
      <w:lvlJc w:val="left"/>
      <w:pPr>
        <w:tabs>
          <w:tab w:val="num" w:pos="900"/>
        </w:tabs>
        <w:ind w:left="900" w:hanging="540"/>
      </w:pPr>
      <w:rPr>
        <w:rFonts w:hint="default"/>
        <w:i w:val="0"/>
      </w:rPr>
    </w:lvl>
    <w:lvl w:ilvl="1" w:tplc="04090019">
      <w:start w:val="1"/>
      <w:numFmt w:val="decimal"/>
      <w:lvlText w:val="%2."/>
      <w:lvlJc w:val="left"/>
      <w:pPr>
        <w:tabs>
          <w:tab w:val="num" w:pos="360"/>
        </w:tabs>
        <w:ind w:left="360" w:hanging="360"/>
      </w:pPr>
      <w:rPr>
        <w:rFonts w:hint="default"/>
      </w:rPr>
    </w:lvl>
    <w:lvl w:ilvl="2" w:tplc="0409001B">
      <w:start w:val="1"/>
      <w:numFmt w:val="low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1">
      <w:start w:val="1"/>
      <w:numFmt w:val="decimal"/>
      <w:lvlText w:val="%5)"/>
      <w:lvlJc w:val="left"/>
      <w:pPr>
        <w:ind w:left="3600" w:hanging="360"/>
      </w:pPr>
      <w:rPr>
        <w:rFonts w:hint="default"/>
        <w:b w:val="0"/>
        <w:color w:val="auto"/>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DC71B53"/>
    <w:multiLevelType w:val="hybridMultilevel"/>
    <w:tmpl w:val="04DA5766"/>
    <w:lvl w:ilvl="0" w:tplc="346A499C">
      <w:start w:val="1"/>
      <w:numFmt w:val="decimal"/>
      <w:lvlText w:val="%1."/>
      <w:lvlJc w:val="left"/>
      <w:pPr>
        <w:tabs>
          <w:tab w:val="num" w:pos="900"/>
        </w:tabs>
        <w:ind w:left="900" w:hanging="540"/>
      </w:pPr>
      <w:rPr>
        <w:rFonts w:hint="default"/>
        <w:color w:val="auto"/>
      </w:rPr>
    </w:lvl>
    <w:lvl w:ilvl="1" w:tplc="74068EA0">
      <w:start w:val="1"/>
      <w:numFmt w:val="lowerLetter"/>
      <w:lvlText w:val="%2."/>
      <w:lvlJc w:val="left"/>
      <w:pPr>
        <w:tabs>
          <w:tab w:val="num" w:pos="-180"/>
        </w:tabs>
        <w:ind w:left="1440" w:hanging="360"/>
      </w:pPr>
      <w:rPr>
        <w:rFonts w:hint="default"/>
        <w:strike w:val="0"/>
        <w:dstrike w:val="0"/>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46A6A518">
      <w:start w:val="1"/>
      <w:numFmt w:val="lowerRoman"/>
      <w:lvlText w:val="%6."/>
      <w:lvlJc w:val="right"/>
      <w:pPr>
        <w:tabs>
          <w:tab w:val="num" w:pos="4320"/>
        </w:tabs>
        <w:ind w:left="4320" w:hanging="180"/>
      </w:pPr>
      <w:rPr>
        <w:rFonts w:ascii="Times New Roman" w:eastAsia="Times New Roman" w:hAnsi="Times New Roman" w:cs="Times New Roman"/>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802AB9"/>
    <w:rsid w:val="00263CB0"/>
    <w:rsid w:val="004A35A1"/>
    <w:rsid w:val="00630B29"/>
    <w:rsid w:val="00802AB9"/>
    <w:rsid w:val="00B63FDA"/>
    <w:rsid w:val="00D057B0"/>
    <w:rsid w:val="00DE0F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2AB9"/>
    <w:pPr>
      <w:spacing w:line="360" w:lineRule="auto"/>
      <w:jc w:val="both"/>
    </w:pPr>
    <w:rPr>
      <w:sz w:val="24"/>
      <w:szCs w:val="24"/>
    </w:rPr>
  </w:style>
  <w:style w:type="paragraph" w:styleId="Heading1">
    <w:name w:val="heading 1"/>
    <w:basedOn w:val="Normal"/>
    <w:next w:val="Normal"/>
    <w:qFormat/>
    <w:rsid w:val="00802AB9"/>
    <w:pPr>
      <w:keepNext/>
      <w:jc w:val="center"/>
      <w:outlineLvl w:val="0"/>
    </w:pPr>
    <w:rPr>
      <w:sz w:val="26"/>
      <w:szCs w:val="20"/>
    </w:rPr>
  </w:style>
  <w:style w:type="paragraph" w:styleId="Heading2">
    <w:name w:val="heading 2"/>
    <w:basedOn w:val="Normal"/>
    <w:next w:val="Normal"/>
    <w:qFormat/>
    <w:rsid w:val="00802AB9"/>
    <w:pPr>
      <w:keepNext/>
      <w:numPr>
        <w:numId w:val="6"/>
      </w:numPr>
      <w:tabs>
        <w:tab w:val="left" w:pos="1980"/>
      </w:tabs>
      <w:outlineLvl w:val="1"/>
    </w:pPr>
    <w:rPr>
      <w:sz w:val="26"/>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2">
    <w:name w:val="Body Text Indent 2"/>
    <w:basedOn w:val="Normal"/>
    <w:rsid w:val="00802AB9"/>
    <w:pPr>
      <w:tabs>
        <w:tab w:val="left" w:pos="1440"/>
      </w:tabs>
      <w:ind w:left="1890" w:hanging="1890"/>
    </w:pPr>
    <w:rPr>
      <w:szCs w:val="20"/>
    </w:rPr>
  </w:style>
  <w:style w:type="paragraph" w:styleId="BodyText">
    <w:name w:val="Body Text"/>
    <w:basedOn w:val="Normal"/>
    <w:link w:val="BodyTextChar"/>
    <w:rsid w:val="00802AB9"/>
    <w:pPr>
      <w:spacing w:after="120"/>
    </w:pPr>
  </w:style>
  <w:style w:type="character" w:customStyle="1" w:styleId="BodyTextChar">
    <w:name w:val="Body Text Char"/>
    <w:basedOn w:val="DefaultParagraphFont"/>
    <w:link w:val="BodyText"/>
    <w:rsid w:val="00802AB9"/>
    <w:rPr>
      <w:sz w:val="24"/>
      <w:szCs w:val="24"/>
      <w:lang w:val="en-US" w:eastAsia="en-US" w:bidi="ar-SA"/>
    </w:rPr>
  </w:style>
  <w:style w:type="paragraph" w:styleId="Header">
    <w:name w:val="header"/>
    <w:basedOn w:val="Normal"/>
    <w:link w:val="HeaderChar"/>
    <w:rsid w:val="00802AB9"/>
    <w:pPr>
      <w:tabs>
        <w:tab w:val="center" w:pos="4680"/>
        <w:tab w:val="right" w:pos="9360"/>
      </w:tabs>
    </w:pPr>
  </w:style>
  <w:style w:type="character" w:customStyle="1" w:styleId="HeaderChar">
    <w:name w:val="Header Char"/>
    <w:basedOn w:val="DefaultParagraphFont"/>
    <w:link w:val="Header"/>
    <w:rsid w:val="00802AB9"/>
    <w:rPr>
      <w:sz w:val="24"/>
      <w:szCs w:val="24"/>
      <w:lang w:val="en-US" w:eastAsia="en-US" w:bidi="ar-SA"/>
    </w:rPr>
  </w:style>
  <w:style w:type="paragraph" w:styleId="ListParagraph">
    <w:name w:val="List Paragraph"/>
    <w:basedOn w:val="Normal"/>
    <w:qFormat/>
    <w:rsid w:val="00802AB9"/>
    <w:pPr>
      <w:ind w:left="720"/>
      <w:contextualSpacing/>
    </w:pPr>
  </w:style>
  <w:style w:type="paragraph" w:styleId="Footer">
    <w:name w:val="footer"/>
    <w:basedOn w:val="Normal"/>
    <w:link w:val="FooterChar"/>
    <w:rsid w:val="00DE0FFF"/>
    <w:pPr>
      <w:tabs>
        <w:tab w:val="center" w:pos="4680"/>
        <w:tab w:val="right" w:pos="9360"/>
      </w:tabs>
    </w:pPr>
  </w:style>
  <w:style w:type="character" w:customStyle="1" w:styleId="FooterChar">
    <w:name w:val="Footer Char"/>
    <w:basedOn w:val="DefaultParagraphFont"/>
    <w:link w:val="Footer"/>
    <w:rsid w:val="00DE0FFF"/>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CHAPTER II</vt:lpstr>
    </vt:vector>
  </TitlesOfParts>
  <Company>PT. Laksana Tata Indonesia</Company>
  <LinksUpToDate>false</LinksUpToDate>
  <CharactersWithSpaces>6325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II</dc:title>
  <dc:subject/>
  <dc:creator>BAI</dc:creator>
  <cp:keywords/>
  <dc:description/>
  <cp:lastModifiedBy>prasaja</cp:lastModifiedBy>
  <cp:revision>2</cp:revision>
  <dcterms:created xsi:type="dcterms:W3CDTF">2010-08-16T04:18:00Z</dcterms:created>
  <dcterms:modified xsi:type="dcterms:W3CDTF">2010-08-16T04:18:00Z</dcterms:modified>
</cp:coreProperties>
</file>