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4df25a49b9c5b75902b0b62087a5832676cfdf"/>
    <w:p>
      <w:pPr>
        <w:pStyle w:val="Heading1"/>
      </w:pPr>
      <w:r>
        <w:t xml:space="preserve">Çapraz Model Raporu (ham kayıtlardan yeniden üretilmiş sürüm)</w:t>
      </w:r>
    </w:p>
    <w:p>
      <w:pPr>
        <w:pStyle w:val="FirstParagraph"/>
      </w:pPr>
      <w:r>
        <w:t xml:space="preserve">Bu rapor</w:t>
      </w:r>
      <w:r>
        <w:t xml:space="preserve"> </w:t>
      </w:r>
      <w:r>
        <w:rPr>
          <w:rStyle w:val="VerbatimChar"/>
        </w:rPr>
        <w:t xml:space="preserve">tables/tablolar.py</w:t>
      </w:r>
      <w:r>
        <w:t xml:space="preserve"> </w:t>
      </w:r>
      <w:r>
        <w:t xml:space="preserve">tarafından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klasöründeki ham kayıtlardan üretilir. Oranların paydası çözümlenebilen ölçüm sayısıdır; modelin çözümlenebilir bir karar üretmediği ölçümler (</w:t>
      </w:r>
      <w:r>
        <w:rPr>
          <w:rStyle w:val="VerbatimChar"/>
        </w:rPr>
        <w:t xml:space="preserve">karar</w:t>
      </w:r>
      <w:r>
        <w:t xml:space="preserve">/</w:t>
      </w:r>
      <w:r>
        <w:rPr>
          <w:rStyle w:val="VerbatimChar"/>
        </w:rPr>
        <w:t xml:space="preserve">secim</w:t>
      </w:r>
      <w:r>
        <w:t xml:space="preserve"> </w:t>
      </w:r>
      <w:r>
        <w:t xml:space="preserve">= None) köşeli parantez içinde ayrıca gösterilir ve hiçbir orana dâhil edilmez.</w:t>
      </w:r>
    </w:p>
    <w:p>
      <w:pPr>
        <w:pStyle w:val="BodyText"/>
      </w:pPr>
      <w:r>
        <w:t xml:space="preserve">Modeller: anthropic/claude-sonnet-4-6, openai/gpt-4o, gemini/gemini-3.6-flash, deepseek/deepseek-v4-flash, grok/grok-4.6, kumru/vngrs-ai/Kumru-2B</w:t>
      </w:r>
    </w:p>
    <w:bookmarkStart w:id="20" w:name="X9e42956d66f97ce22a628b2cdfaccf7bf270d73"/>
    <w:p>
      <w:pPr>
        <w:pStyle w:val="Heading2"/>
      </w:pPr>
      <w:r>
        <w:t xml:space="preserve">Deney 1 — Normlar hiyerarşisi (B^legal): kanun-dışı şart senaryolarında doğruluk</w:t>
      </w:r>
    </w:p>
    <w:p>
      <w:pPr>
        <w:pStyle w:val="FirstParagraph"/>
      </w:pPr>
      <w:r>
        <w:t xml:space="preserve">Beklenen desen: ana senaryolarda V_hiyerarsi ↑; kontrol senaryolarında (kanuni dayanağı olan şart) düşüş YOK (aşırı düzeltme denetimi).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V_hiyerarsi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Kontrol/baseline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Kontrol/hiyerarşi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Sonnet 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(120/120)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(120/120)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 (30/40)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(20/40)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9% (11/120)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(120/120)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(40/40)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(20/40)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3.6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(120/120)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(120/120)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(20/40)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(20/40)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 v4-flash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 (104/119) [1 çözümlenemeyen]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(120/120)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 (39/40)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(20/40)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Grok 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(120/120)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(120/120)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(20/40)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42% (17/40)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Kumru-2B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28% (34/120)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 (89/120)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(20/40)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(14/40)</w:t>
            </w:r>
          </w:p>
        </w:tc>
      </w:tr>
    </w:tbl>
    <w:bookmarkEnd w:id="20"/>
    <w:bookmarkStart w:id="21" w:name="X5688783f941335aa0c60075f0ebb85f476c511c"/>
    <w:p>
      <w:pPr>
        <w:pStyle w:val="Heading2"/>
      </w:pPr>
      <w:r>
        <w:t xml:space="preserve">Deney 2 — RAG: gerekçe örtüşmesi / halüsinasyon (yargıç modelce puanlanmıştır)</w:t>
      </w:r>
    </w:p>
    <w:p>
      <w:pPr>
        <w:pStyle w:val="FirstParagraph"/>
      </w:pPr>
      <w:r>
        <w:t xml:space="preserve">Beklenen desen: örtüşme ↑, halüsinasyon ↓ (RAG’lı sütunlarda). Halüsinasyon = gerekçede bulunmayan bir amacın uydurulması.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Örtüşme RAG’sız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Örtüşme RAG’lı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Halüsinasyon RAG’sız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Halüsinasyon RAG’lı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Sonnet 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72% (101/140)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93% (130/140)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(7/140)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9% (12/140)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 (94/140)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93% (130/140)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34% (47/140)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 (10/140)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3.6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76% (106/140)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93% (130/140)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23% (32/140)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 (10/140)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 v4-flash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59% (83/140)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 (129/140)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16% (23/140)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 (11/140)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Grok 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9% (13/140)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93% (130/140)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(0/140)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 (10/140)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Kumru-2B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 (11/140)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 (95/140)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(133/140)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 (90/140)</w:t>
            </w:r>
          </w:p>
        </w:tc>
      </w:tr>
    </w:tbl>
    <w:bookmarkEnd w:id="21"/>
    <w:bookmarkStart w:id="22" w:name="X14c4d72db889f565a84f3559ced13918594baa8"/>
    <w:p>
      <w:pPr>
        <w:pStyle w:val="Heading2"/>
      </w:pPr>
      <w:r>
        <w:t xml:space="preserve">Deney 3 — Anayasal kısıt (M^const): üç seçenek arasında seçim dağılımı</w:t>
      </w:r>
    </w:p>
    <w:p>
      <w:pPr>
        <w:pStyle w:val="FirstParagraph"/>
      </w:pPr>
      <w:r>
        <w:t xml:space="preserve">I₂ kanunilik ilkesini ihlal eden yasak seçenektir; I₁ ve I₃ kabul edilebilir seçeneklerdir.</w:t>
      </w:r>
      <w:r>
        <w:t xml:space="preserve"> </w:t>
      </w:r>
      <w:r>
        <w:t xml:space="preserve">“</w:t>
      </w:r>
      <w:r>
        <w:t xml:space="preserve">Belirsiz</w:t>
      </w:r>
      <w:r>
        <w:t xml:space="preserve">”</w:t>
      </w:r>
      <w:r>
        <w:t xml:space="preserve"> </w:t>
      </w:r>
      <w:r>
        <w:t xml:space="preserve">= birden çok seçenek işaretlendi;</w:t>
      </w:r>
      <w:r>
        <w:t xml:space="preserve"> </w:t>
      </w:r>
      <w:r>
        <w:t xml:space="preserve">“</w:t>
      </w:r>
      <w:r>
        <w:t xml:space="preserve">çözümlenemeyen</w:t>
      </w:r>
      <w:r>
        <w:t xml:space="preserve">”</w:t>
      </w:r>
      <w:r>
        <w:t xml:space="preserve"> </w:t>
      </w:r>
      <w:r>
        <w:t xml:space="preserve">= cevaptan seçim çıkarılamadı. Yasak seçim oranının paydası çözümlenen ölçüm sayısıdır; çözümlenen sayısı düşük olan satırlar (özellikle Kumru-2B) yorumlanamaz.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Koşul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I₂ yasak / çözümlenen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Belirsiz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Çözümlenemeyen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Sonnet 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V_kisitsiz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(0/160)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Sonnet 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V_kisitli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(0/160)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V_kisitsiz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(0/160)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V_kisitli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(0/160)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3.6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V_kisitsiz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(0/160)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3.6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V_kisitli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(0/160)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 v4-flash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V_kisitsiz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(0/155)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 v4-flash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V_kisitli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(0/127)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Grok 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V_kisitsiz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(0/160)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Grok 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V_kisitli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(0/160)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Kumru-2B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V_kisitsiz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(0/31)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Kumru-2B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V_kisitli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(0/6)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154</w:t>
            </w:r>
          </w:p>
        </w:tc>
      </w:tr>
    </w:tbl>
    <w:bookmarkEnd w:id="22"/>
    <w:bookmarkStart w:id="23" w:name="Xdf43c876cefa1e1bb5f74ba9eddc3fd7f6c7069"/>
    <w:p>
      <w:pPr>
        <w:pStyle w:val="Heading2"/>
      </w:pPr>
      <w:r>
        <w:t xml:space="preserve">Deney 4 — Kıyas maskesi (K): tahdidî hükümde KAPSAMDA deme (hata) / tadadî hükümde KAPSAMDA deme (doğru)</w:t>
      </w:r>
    </w:p>
    <w:p>
      <w:pPr>
        <w:pStyle w:val="FirstParagraph"/>
      </w:pPr>
      <w:r>
        <w:t xml:space="preserve">Beklenen desen: maskeli sütunda tahdidî hata ↓, tadadî doğruluk yüksek kalır (ayrışma). İkisi birden düşerse maske aşırı kısıtlayıcıdır.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Tahdidî/maskesiz (hata)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Tahdidî/maskeli (hata)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Tadadî/maskesiz (doğru)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Tadadî/maskeli (doğru)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Sonnet 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 (10/100)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 (8/100)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58% (58/100)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76% (76/100)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27% (27/100)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 (6/100)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 (80/100)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91% (91/100)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3.6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17% (17/100)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 (10/100)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 (83/100)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 (92/100)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 v4-flash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24% (24/99) [1 çözümlenemeyen]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 (6/100)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 (67/100)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 (73/97) [3 çözümlenemeyen]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Grok 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 (13/100)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 (10/100)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56% (56/100)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 (68/100)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Kumru-2B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76% (75/99) [1 çözümlenemeyen]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51% (47/93) [7 çözümlenemeyen]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 (95/99) [1 çözümlenemeyen]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72% (68/95) [5 çözümlenemeyen]</w:t>
            </w:r>
          </w:p>
        </w:tc>
      </w:tr>
    </w:tbl>
    <w:bookmarkEnd w:id="23"/>
    <w:bookmarkStart w:id="24" w:name="X0c976036830ee288abbe8613ab27d918d05c3bc"/>
    <w:p>
      <w:pPr>
        <w:pStyle w:val="Heading2"/>
      </w:pPr>
      <w:r>
        <w:t xml:space="preserve">Deney 5 — Ω / Ψ(w): dört çıktılı nitelendirme (yalnızca yargıç model çalışır)</w:t>
      </w:r>
    </w:p>
    <w:p>
      <w:pPr>
        <w:pStyle w:val="FirstParagraph"/>
      </w:pPr>
      <w:r>
        <w:t xml:space="preserve">Bu deneyde test modeli çağrılmaz; bileşen puanları, F ve Ω tamamen yargıç model tarafından üretilir. Aşağıdaki satırlar bu nedenle yargıç bazında verilmiştir. Yargıç sıcaklık 0 ile koşulmuş, tekrarlar neredeyse özdeş çıkmıştır (Ω senaryo içi std. sapması sütunda).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Yargıç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Etiket doğruluğu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F=1 → OLGU_ALANI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Ortalama 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Senaryo içi Ω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Uyumsuzluk dağılımı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claude-sonnet-4-6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 (110/150)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YORUM_ALANI→YOGUN_INCELEME: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72% (108/150)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YORUM_ALANI→YOGUN_INCELEME: 40; SERBEST_ALAN→YORUM_ALANI: 2</w:t>
            </w:r>
          </w:p>
        </w:tc>
      </w:tr>
    </w:tbl>
    <w:p>
      <w:pPr>
        <w:pStyle w:val="BodyText"/>
      </w:pPr>
      <w:r>
        <w:t xml:space="preserve">Not: Altı sağlayıcı dosyasındaki Deney 5 kayıtlarının tamamı aynı yargıçla (claude-sonnet-4-6) üretildiğinden birbirinin tekrarıdır (110/150, 30/30, Ω ≈ 0,62); ikinci yargıç koşusu ayrı dosyadadır (</w:t>
      </w:r>
      <w:r>
        <w:rPr>
          <w:rStyle w:val="VerbatimChar"/>
        </w:rPr>
        <w:t xml:space="preserve">*_d5_*.jsonl</w:t>
      </w:r>
      <w:r>
        <w:t xml:space="preserve">).</w:t>
      </w:r>
    </w:p>
    <w:bookmarkEnd w:id="24"/>
    <w:bookmarkStart w:id="25" w:name="Xc4f367e3c0c64877e6e4d6022182fc6c3102848"/>
    <w:p>
      <w:pPr>
        <w:pStyle w:val="Heading2"/>
      </w:pPr>
      <w:r>
        <w:t xml:space="preserve">Deney 6 — Temsil düzeyi: kanuni-teknik terim çiftleri ile kontrol çiftlerinin kosinüs benzerliği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Sağlayıcı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Kapalı lâfzî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 lâfzî (n=6)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 (n=6)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(tek yönlü, kesin)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Lâfzî maks / kontrol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0.777 / 0.709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0.588 / 0.739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0.575 / 0.544</w:t>
            </w:r>
          </w:p>
        </w:tc>
      </w:tr>
    </w:tbl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2026-09-10T20:42:19Z</dcterms:created>
  <dcterms:modified xsi:type="dcterms:W3CDTF">2026-09-10T20:42:19Z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