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4df25a49b9c5b75902b0b62087a5832676cfdf"/>
    <w:p>
      <w:pPr>
        <w:pStyle w:val="Heading1"/>
      </w:pPr>
      <w:r>
        <w:t xml:space="preserve">Çapraz Model Raporu (ham kayıtlardan yeniden üretilmiş sürüm)</w:t>
      </w:r>
    </w:p>
    <w:p>
      <w:pPr>
        <w:pStyle w:val="FirstParagraph"/>
      </w:pPr>
      <w:r>
        <w:t xml:space="preserve">Bu rapor</w:t>
      </w:r>
      <w:r>
        <w:t xml:space="preserve"> </w:t>
      </w:r>
      <w:r>
        <w:rPr>
          <w:rStyle w:val="VerbatimChar"/>
        </w:rPr>
        <w:t xml:space="preserve">tables/tablolar.py</w:t>
      </w:r>
      <w:r>
        <w:t xml:space="preserve"> </w:t>
      </w:r>
      <w:r>
        <w:t xml:space="preserve">tarafından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klasöründeki ham kayıtlardan üretilir. Oranların paydası çözümlenebilen ölçüm sayısıdır; modelin çözümlenebilir bir karar üretmediği ölçümler (</w:t>
      </w:r>
      <w:r>
        <w:rPr>
          <w:rStyle w:val="VerbatimChar"/>
        </w:rPr>
        <w:t xml:space="preserve">karar</w:t>
      </w:r>
      <w:r>
        <w:t xml:space="preserve">/</w:t>
      </w:r>
      <w:r>
        <w:rPr>
          <w:rStyle w:val="VerbatimChar"/>
        </w:rPr>
        <w:t xml:space="preserve">secim</w:t>
      </w:r>
      <w:r>
        <w:t xml:space="preserve"> </w:t>
      </w:r>
      <w:r>
        <w:t xml:space="preserve">= None) köşeli parantez içinde ayrıca gösterilir ve hiçbir orana dâhil edilmez.</w:t>
      </w:r>
    </w:p>
    <w:p>
      <w:pPr>
        <w:pStyle w:val="BodyText"/>
      </w:pPr>
      <w:r>
        <w:t xml:space="preserve">Modeller: anthropic/claude-sonnet-4-6, openai/gpt-4o, gemini/gemini-3.6-flash, deepseek/deepseek-v4-flash, grok/grok-4.6, kumru/vngrs-ai/Kumru-2B</w:t>
      </w:r>
    </w:p>
    <w:bookmarkStart w:id="9" w:name="X9e42956d66f97ce22a628b2cdfaccf7bf270d73"/>
    <w:p>
      <w:pPr>
        <w:pStyle w:val="Heading2"/>
      </w:pPr>
      <w:r>
        <w:t xml:space="preserve">Deney 1 — Normlar hiyerarşisi (B^legal): kanun-dışı şart senaryolarında doğruluk</w:t>
      </w:r>
    </w:p>
    <w:p>
      <w:pPr>
        <w:pStyle w:val="FirstParagraph"/>
      </w:pPr>
      <w:r>
        <w:t xml:space="preserve">Beklenen desen: ana senaryolarda V_hiyerarsi ↑; kontrol senaryolarında (kanuni dayanağı olan şart) düşüş YOK (aşırı düzeltme denetimi).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V_baseline</w:t>
            </w:r>
          </w:p>
        </w:tc>
        <w:tc>
          <w:tcPr/>
          <w:p>
            <w:pPr>
              <w:pStyle w:val="Compact"/>
            </w:pPr>
            <w:r>
              <w:t xml:space="preserve">V_hiyerarsi</w:t>
            </w:r>
          </w:p>
        </w:tc>
        <w:tc>
          <w:tcPr/>
          <w:p>
            <w:pPr>
              <w:pStyle w:val="Compact"/>
            </w:pPr>
            <w:r>
              <w:t xml:space="preserve">Kontrol/baseline</w:t>
            </w:r>
          </w:p>
        </w:tc>
        <w:tc>
          <w:tcPr/>
          <w:p>
            <w:pPr>
              <w:pStyle w:val="Compact"/>
            </w:pPr>
            <w:r>
              <w:t xml:space="preserve">Kontrol/hiyerarşi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75% (30/40)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9% (11/120)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100% (40/40)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3.6 Flash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87% (104/119) [1 çözümlenemeyen]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98% (39/40)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4.6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100% (120/120)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  <w:tc>
          <w:tcPr/>
          <w:p>
            <w:pPr>
              <w:pStyle w:val="Compact"/>
            </w:pPr>
            <w:r>
              <w:t xml:space="preserve">42% (17/40)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Kumru-2B</w:t>
            </w:r>
          </w:p>
        </w:tc>
        <w:tc>
          <w:tcPr/>
          <w:p>
            <w:pPr>
              <w:pStyle w:val="Compact"/>
            </w:pPr>
            <w:r>
              <w:t xml:space="preserve">28% (34/120)</w:t>
            </w:r>
          </w:p>
        </w:tc>
        <w:tc>
          <w:tcPr/>
          <w:p>
            <w:pPr>
              <w:pStyle w:val="Compact"/>
            </w:pPr>
            <w:r>
              <w:t xml:space="preserve">74% (89/120)</w:t>
            </w:r>
          </w:p>
        </w:tc>
        <w:tc>
          <w:tcPr/>
          <w:p>
            <w:pPr>
              <w:pStyle w:val="Compact"/>
            </w:pPr>
            <w:r>
              <w:t xml:space="preserve">50% (20/40)</w:t>
            </w:r>
          </w:p>
        </w:tc>
        <w:tc>
          <w:tcPr/>
          <w:p>
            <w:pPr>
              <w:pStyle w:val="Compact"/>
            </w:pPr>
            <w:r>
              <w:t xml:space="preserve">35% (14/40)</w:t>
            </w:r>
          </w:p>
        </w:tc>
      </w:tr>
    </w:tbl>
    <w:bookmarkEnd w:id="9"/>
    <w:bookmarkStart w:id="10" w:name="X5688783f941335aa0c60075f0ebb85f476c511c"/>
    <w:p>
      <w:pPr>
        <w:pStyle w:val="Heading2"/>
      </w:pPr>
      <w:r>
        <w:t xml:space="preserve">Deney 2 — RAG: gerekçe örtüşmesi / halüsinasyon (yargıç modelce puanlanmıştır)</w:t>
      </w:r>
    </w:p>
    <w:p>
      <w:pPr>
        <w:pStyle w:val="FirstParagraph"/>
      </w:pPr>
      <w:r>
        <w:t xml:space="preserve">Beklenen desen: örtüşme ↑, halüsinasyon ↓ (RAG’lı sütunlarda). Halüsinasyon = gerekçede bulunmayan bir amacın uydurulması.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Örtüşme RAG’sız</w:t>
            </w:r>
          </w:p>
        </w:tc>
        <w:tc>
          <w:tcPr/>
          <w:p>
            <w:pPr>
              <w:pStyle w:val="Compact"/>
            </w:pPr>
            <w:r>
              <w:t xml:space="preserve">Örtüşme RAG’lı</w:t>
            </w:r>
          </w:p>
        </w:tc>
        <w:tc>
          <w:tcPr/>
          <w:p>
            <w:pPr>
              <w:pStyle w:val="Compact"/>
            </w:pPr>
            <w:r>
              <w:t xml:space="preserve">Halüsinasyon RAG’sız</w:t>
            </w:r>
          </w:p>
        </w:tc>
        <w:tc>
          <w:tcPr/>
          <w:p>
            <w:pPr>
              <w:pStyle w:val="Compact"/>
            </w:pPr>
            <w:r>
              <w:t xml:space="preserve">Halüsinasyon RAG’lı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72% (101/140)</w:t>
            </w:r>
          </w:p>
        </w:tc>
        <w:tc>
          <w:tcPr/>
          <w:p>
            <w:pPr>
              <w:pStyle w:val="Compact"/>
            </w:pPr>
            <w:r>
              <w:t xml:space="preserve">93% (130/140)</w:t>
            </w:r>
          </w:p>
        </w:tc>
        <w:tc>
          <w:tcPr/>
          <w:p>
            <w:pPr>
              <w:pStyle w:val="Compact"/>
            </w:pPr>
            <w:r>
              <w:t xml:space="preserve">5% (7/140)</w:t>
            </w:r>
          </w:p>
        </w:tc>
        <w:tc>
          <w:tcPr/>
          <w:p>
            <w:pPr>
              <w:pStyle w:val="Compact"/>
            </w:pPr>
            <w:r>
              <w:t xml:space="preserve">9% (12/140)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67% (94/140)</w:t>
            </w:r>
          </w:p>
        </w:tc>
        <w:tc>
          <w:tcPr/>
          <w:p>
            <w:pPr>
              <w:pStyle w:val="Compact"/>
            </w:pPr>
            <w:r>
              <w:t xml:space="preserve">93% (130/140)</w:t>
            </w:r>
          </w:p>
        </w:tc>
        <w:tc>
          <w:tcPr/>
          <w:p>
            <w:pPr>
              <w:pStyle w:val="Compact"/>
            </w:pPr>
            <w:r>
              <w:t xml:space="preserve">34% (47/140)</w:t>
            </w:r>
          </w:p>
        </w:tc>
        <w:tc>
          <w:tcPr/>
          <w:p>
            <w:pPr>
              <w:pStyle w:val="Compact"/>
            </w:pPr>
            <w:r>
              <w:t xml:space="preserve">7% (10/140)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3.6 Flash</w:t>
            </w:r>
          </w:p>
        </w:tc>
        <w:tc>
          <w:tcPr/>
          <w:p>
            <w:pPr>
              <w:pStyle w:val="Compact"/>
            </w:pPr>
            <w:r>
              <w:t xml:space="preserve">76% (106/140)</w:t>
            </w:r>
          </w:p>
        </w:tc>
        <w:tc>
          <w:tcPr/>
          <w:p>
            <w:pPr>
              <w:pStyle w:val="Compact"/>
            </w:pPr>
            <w:r>
              <w:t xml:space="preserve">93% (130/140)</w:t>
            </w:r>
          </w:p>
        </w:tc>
        <w:tc>
          <w:tcPr/>
          <w:p>
            <w:pPr>
              <w:pStyle w:val="Compact"/>
            </w:pPr>
            <w:r>
              <w:t xml:space="preserve">23% (32/140)</w:t>
            </w:r>
          </w:p>
        </w:tc>
        <w:tc>
          <w:tcPr/>
          <w:p>
            <w:pPr>
              <w:pStyle w:val="Compact"/>
            </w:pPr>
            <w:r>
              <w:t xml:space="preserve">7% (10/140)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59% (83/140)</w:t>
            </w:r>
          </w:p>
        </w:tc>
        <w:tc>
          <w:tcPr/>
          <w:p>
            <w:pPr>
              <w:pStyle w:val="Compact"/>
            </w:pPr>
            <w:r>
              <w:t xml:space="preserve">92% (129/140)</w:t>
            </w:r>
          </w:p>
        </w:tc>
        <w:tc>
          <w:tcPr/>
          <w:p>
            <w:pPr>
              <w:pStyle w:val="Compact"/>
            </w:pPr>
            <w:r>
              <w:t xml:space="preserve">16% (23/140)</w:t>
            </w:r>
          </w:p>
        </w:tc>
        <w:tc>
          <w:tcPr/>
          <w:p>
            <w:pPr>
              <w:pStyle w:val="Compact"/>
            </w:pPr>
            <w:r>
              <w:t xml:space="preserve">8% (11/140)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4.6</w:t>
            </w:r>
          </w:p>
        </w:tc>
        <w:tc>
          <w:tcPr/>
          <w:p>
            <w:pPr>
              <w:pStyle w:val="Compact"/>
            </w:pPr>
            <w:r>
              <w:t xml:space="preserve">9% (13/140)</w:t>
            </w:r>
          </w:p>
        </w:tc>
        <w:tc>
          <w:tcPr/>
          <w:p>
            <w:pPr>
              <w:pStyle w:val="Compact"/>
            </w:pPr>
            <w:r>
              <w:t xml:space="preserve">93% (130/140)</w:t>
            </w:r>
          </w:p>
        </w:tc>
        <w:tc>
          <w:tcPr/>
          <w:p>
            <w:pPr>
              <w:pStyle w:val="Compact"/>
            </w:pPr>
            <w:r>
              <w:t xml:space="preserve">0% (0/140)</w:t>
            </w:r>
          </w:p>
        </w:tc>
        <w:tc>
          <w:tcPr/>
          <w:p>
            <w:pPr>
              <w:pStyle w:val="Compact"/>
            </w:pPr>
            <w:r>
              <w:t xml:space="preserve">7% (10/140)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Kumru-2B</w:t>
            </w:r>
          </w:p>
        </w:tc>
        <w:tc>
          <w:tcPr/>
          <w:p>
            <w:pPr>
              <w:pStyle w:val="Compact"/>
            </w:pPr>
            <w:r>
              <w:t xml:space="preserve">8% (11/140)</w:t>
            </w:r>
          </w:p>
        </w:tc>
        <w:tc>
          <w:tcPr/>
          <w:p>
            <w:pPr>
              <w:pStyle w:val="Compact"/>
            </w:pPr>
            <w:r>
              <w:t xml:space="preserve">68% (95/140)</w:t>
            </w:r>
          </w:p>
        </w:tc>
        <w:tc>
          <w:tcPr/>
          <w:p>
            <w:pPr>
              <w:pStyle w:val="Compact"/>
            </w:pPr>
            <w:r>
              <w:t xml:space="preserve">95% (133/140)</w:t>
            </w:r>
          </w:p>
        </w:tc>
        <w:tc>
          <w:tcPr/>
          <w:p>
            <w:pPr>
              <w:pStyle w:val="Compact"/>
            </w:pPr>
            <w:r>
              <w:t xml:space="preserve">64% (90/140)</w:t>
            </w:r>
          </w:p>
        </w:tc>
      </w:tr>
    </w:tbl>
    <w:bookmarkEnd w:id="10"/>
    <w:bookmarkStart w:id="11" w:name="X14c4d72db889f565a84f3559ced13918594baa8"/>
    <w:p>
      <w:pPr>
        <w:pStyle w:val="Heading2"/>
      </w:pPr>
      <w:r>
        <w:t xml:space="preserve">Deney 3 — Anayasal kısıt (M^const): üç seçenek arasında seçim dağılımı</w:t>
      </w:r>
    </w:p>
    <w:p>
      <w:pPr>
        <w:pStyle w:val="FirstParagraph"/>
      </w:pPr>
      <w:r>
        <w:t xml:space="preserve">I₂ kanunilik ilkesini ihlal eden yasak seçenektir; I₁ ve I₃ kabul edilebilir seçeneklerdir.</w:t>
      </w:r>
      <w:r>
        <w:t xml:space="preserve"> </w:t>
      </w:r>
      <w:r>
        <w:t xml:space="preserve">“Belirsiz”</w:t>
      </w:r>
      <w:r>
        <w:t xml:space="preserve"> </w:t>
      </w:r>
      <w:r>
        <w:t xml:space="preserve">= birden çok seçenek işaretlendi;</w:t>
      </w:r>
      <w:r>
        <w:t xml:space="preserve"> </w:t>
      </w:r>
      <w:r>
        <w:t xml:space="preserve">“çözümlenemeyen”</w:t>
      </w:r>
      <w:r>
        <w:t xml:space="preserve"> </w:t>
      </w:r>
      <w:r>
        <w:t xml:space="preserve">= cevaptan seçim çıkarılamadı. Yasak seçim oranının paydası çözümlenen ölçüm sayısıdır; çözümlenen sayısı düşük olan satırlar (özellikle Kumru-2B) yorumlanamaz.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Koşul</w:t>
            </w:r>
          </w:p>
        </w:tc>
        <w:tc>
          <w:tcPr/>
          <w:p>
            <w:pPr>
              <w:pStyle w:val="Compact"/>
            </w:pPr>
            <w:r>
              <w:t xml:space="preserve">I₂ yasak / çözümlenen</w:t>
            </w:r>
          </w:p>
        </w:tc>
        <w:tc>
          <w:tcPr/>
          <w:p>
            <w:pPr>
              <w:pStyle w:val="Compact"/>
            </w:pPr>
            <w:r>
              <w:t xml:space="preserve">I₁</w:t>
            </w:r>
          </w:p>
        </w:tc>
        <w:tc>
          <w:tcPr/>
          <w:p>
            <w:pPr>
              <w:pStyle w:val="Compact"/>
            </w:pPr>
            <w:r>
              <w:t xml:space="preserve">I₃</w:t>
            </w:r>
          </w:p>
        </w:tc>
        <w:tc>
          <w:tcPr/>
          <w:p>
            <w:pPr>
              <w:pStyle w:val="Compact"/>
            </w:pPr>
            <w:r>
              <w:t xml:space="preserve">Belirsiz</w:t>
            </w:r>
          </w:p>
        </w:tc>
        <w:tc>
          <w:tcPr/>
          <w:p>
            <w:pPr>
              <w:pStyle w:val="Compact"/>
            </w:pPr>
            <w:r>
              <w:t xml:space="preserve">Çözümlenemeyen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3.6 Flash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3.6 Flash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(0/155)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(0/127)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4.6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4.6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(0/160)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Kumru-2B</w:t>
            </w:r>
          </w:p>
        </w:tc>
        <w:tc>
          <w:tcPr/>
          <w:p>
            <w:pPr>
              <w:pStyle w:val="Compact"/>
            </w:pPr>
            <w:r>
              <w:t xml:space="preserve">V_kisitsiz</w:t>
            </w:r>
          </w:p>
        </w:tc>
        <w:tc>
          <w:tcPr/>
          <w:p>
            <w:pPr>
              <w:pStyle w:val="Compact"/>
            </w:pPr>
            <w:r>
              <w:t xml:space="preserve">0% (0/31)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Kumru-2B</w:t>
            </w:r>
          </w:p>
        </w:tc>
        <w:tc>
          <w:tcPr/>
          <w:p>
            <w:pPr>
              <w:pStyle w:val="Compact"/>
            </w:pPr>
            <w:r>
              <w:t xml:space="preserve">V_kisitli</w:t>
            </w:r>
          </w:p>
        </w:tc>
        <w:tc>
          <w:tcPr/>
          <w:p>
            <w:pPr>
              <w:pStyle w:val="Compact"/>
            </w:pPr>
            <w:r>
              <w:t xml:space="preserve">0% (0/6)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</w:tbl>
    <w:bookmarkEnd w:id="11"/>
    <w:bookmarkStart w:id="12" w:name="Xdf43c876cefa1e1bb5f74ba9eddc3fd7f6c7069"/>
    <w:p>
      <w:pPr>
        <w:pStyle w:val="Heading2"/>
      </w:pPr>
      <w:r>
        <w:t xml:space="preserve">Deney 4 — Kıyas maskesi (K): tahdidî hükümde KAPSAMDA deme (hata) / tadadî hükümde KAPSAMDA deme (doğru)</w:t>
      </w:r>
    </w:p>
    <w:p>
      <w:pPr>
        <w:pStyle w:val="FirstParagraph"/>
      </w:pPr>
      <w:r>
        <w:t xml:space="preserve">Beklenen desen: maskeli sütunda tahdidî hata ↓, tadadî doğruluk yüksek kalır (ayrışma). İkisi birden düşerse maske aşırı kısıtlayıcıdır.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Tahdidî/maskesiz (hata)</w:t>
            </w:r>
          </w:p>
        </w:tc>
        <w:tc>
          <w:tcPr/>
          <w:p>
            <w:pPr>
              <w:pStyle w:val="Compact"/>
            </w:pPr>
            <w:r>
              <w:t xml:space="preserve">Tahdidî/maskeli (hata)</w:t>
            </w:r>
          </w:p>
        </w:tc>
        <w:tc>
          <w:tcPr/>
          <w:p>
            <w:pPr>
              <w:pStyle w:val="Compact"/>
            </w:pPr>
            <w:r>
              <w:t xml:space="preserve">Tadadî/maskesiz (doğru)</w:t>
            </w:r>
          </w:p>
        </w:tc>
        <w:tc>
          <w:tcPr/>
          <w:p>
            <w:pPr>
              <w:pStyle w:val="Compact"/>
            </w:pPr>
            <w:r>
              <w:t xml:space="preserve">Tadadî/maskeli (doğru)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10% (10/100)</w:t>
            </w:r>
          </w:p>
        </w:tc>
        <w:tc>
          <w:tcPr/>
          <w:p>
            <w:pPr>
              <w:pStyle w:val="Compact"/>
            </w:pPr>
            <w:r>
              <w:t xml:space="preserve">8% (8/100)</w:t>
            </w:r>
          </w:p>
        </w:tc>
        <w:tc>
          <w:tcPr/>
          <w:p>
            <w:pPr>
              <w:pStyle w:val="Compact"/>
            </w:pPr>
            <w:r>
              <w:t xml:space="preserve">58% (58/100)</w:t>
            </w:r>
          </w:p>
        </w:tc>
        <w:tc>
          <w:tcPr/>
          <w:p>
            <w:pPr>
              <w:pStyle w:val="Compact"/>
            </w:pPr>
            <w:r>
              <w:t xml:space="preserve">76% (76/100)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27% (27/100)</w:t>
            </w:r>
          </w:p>
        </w:tc>
        <w:tc>
          <w:tcPr/>
          <w:p>
            <w:pPr>
              <w:pStyle w:val="Compact"/>
            </w:pPr>
            <w:r>
              <w:t xml:space="preserve">6% (6/100)</w:t>
            </w:r>
          </w:p>
        </w:tc>
        <w:tc>
          <w:tcPr/>
          <w:p>
            <w:pPr>
              <w:pStyle w:val="Compact"/>
            </w:pPr>
            <w:r>
              <w:t xml:space="preserve">80% (80/100)</w:t>
            </w:r>
          </w:p>
        </w:tc>
        <w:tc>
          <w:tcPr/>
          <w:p>
            <w:pPr>
              <w:pStyle w:val="Compact"/>
            </w:pPr>
            <w:r>
              <w:t xml:space="preserve">91% (91/100)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3.6 Flash</w:t>
            </w:r>
          </w:p>
        </w:tc>
        <w:tc>
          <w:tcPr/>
          <w:p>
            <w:pPr>
              <w:pStyle w:val="Compact"/>
            </w:pPr>
            <w:r>
              <w:t xml:space="preserve">17% (17/100)</w:t>
            </w:r>
          </w:p>
        </w:tc>
        <w:tc>
          <w:tcPr/>
          <w:p>
            <w:pPr>
              <w:pStyle w:val="Compact"/>
            </w:pPr>
            <w:r>
              <w:t xml:space="preserve">10% (10/100)</w:t>
            </w:r>
          </w:p>
        </w:tc>
        <w:tc>
          <w:tcPr/>
          <w:p>
            <w:pPr>
              <w:pStyle w:val="Compact"/>
            </w:pPr>
            <w:r>
              <w:t xml:space="preserve">83% (83/100)</w:t>
            </w:r>
          </w:p>
        </w:tc>
        <w:tc>
          <w:tcPr/>
          <w:p>
            <w:pPr>
              <w:pStyle w:val="Compact"/>
            </w:pPr>
            <w:r>
              <w:t xml:space="preserve">92% (92/100)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v4-flash</w:t>
            </w:r>
          </w:p>
        </w:tc>
        <w:tc>
          <w:tcPr/>
          <w:p>
            <w:pPr>
              <w:pStyle w:val="Compact"/>
            </w:pPr>
            <w:r>
              <w:t xml:space="preserve">24% (24/99) [1 çözümlenemeyen]</w:t>
            </w:r>
          </w:p>
        </w:tc>
        <w:tc>
          <w:tcPr/>
          <w:p>
            <w:pPr>
              <w:pStyle w:val="Compact"/>
            </w:pPr>
            <w:r>
              <w:t xml:space="preserve">6% (6/100)</w:t>
            </w:r>
          </w:p>
        </w:tc>
        <w:tc>
          <w:tcPr/>
          <w:p>
            <w:pPr>
              <w:pStyle w:val="Compact"/>
            </w:pPr>
            <w:r>
              <w:t xml:space="preserve">67% (67/100)</w:t>
            </w:r>
          </w:p>
        </w:tc>
        <w:tc>
          <w:tcPr/>
          <w:p>
            <w:pPr>
              <w:pStyle w:val="Compact"/>
            </w:pPr>
            <w:r>
              <w:t xml:space="preserve">75% (73/97) [3 çözümlenemeyen]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4.6</w:t>
            </w:r>
          </w:p>
        </w:tc>
        <w:tc>
          <w:tcPr/>
          <w:p>
            <w:pPr>
              <w:pStyle w:val="Compact"/>
            </w:pPr>
            <w:r>
              <w:t xml:space="preserve">13% (13/100)</w:t>
            </w:r>
          </w:p>
        </w:tc>
        <w:tc>
          <w:tcPr/>
          <w:p>
            <w:pPr>
              <w:pStyle w:val="Compact"/>
            </w:pPr>
            <w:r>
              <w:t xml:space="preserve">10% (10/100)</w:t>
            </w:r>
          </w:p>
        </w:tc>
        <w:tc>
          <w:tcPr/>
          <w:p>
            <w:pPr>
              <w:pStyle w:val="Compact"/>
            </w:pPr>
            <w:r>
              <w:t xml:space="preserve">56% (56/100)</w:t>
            </w:r>
          </w:p>
        </w:tc>
        <w:tc>
          <w:tcPr/>
          <w:p>
            <w:pPr>
              <w:pStyle w:val="Compact"/>
            </w:pPr>
            <w:r>
              <w:t xml:space="preserve">68% (68/100)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Kumru-2B</w:t>
            </w:r>
          </w:p>
        </w:tc>
        <w:tc>
          <w:tcPr/>
          <w:p>
            <w:pPr>
              <w:pStyle w:val="Compact"/>
            </w:pPr>
            <w:r>
              <w:t xml:space="preserve">76% (75/99) [1 çözümlenemeyen]</w:t>
            </w:r>
          </w:p>
        </w:tc>
        <w:tc>
          <w:tcPr/>
          <w:p>
            <w:pPr>
              <w:pStyle w:val="Compact"/>
            </w:pPr>
            <w:r>
              <w:t xml:space="preserve">51% (47/93) [7 çözümlenemeyen]</w:t>
            </w:r>
          </w:p>
        </w:tc>
        <w:tc>
          <w:tcPr/>
          <w:p>
            <w:pPr>
              <w:pStyle w:val="Compact"/>
            </w:pPr>
            <w:r>
              <w:t xml:space="preserve">96% (95/99) [1 çözümlenemeyen]</w:t>
            </w:r>
          </w:p>
        </w:tc>
        <w:tc>
          <w:tcPr/>
          <w:p>
            <w:pPr>
              <w:pStyle w:val="Compact"/>
            </w:pPr>
            <w:r>
              <w:t xml:space="preserve">72% (68/95) [5 çözümlenemeyen]</w:t>
            </w:r>
          </w:p>
        </w:tc>
      </w:tr>
    </w:tbl>
    <w:bookmarkEnd w:id="12"/>
    <w:bookmarkStart w:id="13" w:name="X0c976036830ee288abbe8613ab27d918d05c3bc"/>
    <w:p>
      <w:pPr>
        <w:pStyle w:val="Heading2"/>
      </w:pPr>
      <w:r>
        <w:t xml:space="preserve">Deney 5 — Ω / Ψ(w): dört çıktılı nitelendirme (yalnızca yargıç model çalışır)</w:t>
      </w:r>
    </w:p>
    <w:p>
      <w:pPr>
        <w:pStyle w:val="FirstParagraph"/>
      </w:pPr>
      <w:r>
        <w:t xml:space="preserve">Bu deneyde test modeli çağrılmaz; bileşen puanları, F ve Ω tamamen yargıç model tarafından üretilir. Aşağıdaki satırlar bu nedenle yargıç bazında verilmiştir. Yargıç sıcaklık 0 ile koşulmuş, tekrarlar neredeyse özdeş çıkmıştır (Ω senaryo içi std. sapması sütunda).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Yargıç</w:t>
            </w:r>
          </w:p>
        </w:tc>
        <w:tc>
          <w:tcPr/>
          <w:p>
            <w:pPr>
              <w:pStyle w:val="Compact"/>
            </w:pPr>
            <w:r>
              <w:t xml:space="preserve">Etiket doğruluğu</w:t>
            </w:r>
          </w:p>
        </w:tc>
        <w:tc>
          <w:tcPr/>
          <w:p>
            <w:pPr>
              <w:pStyle w:val="Compact"/>
            </w:pPr>
            <w:r>
              <w:t xml:space="preserve">F=1 → OLGU_ALANI</w:t>
            </w:r>
          </w:p>
        </w:tc>
        <w:tc>
          <w:tcPr/>
          <w:p>
            <w:pPr>
              <w:pStyle w:val="Compact"/>
            </w:pPr>
            <w:r>
              <w:t xml:space="preserve">Ortalama Ω</w:t>
            </w:r>
          </w:p>
        </w:tc>
        <w:tc>
          <w:tcPr/>
          <w:p>
            <w:pPr>
              <w:pStyle w:val="Compact"/>
            </w:pPr>
            <w:r>
              <w:t xml:space="preserve">Senaryo içi Ω sd</w:t>
            </w:r>
          </w:p>
        </w:tc>
        <w:tc>
          <w:tcPr/>
          <w:p>
            <w:pPr>
              <w:pStyle w:val="Compact"/>
            </w:pPr>
            <w:r>
              <w:t xml:space="preserve">Uyumsuzluk dağılımı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claude-sonnet-4-6</w:t>
            </w:r>
          </w:p>
        </w:tc>
        <w:tc>
          <w:tcPr/>
          <w:p>
            <w:pPr>
              <w:pStyle w:val="Compact"/>
            </w:pPr>
            <w:r>
              <w:t xml:space="preserve">73% (110/150)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YORUM_ALANI→YOGUN_INCELEME: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72% (108/150)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YORUM_ALANI→YOGUN_INCELEME: 40; SERBEST_ALAN→YORUM_ALANI: 2</w:t>
            </w:r>
          </w:p>
        </w:tc>
      </w:tr>
    </w:tbl>
    <w:p>
      <w:pPr>
        <w:pStyle w:val="BodyText"/>
      </w:pPr>
      <w:r>
        <w:t xml:space="preserve">Not: Altı sağlayıcı dosyasındaki Deney 5 kayıtlarının tamamı aynı yargıçla (claude-sonnet-4-6) üretildiğinden birbirinin tekrarıdır (110/150, 30/30, Ω ≈ 0,62); ikinci yargıç koşusu ayrı dosyadadır (</w:t>
      </w:r>
      <w:r>
        <w:rPr>
          <w:rStyle w:val="VerbatimChar"/>
        </w:rPr>
        <w:t xml:space="preserve">*_d5_*.jsonl</w:t>
      </w:r>
      <w:r>
        <w:t xml:space="preserve">).</w:t>
      </w:r>
    </w:p>
    <w:bookmarkEnd w:id="13"/>
    <w:bookmarkStart w:id="14" w:name="Xc4f367e3c0c64877e6e4d6022182fc6c3102848"/>
    <w:p>
      <w:pPr>
        <w:pStyle w:val="Heading2"/>
      </w:pPr>
      <w:r>
        <w:t xml:space="preserve">Deney 6 — Temsil düzeyi: kanuni-teknik terim çiftleri ile kontrol çiftlerinin kosinüs benzerliği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Sağlayıcı</w:t>
            </w:r>
          </w:p>
        </w:tc>
        <w:tc>
          <w:tcPr/>
          <w:p>
            <w:pPr>
              <w:pStyle w:val="Compact"/>
            </w:pPr>
            <w:r>
              <w:t xml:space="preserve">Kapalı lâfzî (n=8)</w:t>
            </w:r>
          </w:p>
        </w:tc>
        <w:tc>
          <w:tcPr/>
          <w:p>
            <w:pPr>
              <w:pStyle w:val="Compact"/>
            </w:pPr>
            <w:r>
              <w:t xml:space="preserve">Açık lâfzî (n=6)</w:t>
            </w:r>
          </w:p>
        </w:tc>
        <w:tc>
          <w:tcPr/>
          <w:p>
            <w:pPr>
              <w:pStyle w:val="Compact"/>
            </w:pPr>
            <w:r>
              <w:t xml:space="preserve">Kontrol (n=6)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p (tek yönlü, kesin)</w:t>
            </w:r>
          </w:p>
        </w:tc>
        <w:tc>
          <w:tcPr/>
          <w:p>
            <w:pPr>
              <w:pStyle w:val="Compact"/>
            </w:pPr>
            <w:r>
              <w:t xml:space="preserve">Lâfzî maks / kontrol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0.701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0.001135</w:t>
            </w:r>
          </w:p>
        </w:tc>
        <w:tc>
          <w:tcPr/>
          <w:p>
            <w:pPr>
              <w:pStyle w:val="Compact"/>
            </w:pPr>
            <w:r>
              <w:t xml:space="preserve">0.777 / 0.709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kumru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</w:p>
        </w:tc>
        <w:tc>
          <w:tcPr/>
          <w:p>
            <w:pPr>
              <w:pStyle w:val="Compact"/>
            </w:pPr>
            <w:r>
              <w:t xml:space="preserve">2.58e-05</w:t>
            </w:r>
          </w:p>
        </w:tc>
        <w:tc>
          <w:tcPr/>
          <w:p>
            <w:pPr>
              <w:pStyle w:val="Compact"/>
            </w:pPr>
            <w:r>
              <w:t xml:space="preserve">0.588 / 0.739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</w:p>
        </w:tc>
        <w:tc>
          <w:tcPr/>
          <w:p>
            <w:pPr>
              <w:pStyle w:val="Compact"/>
            </w:pPr>
            <w:r>
              <w:t xml:space="preserve">0.0001032</w:t>
            </w:r>
          </w:p>
        </w:tc>
        <w:tc>
          <w:tcPr/>
          <w:p>
            <w:pPr>
              <w:pStyle w:val="Compact"/>
            </w:pPr>
            <w:r>
              <w:t xml:space="preserve">0.575 / 0.544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2026-09-10T21:04:45Z</dcterms:created>
  <dcterms:modified xsi:type="dcterms:W3CDTF">2026-09-10T21:04:45Z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