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429" w:rsidRDefault="008D037C" w:rsidP="00B75B1E">
      <w:pPr>
        <w:spacing w:line="360" w:lineRule="auto"/>
        <w:rPr>
          <w:rFonts w:ascii="Times New Roman" w:hAnsi="Times New Roman" w:cs="Times New Roman"/>
          <w:sz w:val="24"/>
          <w:szCs w:val="24"/>
        </w:rPr>
      </w:pPr>
      <w:r>
        <w:rPr>
          <w:rFonts w:ascii="Times New Roman" w:hAnsi="Times New Roman" w:cs="Times New Roman"/>
          <w:b/>
          <w:sz w:val="24"/>
          <w:szCs w:val="24"/>
        </w:rPr>
        <w:t>Abstract</w:t>
      </w:r>
    </w:p>
    <w:p w:rsidR="008D037C" w:rsidRDefault="004874F2" w:rsidP="00B75B1E">
      <w:pPr>
        <w:spacing w:line="360" w:lineRule="auto"/>
        <w:rPr>
          <w:rFonts w:ascii="Times New Roman" w:hAnsi="Times New Roman" w:cs="Times New Roman"/>
          <w:iCs/>
          <w:sz w:val="24"/>
          <w:szCs w:val="24"/>
        </w:rPr>
      </w:pPr>
      <w:r>
        <w:rPr>
          <w:rFonts w:ascii="Times New Roman" w:hAnsi="Times New Roman" w:cs="Times New Roman"/>
          <w:sz w:val="24"/>
          <w:szCs w:val="24"/>
        </w:rPr>
        <w:t>T</w:t>
      </w:r>
      <w:r w:rsidR="00F263DD">
        <w:rPr>
          <w:rFonts w:ascii="Times New Roman" w:hAnsi="Times New Roman" w:cs="Times New Roman"/>
          <w:sz w:val="24"/>
          <w:szCs w:val="24"/>
        </w:rPr>
        <w:t xml:space="preserve">he article </w:t>
      </w:r>
      <w:r w:rsidRPr="00DF50E9">
        <w:rPr>
          <w:rFonts w:ascii="Times New Roman" w:hAnsi="Times New Roman" w:cs="Times New Roman"/>
          <w:i/>
          <w:iCs/>
          <w:sz w:val="24"/>
          <w:szCs w:val="24"/>
        </w:rPr>
        <w:t>Fully Bayesian Benchmarking of Small Area Estimation Models</w:t>
      </w:r>
      <w:r>
        <w:rPr>
          <w:rFonts w:ascii="Times New Roman" w:hAnsi="Times New Roman" w:cs="Times New Roman"/>
          <w:iCs/>
          <w:sz w:val="24"/>
          <w:szCs w:val="24"/>
        </w:rPr>
        <w:t xml:space="preserve"> (2020, </w:t>
      </w:r>
      <w:r w:rsidRPr="00973AA5">
        <w:rPr>
          <w:rFonts w:ascii="Times New Roman" w:hAnsi="Times New Roman" w:cs="Times New Roman"/>
          <w:sz w:val="24"/>
          <w:szCs w:val="24"/>
        </w:rPr>
        <w:t>Zhang, J.L. and Bryant, J.</w:t>
      </w:r>
      <w:r>
        <w:rPr>
          <w:rFonts w:ascii="Times New Roman" w:hAnsi="Times New Roman" w:cs="Times New Roman"/>
          <w:iCs/>
          <w:sz w:val="24"/>
          <w:szCs w:val="24"/>
        </w:rPr>
        <w:t>) presents a new approach to small domain estimation, using larger area estimates and Bayesian hierarchical models to provide small area estimate posterior distributions congruent with neighboring small areas and the larger region encompassing them. This report begins with a summar</w:t>
      </w:r>
      <w:r w:rsidR="004C26DE">
        <w:rPr>
          <w:rFonts w:ascii="Times New Roman" w:hAnsi="Times New Roman" w:cs="Times New Roman"/>
          <w:iCs/>
          <w:sz w:val="24"/>
          <w:szCs w:val="24"/>
        </w:rPr>
        <w:t>y of the article, followed by an</w:t>
      </w:r>
      <w:r>
        <w:rPr>
          <w:rFonts w:ascii="Times New Roman" w:hAnsi="Times New Roman" w:cs="Times New Roman"/>
          <w:iCs/>
          <w:sz w:val="24"/>
          <w:szCs w:val="24"/>
        </w:rPr>
        <w:t xml:space="preserve"> analysis of the methods presented in the article and their recreation for this report. Then </w:t>
      </w:r>
      <w:r w:rsidR="004C26DE">
        <w:rPr>
          <w:rFonts w:ascii="Times New Roman" w:hAnsi="Times New Roman" w:cs="Times New Roman"/>
          <w:iCs/>
          <w:sz w:val="24"/>
          <w:szCs w:val="24"/>
        </w:rPr>
        <w:t>these methods are evaluated by (1) recreating the real-world application to estimating mortality rates for local authority districts in England and Wales presented by the authors, and (2) applying the same analysis to mortality rates in Philippine provinces. This report concludes with a discussion of these evaluations.</w:t>
      </w:r>
    </w:p>
    <w:p w:rsidR="008D037C" w:rsidRDefault="008D037C" w:rsidP="00B75B1E">
      <w:pPr>
        <w:spacing w:line="360" w:lineRule="auto"/>
        <w:rPr>
          <w:rFonts w:ascii="Times New Roman" w:hAnsi="Times New Roman" w:cs="Times New Roman"/>
          <w:iCs/>
          <w:sz w:val="24"/>
          <w:szCs w:val="24"/>
        </w:rPr>
      </w:pPr>
    </w:p>
    <w:p w:rsidR="008D037C" w:rsidRDefault="008D037C" w:rsidP="00B75B1E">
      <w:pPr>
        <w:spacing w:line="360" w:lineRule="auto"/>
        <w:rPr>
          <w:rFonts w:ascii="Times New Roman" w:hAnsi="Times New Roman" w:cs="Times New Roman"/>
          <w:iCs/>
          <w:sz w:val="24"/>
          <w:szCs w:val="24"/>
        </w:rPr>
      </w:pPr>
      <w:r>
        <w:rPr>
          <w:rFonts w:ascii="Times New Roman" w:hAnsi="Times New Roman" w:cs="Times New Roman"/>
          <w:b/>
          <w:iCs/>
          <w:sz w:val="24"/>
          <w:szCs w:val="24"/>
        </w:rPr>
        <w:t>Article Summary</w:t>
      </w:r>
    </w:p>
    <w:p w:rsidR="008D037C" w:rsidRDefault="008D037C" w:rsidP="008D037C">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need for estimates of small areas defined by social, demographic, and geographic variables increases, so too does the need for methods overcoming the difficulties of small area estimations. Due to unreliability from small sample sizes in these areas, model-based estimates are preferred over direct methods (i.e., calculating a rate by taking number of events over exposure). These small area estimates are frequently compared to aggregate estimates for larger areas that are more </w:t>
      </w:r>
      <w:r w:rsidR="00A522DF">
        <w:rPr>
          <w:rFonts w:ascii="Times New Roman" w:hAnsi="Times New Roman" w:cs="Times New Roman"/>
          <w:sz w:val="24"/>
          <w:szCs w:val="24"/>
        </w:rPr>
        <w:t xml:space="preserve">easily </w:t>
      </w:r>
      <w:r>
        <w:rPr>
          <w:rFonts w:ascii="Times New Roman" w:hAnsi="Times New Roman" w:cs="Times New Roman"/>
          <w:sz w:val="24"/>
          <w:szCs w:val="24"/>
        </w:rPr>
        <w:t xml:space="preserve">likely obtained using direct methods (referred to as </w:t>
      </w:r>
      <w:r>
        <w:rPr>
          <w:rFonts w:ascii="Times New Roman" w:hAnsi="Times New Roman" w:cs="Times New Roman"/>
          <w:i/>
          <w:iCs/>
          <w:sz w:val="24"/>
          <w:szCs w:val="24"/>
        </w:rPr>
        <w:t>benchmarks</w:t>
      </w:r>
      <w:r>
        <w:rPr>
          <w:rFonts w:ascii="Times New Roman" w:hAnsi="Times New Roman" w:cs="Times New Roman"/>
          <w:sz w:val="24"/>
          <w:szCs w:val="24"/>
        </w:rPr>
        <w:t xml:space="preserve">). </w:t>
      </w:r>
      <w:r w:rsidR="00A522DF">
        <w:rPr>
          <w:rFonts w:ascii="Times New Roman" w:hAnsi="Times New Roman" w:cs="Times New Roman"/>
          <w:sz w:val="24"/>
          <w:szCs w:val="24"/>
        </w:rPr>
        <w:t xml:space="preserve">Small area estimation is important to government statistical offices, where reported statistics are used to inform policy and financial decisions. </w:t>
      </w:r>
      <w:r>
        <w:rPr>
          <w:rFonts w:ascii="Times New Roman" w:hAnsi="Times New Roman" w:cs="Times New Roman"/>
          <w:sz w:val="24"/>
          <w:szCs w:val="24"/>
        </w:rPr>
        <w:t xml:space="preserve">Inconsistencies between the low level and aggregate estimates </w:t>
      </w:r>
      <w:r w:rsidR="00A522DF">
        <w:rPr>
          <w:rFonts w:ascii="Times New Roman" w:hAnsi="Times New Roman" w:cs="Times New Roman"/>
          <w:sz w:val="24"/>
          <w:szCs w:val="24"/>
        </w:rPr>
        <w:t>therefore cause</w:t>
      </w:r>
      <w:r>
        <w:rPr>
          <w:rFonts w:ascii="Times New Roman" w:hAnsi="Times New Roman" w:cs="Times New Roman"/>
          <w:sz w:val="24"/>
          <w:szCs w:val="24"/>
        </w:rPr>
        <w:t xml:space="preserve"> varying degrees of concern</w:t>
      </w:r>
      <w:r w:rsidR="00A522DF">
        <w:rPr>
          <w:rFonts w:ascii="Times New Roman" w:hAnsi="Times New Roman" w:cs="Times New Roman"/>
          <w:sz w:val="24"/>
          <w:szCs w:val="24"/>
        </w:rPr>
        <w:t xml:space="preserve"> depending on the application</w:t>
      </w:r>
      <w:r>
        <w:rPr>
          <w:rFonts w:ascii="Times New Roman" w:hAnsi="Times New Roman" w:cs="Times New Roman"/>
          <w:sz w:val="24"/>
          <w:szCs w:val="24"/>
        </w:rPr>
        <w:t xml:space="preserve">, so small area estimates are often adjusted to be consistent with aggregate estimates (referred to as </w:t>
      </w:r>
      <w:r>
        <w:rPr>
          <w:rFonts w:ascii="Times New Roman" w:hAnsi="Times New Roman" w:cs="Times New Roman"/>
          <w:i/>
          <w:iCs/>
          <w:sz w:val="24"/>
          <w:szCs w:val="24"/>
        </w:rPr>
        <w:t>benchmarking</w:t>
      </w:r>
      <w:r>
        <w:rPr>
          <w:rFonts w:ascii="Times New Roman" w:hAnsi="Times New Roman" w:cs="Times New Roman"/>
          <w:sz w:val="24"/>
          <w:szCs w:val="24"/>
        </w:rPr>
        <w:t xml:space="preserve">). </w:t>
      </w:r>
      <w:r w:rsidR="00276869">
        <w:rPr>
          <w:rFonts w:ascii="Times New Roman" w:hAnsi="Times New Roman" w:cs="Times New Roman"/>
          <w:sz w:val="24"/>
          <w:szCs w:val="24"/>
        </w:rPr>
        <w:t>Currently</w:t>
      </w:r>
      <w:r>
        <w:rPr>
          <w:rFonts w:ascii="Times New Roman" w:hAnsi="Times New Roman" w:cs="Times New Roman"/>
          <w:sz w:val="24"/>
          <w:szCs w:val="24"/>
        </w:rPr>
        <w:t xml:space="preserve"> existing benchmarking methods use benchmarks as constraints in the small area estimation models</w:t>
      </w:r>
      <w:r w:rsidR="00276869">
        <w:rPr>
          <w:rFonts w:ascii="Times New Roman" w:hAnsi="Times New Roman" w:cs="Times New Roman"/>
          <w:sz w:val="24"/>
          <w:szCs w:val="24"/>
        </w:rPr>
        <w:t>,</w:t>
      </w:r>
      <w:r>
        <w:rPr>
          <w:rFonts w:ascii="Times New Roman" w:hAnsi="Times New Roman" w:cs="Times New Roman"/>
          <w:sz w:val="24"/>
          <w:szCs w:val="24"/>
        </w:rPr>
        <w:t xml:space="preserve"> but are</w:t>
      </w:r>
      <w:r w:rsidR="00276869">
        <w:rPr>
          <w:rFonts w:ascii="Times New Roman" w:hAnsi="Times New Roman" w:cs="Times New Roman"/>
          <w:sz w:val="24"/>
          <w:szCs w:val="24"/>
        </w:rPr>
        <w:t xml:space="preserve"> limited to</w:t>
      </w:r>
      <w:r>
        <w:rPr>
          <w:rFonts w:ascii="Times New Roman" w:hAnsi="Times New Roman" w:cs="Times New Roman"/>
          <w:sz w:val="24"/>
          <w:szCs w:val="24"/>
        </w:rPr>
        <w:t xml:space="preserve"> only </w:t>
      </w:r>
      <w:r w:rsidR="00276869">
        <w:rPr>
          <w:rFonts w:ascii="Times New Roman" w:hAnsi="Times New Roman" w:cs="Times New Roman"/>
          <w:sz w:val="24"/>
          <w:szCs w:val="24"/>
        </w:rPr>
        <w:t>providing point estimates for</w:t>
      </w:r>
      <w:r>
        <w:rPr>
          <w:rFonts w:ascii="Times New Roman" w:hAnsi="Times New Roman" w:cs="Times New Roman"/>
          <w:sz w:val="24"/>
          <w:szCs w:val="24"/>
        </w:rPr>
        <w:t xml:space="preserve"> small area parameters. </w:t>
      </w:r>
    </w:p>
    <w:p w:rsidR="008D037C" w:rsidRDefault="008D037C" w:rsidP="00276869">
      <w:pPr>
        <w:spacing w:line="360" w:lineRule="auto"/>
        <w:rPr>
          <w:rFonts w:ascii="Times New Roman" w:hAnsi="Times New Roman" w:cs="Times New Roman"/>
          <w:sz w:val="24"/>
          <w:szCs w:val="24"/>
        </w:rPr>
      </w:pPr>
      <w:r>
        <w:rPr>
          <w:rFonts w:ascii="Times New Roman" w:hAnsi="Times New Roman" w:cs="Times New Roman"/>
          <w:sz w:val="24"/>
          <w:szCs w:val="24"/>
        </w:rPr>
        <w:t>In their article</w:t>
      </w:r>
      <w:r w:rsidR="00276869">
        <w:rPr>
          <w:rFonts w:ascii="Times New Roman" w:hAnsi="Times New Roman" w:cs="Times New Roman"/>
          <w:sz w:val="24"/>
          <w:szCs w:val="24"/>
        </w:rPr>
        <w:t xml:space="preserve"> </w:t>
      </w:r>
      <w:r w:rsidR="00276869" w:rsidRPr="00DF50E9">
        <w:rPr>
          <w:rFonts w:ascii="Times New Roman" w:hAnsi="Times New Roman" w:cs="Times New Roman"/>
          <w:i/>
          <w:iCs/>
          <w:sz w:val="24"/>
          <w:szCs w:val="24"/>
        </w:rPr>
        <w:t>Fully Bayesian Benchmarking of Small Area Estimation Models</w:t>
      </w:r>
      <w:r w:rsidR="00276869">
        <w:rPr>
          <w:rFonts w:ascii="Times New Roman" w:hAnsi="Times New Roman" w:cs="Times New Roman"/>
          <w:iCs/>
          <w:sz w:val="24"/>
          <w:szCs w:val="24"/>
        </w:rPr>
        <w:t xml:space="preserve"> (2020, </w:t>
      </w:r>
      <w:r w:rsidR="00276869" w:rsidRPr="00276869">
        <w:rPr>
          <w:rFonts w:ascii="Times New Roman" w:hAnsi="Times New Roman" w:cs="Times New Roman"/>
          <w:iCs/>
          <w:sz w:val="24"/>
          <w:szCs w:val="24"/>
        </w:rPr>
        <w:t>Zhang, J.L. and Bryant, J.)</w:t>
      </w:r>
      <w:r w:rsidRPr="00276869">
        <w:rPr>
          <w:rFonts w:ascii="Times New Roman" w:hAnsi="Times New Roman" w:cs="Times New Roman"/>
          <w:iCs/>
          <w:sz w:val="24"/>
          <w:szCs w:val="24"/>
        </w:rPr>
        <w:t>,</w:t>
      </w:r>
      <w:r w:rsidR="00276869">
        <w:rPr>
          <w:rFonts w:ascii="Times New Roman" w:hAnsi="Times New Roman" w:cs="Times New Roman"/>
          <w:iCs/>
          <w:sz w:val="24"/>
          <w:szCs w:val="24"/>
        </w:rPr>
        <w:t xml:space="preserve"> </w:t>
      </w:r>
      <w:r>
        <w:rPr>
          <w:rFonts w:ascii="Times New Roman" w:hAnsi="Times New Roman" w:cs="Times New Roman"/>
          <w:sz w:val="24"/>
          <w:szCs w:val="24"/>
        </w:rPr>
        <w:t xml:space="preserve">Zhang and Bryant propose, implement, and demonstrate a fully Bayesian general approach to benchmarking. Their approach produces a full benchmarked posterior distribution by taking benchmarks as estimates for underlying aggregate parameters and </w:t>
      </w:r>
      <w:r>
        <w:rPr>
          <w:rFonts w:ascii="Times New Roman" w:hAnsi="Times New Roman" w:cs="Times New Roman"/>
          <w:sz w:val="24"/>
          <w:szCs w:val="24"/>
        </w:rPr>
        <w:lastRenderedPageBreak/>
        <w:t>modifying the likelihood function by multiplying it by the probability distribution of the benchmarks. Benefits of this approach include the ability to use multiple benchmarks, benchmarks nonlinearly related to small area estimates, and to specify acceptable discrepancy between benchmarks and model-based estimates.</w:t>
      </w:r>
      <w:r w:rsidR="00276869">
        <w:rPr>
          <w:rFonts w:ascii="Times New Roman" w:hAnsi="Times New Roman" w:cs="Times New Roman"/>
          <w:sz w:val="24"/>
          <w:szCs w:val="24"/>
        </w:rPr>
        <w:t xml:space="preserve"> </w:t>
      </w:r>
    </w:p>
    <w:p w:rsidR="009922E2" w:rsidRDefault="009922E2" w:rsidP="00276869">
      <w:pPr>
        <w:spacing w:line="360" w:lineRule="auto"/>
        <w:rPr>
          <w:rFonts w:ascii="Times New Roman" w:hAnsi="Times New Roman" w:cs="Times New Roman"/>
          <w:sz w:val="24"/>
          <w:szCs w:val="24"/>
        </w:rPr>
      </w:pPr>
      <w:r>
        <w:rPr>
          <w:rFonts w:ascii="Times New Roman" w:hAnsi="Times New Roman" w:cs="Times New Roman"/>
          <w:sz w:val="24"/>
          <w:szCs w:val="24"/>
        </w:rPr>
        <w:t>Throughout the article and this report, some terminology is just that may not be immediately clear, so brief definitions are provided here for reference:</w:t>
      </w:r>
    </w:p>
    <w:p w:rsidR="009922E2" w:rsidRDefault="009922E2" w:rsidP="009922E2">
      <w:pPr>
        <w:pStyle w:val="ListParagraph"/>
        <w:numPr>
          <w:ilvl w:val="0"/>
          <w:numId w:val="1"/>
        </w:numPr>
        <w:spacing w:line="360" w:lineRule="auto"/>
        <w:rPr>
          <w:rFonts w:ascii="Times New Roman" w:hAnsi="Times New Roman" w:cs="Times New Roman"/>
          <w:iCs/>
          <w:sz w:val="24"/>
          <w:szCs w:val="24"/>
        </w:rPr>
      </w:pPr>
      <w:r>
        <w:rPr>
          <w:rFonts w:ascii="Times New Roman" w:hAnsi="Times New Roman" w:cs="Times New Roman"/>
          <w:b/>
          <w:iCs/>
          <w:sz w:val="24"/>
          <w:szCs w:val="24"/>
        </w:rPr>
        <w:t>Benchmarks</w:t>
      </w:r>
      <w:r>
        <w:rPr>
          <w:rFonts w:ascii="Times New Roman" w:hAnsi="Times New Roman" w:cs="Times New Roman"/>
          <w:iCs/>
          <w:sz w:val="24"/>
          <w:szCs w:val="24"/>
        </w:rPr>
        <w:t xml:space="preserve"> are aggregate (higher level) estimates, generally obtained using direct methods</w:t>
      </w:r>
    </w:p>
    <w:p w:rsidR="009922E2" w:rsidRDefault="009922E2" w:rsidP="009922E2">
      <w:pPr>
        <w:pStyle w:val="ListParagraph"/>
        <w:numPr>
          <w:ilvl w:val="1"/>
          <w:numId w:val="1"/>
        </w:numPr>
        <w:spacing w:line="360" w:lineRule="auto"/>
        <w:rPr>
          <w:rFonts w:ascii="Times New Roman" w:hAnsi="Times New Roman" w:cs="Times New Roman"/>
          <w:iCs/>
          <w:sz w:val="24"/>
          <w:szCs w:val="24"/>
        </w:rPr>
      </w:pPr>
      <w:r>
        <w:rPr>
          <w:rFonts w:ascii="Times New Roman" w:hAnsi="Times New Roman" w:cs="Times New Roman"/>
          <w:b/>
          <w:iCs/>
          <w:sz w:val="24"/>
          <w:szCs w:val="24"/>
        </w:rPr>
        <w:t>Internal benchmarks</w:t>
      </w:r>
      <w:r>
        <w:rPr>
          <w:rFonts w:ascii="Times New Roman" w:hAnsi="Times New Roman" w:cs="Times New Roman"/>
          <w:iCs/>
          <w:sz w:val="24"/>
          <w:szCs w:val="24"/>
        </w:rPr>
        <w:t xml:space="preserve"> are calculated from the small area data sources</w:t>
      </w:r>
    </w:p>
    <w:p w:rsidR="009922E2" w:rsidRDefault="009922E2" w:rsidP="009922E2">
      <w:pPr>
        <w:pStyle w:val="ListParagraph"/>
        <w:numPr>
          <w:ilvl w:val="1"/>
          <w:numId w:val="1"/>
        </w:numPr>
        <w:spacing w:line="360" w:lineRule="auto"/>
        <w:rPr>
          <w:rFonts w:ascii="Times New Roman" w:hAnsi="Times New Roman" w:cs="Times New Roman"/>
          <w:iCs/>
          <w:sz w:val="24"/>
          <w:szCs w:val="24"/>
        </w:rPr>
      </w:pPr>
      <w:r>
        <w:rPr>
          <w:rFonts w:ascii="Times New Roman" w:hAnsi="Times New Roman" w:cs="Times New Roman"/>
          <w:b/>
          <w:iCs/>
          <w:sz w:val="24"/>
          <w:szCs w:val="24"/>
        </w:rPr>
        <w:t>External benchmarks</w:t>
      </w:r>
      <w:r>
        <w:rPr>
          <w:rFonts w:ascii="Times New Roman" w:hAnsi="Times New Roman" w:cs="Times New Roman"/>
          <w:iCs/>
          <w:sz w:val="24"/>
          <w:szCs w:val="24"/>
        </w:rPr>
        <w:t xml:space="preserve"> are calculated from sources separate from the small area data</w:t>
      </w:r>
    </w:p>
    <w:p w:rsidR="009922E2" w:rsidRDefault="009922E2" w:rsidP="009922E2">
      <w:pPr>
        <w:pStyle w:val="ListParagraph"/>
        <w:numPr>
          <w:ilvl w:val="0"/>
          <w:numId w:val="1"/>
        </w:numPr>
        <w:spacing w:line="360" w:lineRule="auto"/>
        <w:rPr>
          <w:rFonts w:ascii="Times New Roman" w:hAnsi="Times New Roman" w:cs="Times New Roman"/>
          <w:iCs/>
          <w:sz w:val="24"/>
          <w:szCs w:val="24"/>
        </w:rPr>
      </w:pPr>
      <w:r>
        <w:rPr>
          <w:rFonts w:ascii="Times New Roman" w:hAnsi="Times New Roman" w:cs="Times New Roman"/>
          <w:b/>
          <w:iCs/>
          <w:sz w:val="24"/>
          <w:szCs w:val="24"/>
        </w:rPr>
        <w:t>Benchmarking</w:t>
      </w:r>
      <w:r>
        <w:rPr>
          <w:rFonts w:ascii="Times New Roman" w:hAnsi="Times New Roman" w:cs="Times New Roman"/>
          <w:iCs/>
          <w:sz w:val="24"/>
          <w:szCs w:val="24"/>
        </w:rPr>
        <w:t xml:space="preserve"> methods are techniques for reconciling small area estimates with benchmarks</w:t>
      </w:r>
    </w:p>
    <w:p w:rsidR="009922E2" w:rsidRDefault="009922E2" w:rsidP="009922E2">
      <w:pPr>
        <w:pStyle w:val="ListParagraph"/>
        <w:numPr>
          <w:ilvl w:val="1"/>
          <w:numId w:val="1"/>
        </w:numPr>
        <w:spacing w:line="360" w:lineRule="auto"/>
        <w:rPr>
          <w:rFonts w:ascii="Times New Roman" w:hAnsi="Times New Roman" w:cs="Times New Roman"/>
          <w:iCs/>
          <w:sz w:val="24"/>
          <w:szCs w:val="24"/>
        </w:rPr>
      </w:pPr>
      <w:r>
        <w:rPr>
          <w:rFonts w:ascii="Times New Roman" w:hAnsi="Times New Roman" w:cs="Times New Roman"/>
          <w:b/>
          <w:iCs/>
          <w:sz w:val="24"/>
          <w:szCs w:val="24"/>
        </w:rPr>
        <w:t>Exact benchmarking</w:t>
      </w:r>
      <w:r>
        <w:rPr>
          <w:rFonts w:ascii="Times New Roman" w:hAnsi="Times New Roman" w:cs="Times New Roman"/>
          <w:iCs/>
          <w:sz w:val="24"/>
          <w:szCs w:val="24"/>
        </w:rPr>
        <w:t xml:space="preserve"> requires the aggregated small area estimates to exactly match their benchmark</w:t>
      </w:r>
    </w:p>
    <w:p w:rsidR="009922E2" w:rsidRDefault="009922E2" w:rsidP="009922E2">
      <w:pPr>
        <w:pStyle w:val="ListParagraph"/>
        <w:numPr>
          <w:ilvl w:val="1"/>
          <w:numId w:val="1"/>
        </w:numPr>
        <w:spacing w:line="360" w:lineRule="auto"/>
        <w:rPr>
          <w:rFonts w:ascii="Times New Roman" w:hAnsi="Times New Roman" w:cs="Times New Roman"/>
          <w:iCs/>
          <w:sz w:val="24"/>
          <w:szCs w:val="24"/>
        </w:rPr>
      </w:pPr>
      <w:r>
        <w:rPr>
          <w:rFonts w:ascii="Times New Roman" w:hAnsi="Times New Roman" w:cs="Times New Roman"/>
          <w:b/>
          <w:iCs/>
          <w:sz w:val="24"/>
          <w:szCs w:val="24"/>
        </w:rPr>
        <w:t>Inexact benchmarking</w:t>
      </w:r>
      <w:r>
        <w:rPr>
          <w:rFonts w:ascii="Times New Roman" w:hAnsi="Times New Roman" w:cs="Times New Roman"/>
          <w:iCs/>
          <w:sz w:val="24"/>
          <w:szCs w:val="24"/>
        </w:rPr>
        <w:t xml:space="preserve"> allows some maximum degree of difference between the aggregated areas and the benchmark</w:t>
      </w:r>
    </w:p>
    <w:p w:rsidR="000E40DF" w:rsidRDefault="000E40DF" w:rsidP="000E40DF">
      <w:pPr>
        <w:spacing w:line="360" w:lineRule="auto"/>
        <w:rPr>
          <w:rFonts w:ascii="Times New Roman" w:hAnsi="Times New Roman" w:cs="Times New Roman"/>
          <w:iCs/>
          <w:sz w:val="24"/>
          <w:szCs w:val="24"/>
        </w:rPr>
      </w:pPr>
    </w:p>
    <w:p w:rsidR="000E40DF" w:rsidRDefault="000E40DF" w:rsidP="000E40DF">
      <w:pPr>
        <w:spacing w:line="360" w:lineRule="auto"/>
        <w:rPr>
          <w:rFonts w:ascii="Times New Roman" w:hAnsi="Times New Roman" w:cs="Times New Roman"/>
          <w:b/>
          <w:iCs/>
          <w:sz w:val="24"/>
          <w:szCs w:val="24"/>
        </w:rPr>
      </w:pPr>
      <w:r>
        <w:rPr>
          <w:rFonts w:ascii="Times New Roman" w:hAnsi="Times New Roman" w:cs="Times New Roman"/>
          <w:b/>
          <w:iCs/>
          <w:sz w:val="24"/>
          <w:szCs w:val="24"/>
        </w:rPr>
        <w:t>Methods</w:t>
      </w:r>
    </w:p>
    <w:p w:rsidR="001505B9" w:rsidRDefault="001505B9" w:rsidP="000E40DF">
      <w:pPr>
        <w:spacing w:line="360" w:lineRule="auto"/>
        <w:rPr>
          <w:rFonts w:ascii="Times New Roman" w:hAnsi="Times New Roman" w:cs="Times New Roman"/>
          <w:iCs/>
          <w:sz w:val="24"/>
          <w:szCs w:val="24"/>
        </w:rPr>
      </w:pPr>
      <w:r>
        <w:rPr>
          <w:rFonts w:ascii="Times New Roman" w:hAnsi="Times New Roman" w:cs="Times New Roman"/>
          <w:b/>
          <w:iCs/>
          <w:sz w:val="24"/>
          <w:szCs w:val="24"/>
        </w:rPr>
        <w:t>Overview</w:t>
      </w:r>
    </w:p>
    <w:p w:rsidR="000E40DF" w:rsidRDefault="000E40DF" w:rsidP="000E40DF">
      <w:pPr>
        <w:spacing w:line="360" w:lineRule="auto"/>
        <w:rPr>
          <w:rFonts w:ascii="Times New Roman" w:eastAsiaTheme="minorEastAsia" w:hAnsi="Times New Roman" w:cs="Times New Roman"/>
          <w:iCs/>
          <w:sz w:val="24"/>
          <w:szCs w:val="24"/>
        </w:rPr>
      </w:pPr>
      <w:r>
        <w:rPr>
          <w:rFonts w:ascii="Times New Roman" w:hAnsi="Times New Roman" w:cs="Times New Roman"/>
          <w:iCs/>
          <w:sz w:val="24"/>
          <w:szCs w:val="24"/>
        </w:rPr>
        <w:t xml:space="preserve">The authors’ methods are based on a conceptual framework that starts with a standard setup for Bayesian estimation of area-level models. The goal is to estimate area-level parameters </w:t>
      </w:r>
      <m:oMath>
        <m:r>
          <w:rPr>
            <w:rFonts w:ascii="Cambria Math" w:hAnsi="Cambria Math" w:cs="Times New Roman"/>
            <w:sz w:val="24"/>
            <w:szCs w:val="24"/>
          </w:rPr>
          <m:t>γ=</m:t>
        </m:r>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γ</m:t>
                    </m:r>
                  </m:e>
                  <m:sub>
                    <m:r>
                      <w:rPr>
                        <w:rFonts w:ascii="Cambria Math" w:hAnsi="Cambria Math" w:cs="Times New Roman"/>
                        <w:sz w:val="24"/>
                        <w:szCs w:val="24"/>
                      </w:rPr>
                      <m:t>n</m:t>
                    </m:r>
                  </m:sub>
                </m:sSub>
              </m:e>
            </m:d>
          </m:e>
          <m:sup>
            <m:r>
              <w:rPr>
                <w:rFonts w:ascii="Cambria Math" w:hAnsi="Cambria Math" w:cs="Times New Roman"/>
                <w:sz w:val="24"/>
                <w:szCs w:val="24"/>
              </w:rPr>
              <m:t>T</m:t>
            </m:r>
          </m:sup>
        </m:sSup>
      </m:oMath>
      <w:r w:rsidR="00786C44">
        <w:rPr>
          <w:rFonts w:ascii="Times New Roman" w:eastAsiaTheme="minorEastAsia" w:hAnsi="Times New Roman" w:cs="Times New Roman"/>
          <w:iCs/>
          <w:sz w:val="24"/>
          <w:szCs w:val="24"/>
        </w:rPr>
        <w:t xml:space="preserve"> from area-level observations </w:t>
      </w:r>
      <m:oMath>
        <m:r>
          <w:rPr>
            <w:rFonts w:ascii="Cambria Math" w:eastAsiaTheme="minorEastAsia" w:hAnsi="Cambria Math" w:cs="Times New Roman"/>
            <w:sz w:val="24"/>
            <w:szCs w:val="24"/>
          </w:rPr>
          <m:t>y=</m:t>
        </m:r>
        <m:sSup>
          <m:sSupPr>
            <m:ctrlPr>
              <w:rPr>
                <w:rFonts w:ascii="Cambria Math" w:eastAsiaTheme="minorEastAsia" w:hAnsi="Cambria Math" w:cs="Times New Roman"/>
                <w:i/>
                <w:iCs/>
                <w:sz w:val="24"/>
                <w:szCs w:val="24"/>
              </w:rPr>
            </m:ctrlPr>
          </m:sSupPr>
          <m:e>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e>
            </m:d>
          </m:e>
          <m:sup>
            <m:r>
              <w:rPr>
                <w:rFonts w:ascii="Cambria Math" w:eastAsiaTheme="minorEastAsia" w:hAnsi="Cambria Math" w:cs="Times New Roman"/>
                <w:sz w:val="24"/>
                <w:szCs w:val="24"/>
              </w:rPr>
              <m:t>T</m:t>
            </m:r>
          </m:sup>
        </m:sSup>
      </m:oMath>
      <w:r w:rsidR="00786C44">
        <w:rPr>
          <w:rFonts w:ascii="Times New Roman" w:eastAsiaTheme="minorEastAsia" w:hAnsi="Times New Roman" w:cs="Times New Roman"/>
          <w:iCs/>
          <w:sz w:val="24"/>
          <w:szCs w:val="24"/>
        </w:rPr>
        <w:t xml:space="preserve"> for the </w:t>
      </w:r>
      <m:oMath>
        <m:r>
          <w:rPr>
            <w:rFonts w:ascii="Cambria Math" w:eastAsiaTheme="minorEastAsia" w:hAnsi="Cambria Math" w:cs="Times New Roman"/>
            <w:sz w:val="24"/>
            <w:szCs w:val="24"/>
          </w:rPr>
          <m:t>n</m:t>
        </m:r>
      </m:oMath>
      <w:r w:rsidR="00786C44">
        <w:rPr>
          <w:rFonts w:ascii="Times New Roman" w:eastAsiaTheme="minorEastAsia" w:hAnsi="Times New Roman" w:cs="Times New Roman"/>
          <w:iCs/>
          <w:sz w:val="24"/>
          <w:szCs w:val="24"/>
        </w:rPr>
        <w:t xml:space="preserve"> areas defined by unique classification groupings (such as age-sex-region).</w:t>
      </w:r>
      <w:r w:rsidR="005A1073">
        <w:rPr>
          <w:rFonts w:ascii="Times New Roman" w:eastAsiaTheme="minorEastAsia" w:hAnsi="Times New Roman" w:cs="Times New Roman"/>
          <w:iCs/>
          <w:sz w:val="24"/>
          <w:szCs w:val="24"/>
        </w:rPr>
        <w:t xml:space="preserve"> </w:t>
      </w:r>
      <w:r w:rsidR="00DD1AAB">
        <w:rPr>
          <w:rFonts w:ascii="Times New Roman" w:eastAsiaTheme="minorEastAsia" w:hAnsi="Times New Roman" w:cs="Times New Roman"/>
          <w:iCs/>
          <w:sz w:val="24"/>
          <w:szCs w:val="24"/>
        </w:rPr>
        <w:t>The hierarchical Bayesian model then becomes:</w:t>
      </w:r>
    </w:p>
    <w:p w:rsidR="00DD1AAB" w:rsidRPr="00DD1AAB" w:rsidRDefault="00DD1AAB" w:rsidP="000E40DF">
      <w:pPr>
        <w:spacing w:line="360" w:lineRule="auto"/>
        <w:rPr>
          <w:rFonts w:ascii="Times New Roman" w:eastAsiaTheme="minorEastAsia" w:hAnsi="Times New Roman" w:cs="Times New Roman"/>
          <w:iCs/>
          <w:sz w:val="24"/>
          <w:szCs w:val="24"/>
        </w:rPr>
      </w:pPr>
      <m:oMathPara>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γ, ϕ</m:t>
              </m:r>
            </m:e>
            <m:e>
              <m:r>
                <w:rPr>
                  <w:rFonts w:ascii="Cambria Math" w:hAnsi="Cambria Math" w:cs="Times New Roman"/>
                  <w:sz w:val="24"/>
                  <w:szCs w:val="24"/>
                </w:rPr>
                <m:t>y</m:t>
              </m:r>
            </m:e>
          </m:d>
          <m:r>
            <w:rPr>
              <w:rFonts w:ascii="Cambria Math" w:hAnsi="Cambria Math" w:cs="Times New Roman"/>
              <w:sz w:val="24"/>
              <w:szCs w:val="24"/>
            </w:rPr>
            <m:t>∝p(ϕ)p(γ|ϕ)p(y|γ)</m:t>
          </m:r>
        </m:oMath>
      </m:oMathPara>
    </w:p>
    <w:p w:rsidR="00DD1AAB" w:rsidRDefault="00DD1AAB" w:rsidP="000E40DF">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with </w:t>
      </w:r>
      <m:oMath>
        <m:r>
          <w:rPr>
            <w:rFonts w:ascii="Cambria Math" w:eastAsiaTheme="minorEastAsia" w:hAnsi="Cambria Math" w:cs="Times New Roman"/>
            <w:sz w:val="24"/>
            <w:szCs w:val="24"/>
          </w:rPr>
          <m:t>ϕ</m:t>
        </m:r>
      </m:oMath>
      <w:r>
        <w:rPr>
          <w:rFonts w:ascii="Times New Roman" w:eastAsiaTheme="minorEastAsia" w:hAnsi="Times New Roman" w:cs="Times New Roman"/>
          <w:iCs/>
          <w:sz w:val="24"/>
          <w:szCs w:val="24"/>
        </w:rPr>
        <w:t xml:space="preserve"> representing a vector of hyperparameters, likelihood </w:t>
      </w:r>
      <m:oMath>
        <m:r>
          <w:rPr>
            <w:rFonts w:ascii="Cambria Math" w:hAnsi="Cambria Math" w:cs="Times New Roman"/>
            <w:sz w:val="24"/>
            <w:szCs w:val="24"/>
          </w:rPr>
          <m:t>p(y|γ)</m:t>
        </m:r>
      </m:oMath>
      <w:r>
        <w:rPr>
          <w:rFonts w:ascii="Times New Roman" w:eastAsiaTheme="minorEastAsia" w:hAnsi="Times New Roman" w:cs="Times New Roman"/>
          <w:iCs/>
          <w:sz w:val="24"/>
          <w:szCs w:val="24"/>
        </w:rPr>
        <w:t xml:space="preserve">, and prior </w:t>
      </w:r>
      <m:oMath>
        <m:r>
          <w:rPr>
            <w:rFonts w:ascii="Cambria Math" w:hAnsi="Cambria Math" w:cs="Times New Roman"/>
            <w:sz w:val="24"/>
            <w:szCs w:val="24"/>
          </w:rPr>
          <m:t>p(ϕ)p(γ|ϕ)</m:t>
        </m:r>
      </m:oMath>
      <w:r>
        <w:rPr>
          <w:rFonts w:ascii="Times New Roman" w:eastAsiaTheme="minorEastAsia" w:hAnsi="Times New Roman" w:cs="Times New Roman"/>
          <w:iCs/>
          <w:sz w:val="24"/>
          <w:szCs w:val="24"/>
        </w:rPr>
        <w:t xml:space="preserve">. </w:t>
      </w:r>
    </w:p>
    <w:p w:rsidR="001F2BBC" w:rsidRDefault="001F2BBC" w:rsidP="000E40DF">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E</w:t>
      </w:r>
      <w:r w:rsidR="00DD1AAB">
        <w:rPr>
          <w:rFonts w:ascii="Times New Roman" w:eastAsiaTheme="minorEastAsia" w:hAnsi="Times New Roman" w:cs="Times New Roman"/>
          <w:iCs/>
          <w:sz w:val="24"/>
          <w:szCs w:val="24"/>
        </w:rPr>
        <w:t>xtend</w:t>
      </w:r>
      <w:r>
        <w:rPr>
          <w:rFonts w:ascii="Times New Roman" w:eastAsiaTheme="minorEastAsia" w:hAnsi="Times New Roman" w:cs="Times New Roman"/>
          <w:iCs/>
          <w:sz w:val="24"/>
          <w:szCs w:val="24"/>
        </w:rPr>
        <w:t>ing</w:t>
      </w:r>
      <w:r w:rsidR="00DD1AAB">
        <w:rPr>
          <w:rFonts w:ascii="Times New Roman" w:eastAsiaTheme="minorEastAsia" w:hAnsi="Times New Roman" w:cs="Times New Roman"/>
          <w:iCs/>
          <w:sz w:val="24"/>
          <w:szCs w:val="24"/>
        </w:rPr>
        <w:t xml:space="preserve"> this framework to include benchmarking </w:t>
      </w:r>
      <w:r>
        <w:rPr>
          <w:rFonts w:ascii="Times New Roman" w:eastAsiaTheme="minorEastAsia" w:hAnsi="Times New Roman" w:cs="Times New Roman"/>
          <w:iCs/>
          <w:sz w:val="24"/>
          <w:szCs w:val="24"/>
        </w:rPr>
        <w:t>requires</w:t>
      </w:r>
      <w:r w:rsidR="00DD1AAB">
        <w:rPr>
          <w:rFonts w:ascii="Times New Roman" w:eastAsiaTheme="minorEastAsia" w:hAnsi="Times New Roman" w:cs="Times New Roman"/>
          <w:iCs/>
          <w:sz w:val="24"/>
          <w:szCs w:val="24"/>
        </w:rPr>
        <w:t xml:space="preserve"> collecting a set of observed benchmarks </w:t>
      </w:r>
      <m:oMath>
        <m:r>
          <w:rPr>
            <w:rFonts w:ascii="Cambria Math" w:eastAsiaTheme="minorEastAsia" w:hAnsi="Cambria Math" w:cs="Times New Roman"/>
            <w:sz w:val="24"/>
            <w:szCs w:val="24"/>
          </w:rPr>
          <m:t>m=</m:t>
        </m:r>
        <m:sSup>
          <m:sSupPr>
            <m:ctrlPr>
              <w:rPr>
                <w:rFonts w:ascii="Cambria Math" w:eastAsiaTheme="minorEastAsia" w:hAnsi="Cambria Math" w:cs="Times New Roman"/>
                <w:i/>
                <w:iCs/>
                <w:sz w:val="24"/>
                <w:szCs w:val="24"/>
              </w:rPr>
            </m:ctrlPr>
          </m:sSupPr>
          <m:e>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e>
            </m:d>
          </m:e>
          <m:sup>
            <m:r>
              <w:rPr>
                <w:rFonts w:ascii="Cambria Math" w:eastAsiaTheme="minorEastAsia" w:hAnsi="Cambria Math" w:cs="Times New Roman"/>
                <w:sz w:val="24"/>
                <w:szCs w:val="24"/>
              </w:rPr>
              <m:t>T</m:t>
            </m:r>
          </m:sup>
        </m:sSup>
      </m:oMath>
      <w:r w:rsidR="00DD1AAB">
        <w:rPr>
          <w:rFonts w:ascii="Times New Roman" w:eastAsiaTheme="minorEastAsia" w:hAnsi="Times New Roman" w:cs="Times New Roman"/>
          <w:iCs/>
          <w:sz w:val="24"/>
          <w:szCs w:val="24"/>
        </w:rPr>
        <w:t xml:space="preserve"> estimating underlying parameters </w:t>
      </w:r>
      <m:oMath>
        <m:r>
          <w:rPr>
            <w:rFonts w:ascii="Cambria Math" w:eastAsiaTheme="minorEastAsia" w:hAnsi="Cambria Math" w:cs="Times New Roman"/>
            <w:sz w:val="24"/>
            <w:szCs w:val="24"/>
          </w:rPr>
          <m:t>ψ=</m:t>
        </m:r>
        <m:sSup>
          <m:sSupPr>
            <m:ctrlPr>
              <w:rPr>
                <w:rFonts w:ascii="Cambria Math" w:eastAsiaTheme="minorEastAsia" w:hAnsi="Cambria Math" w:cs="Times New Roman"/>
                <w:i/>
                <w:iCs/>
                <w:sz w:val="24"/>
                <w:szCs w:val="24"/>
              </w:rPr>
            </m:ctrlPr>
          </m:sSupPr>
          <m:e>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d</m:t>
                    </m:r>
                  </m:sub>
                </m:sSub>
              </m:e>
            </m:d>
          </m:e>
          <m:sup>
            <m:r>
              <w:rPr>
                <w:rFonts w:ascii="Cambria Math" w:eastAsiaTheme="minorEastAsia" w:hAnsi="Cambria Math" w:cs="Times New Roman"/>
                <w:sz w:val="24"/>
                <w:szCs w:val="24"/>
              </w:rPr>
              <m:t>T</m:t>
            </m:r>
          </m:sup>
        </m:sSup>
      </m:oMath>
      <w:r w:rsidR="000C5884">
        <w:rPr>
          <w:rFonts w:ascii="Times New Roman" w:eastAsiaTheme="minorEastAsia" w:hAnsi="Times New Roman" w:cs="Times New Roman"/>
          <w:iCs/>
          <w:sz w:val="24"/>
          <w:szCs w:val="24"/>
        </w:rPr>
        <w:t xml:space="preserve"> for </w:t>
      </w:r>
      <m:oMath>
        <m:r>
          <w:rPr>
            <w:rFonts w:ascii="Cambria Math" w:eastAsiaTheme="minorEastAsia" w:hAnsi="Cambria Math" w:cs="Times New Roman"/>
            <w:sz w:val="24"/>
            <w:szCs w:val="24"/>
          </w:rPr>
          <m:t>d≪n</m:t>
        </m:r>
      </m:oMath>
      <w:r w:rsidR="000C5884">
        <w:rPr>
          <w:rFonts w:ascii="Times New Roman" w:eastAsiaTheme="minorEastAsia" w:hAnsi="Times New Roman" w:cs="Times New Roman"/>
          <w:iCs/>
          <w:sz w:val="24"/>
          <w:szCs w:val="24"/>
        </w:rPr>
        <w:t xml:space="preserve"> areas defined by unique aggregate classification groupings (such as age-sex, or age-sex-location where location includes multiple regions). </w:t>
      </w:r>
      <w:r w:rsidR="00F67CFD">
        <w:rPr>
          <w:rFonts w:ascii="Times New Roman" w:eastAsiaTheme="minorEastAsia" w:hAnsi="Times New Roman" w:cs="Times New Roman"/>
          <w:iCs/>
          <w:sz w:val="24"/>
          <w:szCs w:val="24"/>
        </w:rPr>
        <w:t xml:space="preserve">A deterministic benchmarking function </w:t>
      </w:r>
      <m:oMath>
        <m:r>
          <w:rPr>
            <w:rFonts w:ascii="Cambria Math" w:eastAsiaTheme="minorEastAsia" w:hAnsi="Cambria Math" w:cs="Times New Roman"/>
            <w:sz w:val="24"/>
            <w:szCs w:val="24"/>
          </w:rPr>
          <m:t>ψ=f(γ)</m:t>
        </m:r>
      </m:oMath>
      <w:r w:rsidR="00F67CFD">
        <w:rPr>
          <w:rFonts w:ascii="Times New Roman" w:eastAsiaTheme="minorEastAsia" w:hAnsi="Times New Roman" w:cs="Times New Roman"/>
          <w:iCs/>
          <w:sz w:val="24"/>
          <w:szCs w:val="24"/>
        </w:rPr>
        <w:t xml:space="preserve"> is defined to set the relationship between the small area and benchmark parameters so that each small area belongs to at most one benchmark area.</w:t>
      </w:r>
      <w:r w:rsidR="00340FC4">
        <w:rPr>
          <w:rFonts w:ascii="Times New Roman" w:eastAsiaTheme="minorEastAsia" w:hAnsi="Times New Roman" w:cs="Times New Roman"/>
          <w:iCs/>
          <w:sz w:val="24"/>
          <w:szCs w:val="24"/>
        </w:rPr>
        <w:t xml:space="preserve"> Th</w:t>
      </w:r>
      <w:r>
        <w:rPr>
          <w:rFonts w:ascii="Times New Roman" w:eastAsiaTheme="minorEastAsia" w:hAnsi="Times New Roman" w:cs="Times New Roman"/>
          <w:iCs/>
          <w:sz w:val="24"/>
          <w:szCs w:val="24"/>
        </w:rPr>
        <w:t>is</w:t>
      </w:r>
      <w:r w:rsidR="00340FC4">
        <w:rPr>
          <w:rFonts w:ascii="Times New Roman" w:eastAsiaTheme="minorEastAsia" w:hAnsi="Times New Roman" w:cs="Times New Roman"/>
          <w:iCs/>
          <w:sz w:val="24"/>
          <w:szCs w:val="24"/>
        </w:rPr>
        <w:t xml:space="preserve"> benchmarking function does</w:t>
      </w:r>
      <w:r>
        <w:rPr>
          <w:rFonts w:ascii="Times New Roman" w:eastAsiaTheme="minorEastAsia" w:hAnsi="Times New Roman" w:cs="Times New Roman"/>
          <w:iCs/>
          <w:sz w:val="24"/>
          <w:szCs w:val="24"/>
        </w:rPr>
        <w:t xml:space="preserve"> not have to be linear – the</w:t>
      </w:r>
      <w:r w:rsidR="00340FC4">
        <w:rPr>
          <w:rFonts w:ascii="Times New Roman" w:eastAsiaTheme="minorEastAsia" w:hAnsi="Times New Roman" w:cs="Times New Roman"/>
          <w:iCs/>
          <w:sz w:val="24"/>
          <w:szCs w:val="24"/>
        </w:rPr>
        <w:t xml:space="preserve"> later evaluations</w:t>
      </w:r>
      <w:r>
        <w:rPr>
          <w:rFonts w:ascii="Times New Roman" w:eastAsiaTheme="minorEastAsia" w:hAnsi="Times New Roman" w:cs="Times New Roman"/>
          <w:iCs/>
          <w:sz w:val="24"/>
          <w:szCs w:val="24"/>
        </w:rPr>
        <w:t xml:space="preserve"> benchmark</w:t>
      </w:r>
      <w:r w:rsidR="00340FC4">
        <w:rPr>
          <w:rFonts w:ascii="Times New Roman" w:eastAsiaTheme="minorEastAsia" w:hAnsi="Times New Roman" w:cs="Times New Roman"/>
          <w:iCs/>
          <w:sz w:val="24"/>
          <w:szCs w:val="24"/>
        </w:rPr>
        <w:t xml:space="preserve"> </w:t>
      </w:r>
      <w:r w:rsidR="008F035E">
        <w:rPr>
          <w:rFonts w:ascii="Times New Roman" w:eastAsiaTheme="minorEastAsia" w:hAnsi="Times New Roman" w:cs="Times New Roman"/>
          <w:iCs/>
          <w:sz w:val="24"/>
          <w:szCs w:val="24"/>
        </w:rPr>
        <w:t>small area mortality rate estimates against life expectancy</w:t>
      </w:r>
      <w:r w:rsidR="00C071AB">
        <w:rPr>
          <w:rFonts w:ascii="Times New Roman" w:eastAsiaTheme="minorEastAsia" w:hAnsi="Times New Roman" w:cs="Times New Roman"/>
          <w:iCs/>
          <w:sz w:val="24"/>
          <w:szCs w:val="24"/>
        </w:rPr>
        <w:t xml:space="preserve"> at birth</w:t>
      </w:r>
      <w:r w:rsidR="008F035E">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rsidR="001F2BBC" w:rsidRDefault="001F2BBC" w:rsidP="000E40DF">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To measure agreement with the benchmarks, a probability distribution for the benchmarks conditional on the aggregate parameters is defined as:</w:t>
      </w:r>
    </w:p>
    <w:p w:rsidR="001F2BBC" w:rsidRDefault="001F2BBC" w:rsidP="000E40DF">
      <w:pPr>
        <w:spacing w:line="360" w:lineRule="auto"/>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p</m:t>
              </m:r>
            </m:e>
            <m:sup>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m:t>
                  </m:r>
                </m:e>
              </m:d>
              <m:r>
                <w:rPr>
                  <w:rFonts w:ascii="Cambria Math" w:eastAsiaTheme="minorEastAsia" w:hAnsi="Cambria Math" w:cs="Times New Roman"/>
                  <w:sz w:val="24"/>
                  <w:szCs w:val="24"/>
                </w:rPr>
                <m:t>ψ]</m:t>
              </m:r>
            </m:sup>
          </m:s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m:t>
              </m:r>
            </m:e>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p</m:t>
              </m:r>
            </m:e>
            <m:sup>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m:t>
                  </m:r>
                </m:e>
                <m:e>
                  <m:r>
                    <w:rPr>
                      <w:rFonts w:ascii="Cambria Math" w:eastAsiaTheme="minorEastAsia" w:hAnsi="Cambria Math" w:cs="Times New Roman"/>
                      <w:sz w:val="24"/>
                      <w:szCs w:val="24"/>
                    </w:rPr>
                    <m:t>ψ</m:t>
                  </m:r>
                </m:e>
              </m:d>
            </m:sup>
          </m:sSup>
          <m:r>
            <w:rPr>
              <w:rFonts w:ascii="Cambria Math" w:eastAsiaTheme="minorEastAsia" w:hAnsi="Cambria Math" w:cs="Times New Roman"/>
              <w:sz w:val="24"/>
              <w:szCs w:val="24"/>
            </w:rPr>
            <m:t>(m|f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oMath>
      </m:oMathPara>
    </w:p>
    <w:p w:rsidR="001F2BBC" w:rsidRDefault="00557FCA" w:rsidP="000E40DF">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This is distribution is then multiplied with the original likelihood to produce:</w:t>
      </w:r>
    </w:p>
    <w:p w:rsidR="00557FCA" w:rsidRDefault="00557FCA" w:rsidP="000E40DF">
      <w:pPr>
        <w:spacing w:line="36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γ</m:t>
              </m:r>
            </m:e>
          </m:d>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p</m:t>
              </m:r>
            </m:e>
            <m:sup>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m:t>
                  </m:r>
                </m:e>
                <m:e>
                  <m:r>
                    <w:rPr>
                      <w:rFonts w:ascii="Cambria Math" w:eastAsiaTheme="minorEastAsia" w:hAnsi="Cambria Math" w:cs="Times New Roman"/>
                      <w:sz w:val="24"/>
                      <w:szCs w:val="24"/>
                    </w:rPr>
                    <m:t>ψ</m:t>
                  </m:r>
                </m:e>
              </m:d>
            </m:sup>
          </m:sSup>
          <m:r>
            <w:rPr>
              <w:rFonts w:ascii="Cambria Math" w:eastAsiaTheme="minorEastAsia" w:hAnsi="Cambria Math" w:cs="Times New Roman"/>
              <w:sz w:val="24"/>
              <w:szCs w:val="24"/>
            </w:rPr>
            <m:t>(m|f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oMath>
      </m:oMathPara>
    </w:p>
    <w:p w:rsidR="001F2BBC" w:rsidRDefault="00557FCA" w:rsidP="000E40DF">
      <w:pPr>
        <w:spacing w:line="360" w:lineRule="auto"/>
        <w:rPr>
          <w:rFonts w:ascii="Times New Roman" w:eastAsiaTheme="minorEastAsia" w:hAnsi="Times New Roman" w:cs="Times New Roman"/>
          <w:iCs/>
          <w:sz w:val="24"/>
          <w:szCs w:val="24"/>
        </w:rPr>
      </w:pPr>
      <w:r>
        <w:rPr>
          <w:rFonts w:ascii="Times New Roman" w:hAnsi="Times New Roman" w:cs="Times New Roman"/>
          <w:iCs/>
          <w:sz w:val="24"/>
          <w:szCs w:val="24"/>
        </w:rPr>
        <w:t xml:space="preserve">This modified likelihood represents a compromise between the original likelihood and the benchmarking requirements, where values of </w:t>
      </w:r>
      <m:oMath>
        <m:r>
          <w:rPr>
            <w:rFonts w:ascii="Cambria Math" w:hAnsi="Cambria Math" w:cs="Times New Roman"/>
            <w:sz w:val="24"/>
            <w:szCs w:val="24"/>
          </w:rPr>
          <m:t>γ</m:t>
        </m:r>
      </m:oMath>
      <w:r>
        <w:rPr>
          <w:rFonts w:ascii="Times New Roman" w:eastAsiaTheme="minorEastAsia" w:hAnsi="Times New Roman" w:cs="Times New Roman"/>
          <w:iCs/>
          <w:sz w:val="24"/>
          <w:szCs w:val="24"/>
        </w:rPr>
        <w:t xml:space="preserve"> yielding larger </w:t>
      </w:r>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p</m:t>
            </m:r>
          </m:e>
          <m:sup>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m:t>
                </m:r>
              </m:e>
              <m:e>
                <m:r>
                  <w:rPr>
                    <w:rFonts w:ascii="Cambria Math" w:eastAsiaTheme="minorEastAsia" w:hAnsi="Cambria Math" w:cs="Times New Roman"/>
                    <w:sz w:val="24"/>
                    <w:szCs w:val="24"/>
                  </w:rPr>
                  <m:t>ψ</m:t>
                </m:r>
              </m:e>
            </m:d>
          </m:sup>
        </m:sSup>
        <m:r>
          <w:rPr>
            <w:rFonts w:ascii="Cambria Math" w:eastAsiaTheme="minorEastAsia" w:hAnsi="Cambria Math" w:cs="Times New Roman"/>
            <w:sz w:val="24"/>
            <w:szCs w:val="24"/>
          </w:rPr>
          <m:t>(m|f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oMath>
      <w:r>
        <w:rPr>
          <w:rFonts w:ascii="Times New Roman" w:eastAsiaTheme="minorEastAsia" w:hAnsi="Times New Roman" w:cs="Times New Roman"/>
          <w:iCs/>
          <w:sz w:val="24"/>
          <w:szCs w:val="24"/>
        </w:rPr>
        <w:t xml:space="preserve"> inflate the original likelihood.</w:t>
      </w:r>
    </w:p>
    <w:p w:rsidR="00557FCA" w:rsidRDefault="00557FCA" w:rsidP="000E40DF">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With this revised likelihood, the benchmarked posterior distribution becomes:</w:t>
      </w:r>
    </w:p>
    <w:p w:rsidR="00557FCA" w:rsidRPr="00DD1AAB" w:rsidRDefault="00557FCA" w:rsidP="00557FCA">
      <w:pPr>
        <w:spacing w:line="360" w:lineRule="auto"/>
        <w:rPr>
          <w:rFonts w:ascii="Times New Roman" w:eastAsiaTheme="minorEastAsia" w:hAnsi="Times New Roman" w:cs="Times New Roman"/>
          <w:iCs/>
          <w:sz w:val="24"/>
          <w:szCs w:val="24"/>
        </w:rPr>
      </w:pPr>
      <m:oMathPara>
        <m:oMath>
          <m:r>
            <w:rPr>
              <w:rFonts w:ascii="Cambria Math" w:hAnsi="Cambria Math" w:cs="Times New Roman"/>
              <w:sz w:val="24"/>
              <w:szCs w:val="24"/>
            </w:rPr>
            <m:t>p</m:t>
          </m:r>
          <m:d>
            <m:dPr>
              <m:ctrlPr>
                <w:rPr>
                  <w:rFonts w:ascii="Cambria Math" w:hAnsi="Cambria Math" w:cs="Times New Roman"/>
                  <w:i/>
                  <w:iCs/>
                  <w:sz w:val="24"/>
                  <w:szCs w:val="24"/>
                </w:rPr>
              </m:ctrlPr>
            </m:dPr>
            <m:e>
              <m:r>
                <w:rPr>
                  <w:rFonts w:ascii="Cambria Math" w:hAnsi="Cambria Math" w:cs="Times New Roman"/>
                  <w:sz w:val="24"/>
                  <w:szCs w:val="24"/>
                </w:rPr>
                <m:t>γ, ϕ</m:t>
              </m:r>
            </m:e>
            <m:e>
              <m:r>
                <w:rPr>
                  <w:rFonts w:ascii="Cambria Math" w:hAnsi="Cambria Math" w:cs="Times New Roman"/>
                  <w:sz w:val="24"/>
                  <w:szCs w:val="24"/>
                </w:rPr>
                <m:t>y</m:t>
              </m:r>
            </m:e>
          </m:d>
          <m:r>
            <w:rPr>
              <w:rFonts w:ascii="Cambria Math" w:hAnsi="Cambria Math" w:cs="Times New Roman"/>
              <w:sz w:val="24"/>
              <w:szCs w:val="24"/>
            </w:rPr>
            <m:t>∝p(ϕ)p(γ|ϕ)</m:t>
          </m:r>
          <m:r>
            <w:rPr>
              <w:rFonts w:ascii="Cambria Math" w:eastAsiaTheme="minorEastAsia" w:hAnsi="Cambria Math" w:cs="Times New Roman"/>
              <w:sz w:val="24"/>
              <w:szCs w:val="24"/>
            </w:rPr>
            <m:t>p</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γ</m:t>
              </m:r>
            </m:e>
          </m:d>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p</m:t>
              </m:r>
            </m:e>
            <m:sup>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m</m:t>
                  </m:r>
                </m:e>
                <m:e>
                  <m:r>
                    <w:rPr>
                      <w:rFonts w:ascii="Cambria Math" w:eastAsiaTheme="minorEastAsia" w:hAnsi="Cambria Math" w:cs="Times New Roman"/>
                      <w:sz w:val="24"/>
                      <w:szCs w:val="24"/>
                    </w:rPr>
                    <m:t>ψ</m:t>
                  </m:r>
                </m:e>
              </m:d>
            </m:sup>
          </m:sSup>
          <m:r>
            <w:rPr>
              <w:rFonts w:ascii="Cambria Math" w:eastAsiaTheme="minorEastAsia" w:hAnsi="Cambria Math" w:cs="Times New Roman"/>
              <w:sz w:val="24"/>
              <w:szCs w:val="24"/>
            </w:rPr>
            <m:t>(m|f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γ</m:t>
              </m:r>
            </m:e>
          </m:d>
          <m:r>
            <w:rPr>
              <w:rFonts w:ascii="Cambria Math" w:eastAsiaTheme="minorEastAsia" w:hAnsi="Cambria Math" w:cs="Times New Roman"/>
              <w:sz w:val="24"/>
              <w:szCs w:val="24"/>
            </w:rPr>
            <m:t>)</m:t>
          </m:r>
        </m:oMath>
      </m:oMathPara>
    </w:p>
    <w:p w:rsidR="00557FCA" w:rsidRDefault="001837E0" w:rsidP="000E40DF">
      <w:pPr>
        <w:spacing w:line="360" w:lineRule="auto"/>
        <w:rPr>
          <w:rFonts w:ascii="Times New Roman" w:eastAsiaTheme="minorEastAsia" w:hAnsi="Times New Roman" w:cs="Times New Roman"/>
          <w:iCs/>
          <w:sz w:val="24"/>
          <w:szCs w:val="24"/>
        </w:rPr>
      </w:pPr>
      <w:r>
        <w:rPr>
          <w:rFonts w:ascii="Times New Roman" w:hAnsi="Times New Roman" w:cs="Times New Roman"/>
          <w:iCs/>
          <w:sz w:val="24"/>
          <w:szCs w:val="24"/>
        </w:rPr>
        <w:t xml:space="preserve">Under exact benchmarking,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[m|ψ]</m:t>
            </m:r>
          </m:sup>
        </m:sSup>
      </m:oMath>
      <w:r>
        <w:rPr>
          <w:rFonts w:ascii="Times New Roman" w:eastAsiaTheme="minorEastAsia" w:hAnsi="Times New Roman" w:cs="Times New Roman"/>
          <w:iCs/>
          <w:sz w:val="24"/>
          <w:szCs w:val="24"/>
        </w:rPr>
        <w:t xml:space="preserve"> simplifies to </w:t>
      </w:r>
      <m:oMath>
        <m:r>
          <w:rPr>
            <w:rFonts w:ascii="Cambria Math" w:eastAsiaTheme="minorEastAsia" w:hAnsi="Cambria Math" w:cs="Times New Roman"/>
            <w:sz w:val="24"/>
            <w:szCs w:val="24"/>
          </w:rPr>
          <m:t>1</m:t>
        </m:r>
      </m:oMath>
      <w:r>
        <w:rPr>
          <w:rFonts w:ascii="Times New Roman" w:eastAsiaTheme="minorEastAsia" w:hAnsi="Times New Roman" w:cs="Times New Roman"/>
          <w:iCs/>
          <w:sz w:val="24"/>
          <w:szCs w:val="24"/>
        </w:rPr>
        <w:t xml:space="preserve"> when </w:t>
      </w:r>
      <m:oMath>
        <m:r>
          <w:rPr>
            <w:rFonts w:ascii="Cambria Math" w:eastAsiaTheme="minorEastAsia" w:hAnsi="Cambria Math" w:cs="Times New Roman"/>
            <w:sz w:val="24"/>
            <w:szCs w:val="24"/>
          </w:rPr>
          <m:t>m=f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γ</m:t>
            </m:r>
          </m:e>
        </m:d>
        <m:r>
          <w:rPr>
            <w:rFonts w:ascii="Cambria Math" w:eastAsiaTheme="minorEastAsia" w:hAnsi="Cambria Math" w:cs="Times New Roman"/>
            <w:sz w:val="24"/>
            <w:szCs w:val="24"/>
          </w:rPr>
          <m:t>=ψ</m:t>
        </m:r>
      </m:oMath>
      <w:r>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otherwise. For inexact benchmarking,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[m|ψ]</m:t>
            </m:r>
          </m:sup>
        </m:sSup>
      </m:oMath>
      <w:r>
        <w:rPr>
          <w:rFonts w:ascii="Times New Roman" w:eastAsiaTheme="minorEastAsia" w:hAnsi="Times New Roman" w:cs="Times New Roman"/>
          <w:iCs/>
          <w:sz w:val="24"/>
          <w:szCs w:val="24"/>
        </w:rPr>
        <w:t xml:space="preserve"> takes the form of whatever distribution fits the desired definition. One simple case is </w:t>
      </w:r>
      <w:r w:rsidR="00BD4A52">
        <w:rPr>
          <w:rFonts w:ascii="Times New Roman" w:eastAsiaTheme="minorEastAsia" w:hAnsi="Times New Roman" w:cs="Times New Roman"/>
          <w:iCs/>
          <w:sz w:val="24"/>
          <w:szCs w:val="24"/>
        </w:rPr>
        <w:t xml:space="preserve">allowing differences within a given tolerance </w:t>
      </w:r>
      <m:oMath>
        <m:r>
          <w:rPr>
            <w:rFonts w:ascii="Cambria Math" w:eastAsiaTheme="minorEastAsia" w:hAnsi="Cambria Math" w:cs="Times New Roman"/>
            <w:sz w:val="24"/>
            <w:szCs w:val="24"/>
          </w:rPr>
          <m:t>α</m:t>
        </m:r>
      </m:oMath>
      <w:r w:rsidR="00BD4A52">
        <w:rPr>
          <w:rFonts w:ascii="Times New Roman" w:eastAsiaTheme="minorEastAsia" w:hAnsi="Times New Roman" w:cs="Times New Roman"/>
          <w:iCs/>
          <w:sz w:val="24"/>
          <w:szCs w:val="24"/>
        </w:rPr>
        <w:t xml:space="preserve">, where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[m|ψ]</m:t>
            </m:r>
          </m:sup>
        </m:sSup>
      </m:oMath>
      <w:r w:rsidR="00BD4A52">
        <w:rPr>
          <w:rFonts w:ascii="Times New Roman" w:eastAsiaTheme="minorEastAsia" w:hAnsi="Times New Roman" w:cs="Times New Roman"/>
          <w:iCs/>
          <w:sz w:val="24"/>
          <w:szCs w:val="24"/>
        </w:rPr>
        <w:t xml:space="preserve"> would then become:</w:t>
      </w:r>
    </w:p>
    <w:p w:rsidR="00BD4A52" w:rsidRPr="00BD4A52" w:rsidRDefault="00BD4A52" w:rsidP="000E40DF">
      <w:pPr>
        <w:spacing w:line="36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r>
            <w:rPr>
              <w:rFonts w:ascii="Cambria Math" w:hAnsi="Cambria Math" w:cs="Times New Roman"/>
              <w:sz w:val="24"/>
              <w:szCs w:val="24"/>
            </w:rPr>
            <m:t>∼N(</m:t>
          </m:r>
          <m:sSub>
            <m:sSubPr>
              <m:ctrlPr>
                <w:rPr>
                  <w:rFonts w:ascii="Cambria Math" w:hAnsi="Cambria Math" w:cs="Times New Roman"/>
                  <w:i/>
                  <w:iCs/>
                  <w:sz w:val="24"/>
                  <w:szCs w:val="24"/>
                </w:rPr>
              </m:ctrlPr>
            </m:sSubPr>
            <m:e>
              <m:r>
                <w:rPr>
                  <w:rFonts w:ascii="Cambria Math" w:hAnsi="Cambria Math" w:cs="Times New Roman"/>
                  <w:sz w:val="24"/>
                  <w:szCs w:val="24"/>
                </w:rPr>
                <m:t>ψ</m:t>
              </m:r>
            </m:e>
            <m:sub>
              <m:r>
                <w:rPr>
                  <w:rFonts w:ascii="Cambria Math" w:hAnsi="Cambria Math" w:cs="Times New Roman"/>
                  <w:sz w:val="24"/>
                  <w:szCs w:val="24"/>
                </w:rPr>
                <m:t>j</m:t>
              </m:r>
            </m:sub>
          </m:sSub>
          <m:r>
            <w:rPr>
              <w:rFonts w:ascii="Cambria Math" w:hAnsi="Cambria Math" w:cs="Times New Roman"/>
              <w:sz w:val="24"/>
              <w:szCs w:val="24"/>
            </w:rPr>
            <m:t xml:space="preserve">, </m:t>
          </m:r>
          <m:sSup>
            <m:sSupPr>
              <m:ctrlPr>
                <w:rPr>
                  <w:rFonts w:ascii="Cambria Math" w:hAnsi="Cambria Math" w:cs="Times New Roman"/>
                  <w:i/>
                  <w:iCs/>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r>
            <w:rPr>
              <w:rFonts w:ascii="Cambria Math" w:hAnsi="Cambria Math" w:cs="Times New Roman"/>
              <w:sz w:val="24"/>
              <w:szCs w:val="24"/>
            </w:rPr>
            <m:t>)</m:t>
          </m:r>
        </m:oMath>
      </m:oMathPara>
    </w:p>
    <w:p w:rsidR="00BD4A52" w:rsidRDefault="00C328DE" w:rsidP="000E40DF">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authors implement these Bayesian hierarchical models using MCMC </w:t>
      </w:r>
      <w:r w:rsidRPr="00C328DE">
        <w:rPr>
          <w:rFonts w:ascii="Times New Roman" w:eastAsiaTheme="minorEastAsia" w:hAnsi="Times New Roman" w:cs="Times New Roman"/>
          <w:iCs/>
          <w:sz w:val="24"/>
          <w:szCs w:val="24"/>
        </w:rPr>
        <w:t>Metropolis-Hastings</w:t>
      </w:r>
      <w:r>
        <w:rPr>
          <w:rFonts w:ascii="Times New Roman" w:eastAsiaTheme="minorEastAsia" w:hAnsi="Times New Roman" w:cs="Times New Roman"/>
          <w:iCs/>
          <w:sz w:val="24"/>
          <w:szCs w:val="24"/>
        </w:rPr>
        <w:t xml:space="preserve"> algorithm. </w:t>
      </w:r>
    </w:p>
    <w:p w:rsidR="001505B9" w:rsidRDefault="001505B9" w:rsidP="001505B9">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Limitations</w:t>
      </w:r>
      <w:r>
        <w:rPr>
          <w:rFonts w:ascii="Times New Roman" w:eastAsiaTheme="minorEastAsia" w:hAnsi="Times New Roman" w:cs="Times New Roman"/>
          <w:iCs/>
          <w:sz w:val="24"/>
          <w:szCs w:val="24"/>
        </w:rPr>
        <w:br w:type="page"/>
      </w:r>
    </w:p>
    <w:p w:rsidR="001505B9" w:rsidRDefault="007614BE" w:rsidP="007614BE">
      <w:pPr>
        <w:spacing w:line="360" w:lineRule="auto"/>
        <w:rPr>
          <w:rFonts w:ascii="Times New Roman" w:eastAsiaTheme="minorEastAsia" w:hAnsi="Times New Roman" w:cs="Times New Roman"/>
          <w:iCs/>
          <w:sz w:val="24"/>
          <w:szCs w:val="24"/>
        </w:rPr>
      </w:pPr>
      <w:r>
        <w:rPr>
          <w:rFonts w:ascii="Times New Roman" w:hAnsi="Times New Roman" w:cs="Times New Roman"/>
          <w:iCs/>
          <w:sz w:val="24"/>
          <w:szCs w:val="24"/>
        </w:rPr>
        <w:lastRenderedPageBreak/>
        <w:t xml:space="preserve">One point the authors make is the difference between the effects of internal and external benchmarking on model performance. Generally, external benchmarking will improve model performance over no benchmarking if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[m|ψ]</m:t>
            </m:r>
          </m:sup>
        </m:sSup>
      </m:oMath>
      <w:r>
        <w:rPr>
          <w:rFonts w:ascii="Times New Roman" w:eastAsiaTheme="minorEastAsia" w:hAnsi="Times New Roman" w:cs="Times New Roman"/>
          <w:iCs/>
          <w:sz w:val="24"/>
          <w:szCs w:val="24"/>
        </w:rPr>
        <w:t xml:space="preserve"> is correctly specified or not. Internal benchmarking, on the other hand, will hurt performance if </w:t>
      </w:r>
      <m:oMath>
        <m:sSup>
          <m:sSupPr>
            <m:ctrlPr>
              <w:rPr>
                <w:rFonts w:ascii="Cambria Math" w:hAnsi="Cambria Math" w:cs="Times New Roman"/>
                <w:i/>
                <w:iCs/>
                <w:sz w:val="24"/>
                <w:szCs w:val="24"/>
              </w:rPr>
            </m:ctrlPr>
          </m:sSupPr>
          <m:e>
            <m:r>
              <w:rPr>
                <w:rFonts w:ascii="Cambria Math" w:hAnsi="Cambria Math" w:cs="Times New Roman"/>
                <w:sz w:val="24"/>
                <w:szCs w:val="24"/>
              </w:rPr>
              <m:t>p</m:t>
            </m:r>
          </m:e>
          <m:sup>
            <m:r>
              <w:rPr>
                <w:rFonts w:ascii="Cambria Math" w:hAnsi="Cambria Math" w:cs="Times New Roman"/>
                <w:sz w:val="24"/>
                <w:szCs w:val="24"/>
              </w:rPr>
              <m:t>[m|ψ]</m:t>
            </m:r>
          </m:sup>
        </m:sSup>
      </m:oMath>
      <w:r>
        <w:rPr>
          <w:rFonts w:ascii="Times New Roman" w:eastAsiaTheme="minorEastAsia" w:hAnsi="Times New Roman" w:cs="Times New Roman"/>
          <w:iCs/>
          <w:sz w:val="24"/>
          <w:szCs w:val="24"/>
        </w:rPr>
        <w:t xml:space="preserve"> is correctly specified, since small area data is used twice. </w:t>
      </w:r>
      <w:r w:rsidR="001B7049">
        <w:rPr>
          <w:rFonts w:ascii="Times New Roman" w:eastAsiaTheme="minorEastAsia" w:hAnsi="Times New Roman" w:cs="Times New Roman"/>
          <w:iCs/>
          <w:sz w:val="24"/>
          <w:szCs w:val="24"/>
        </w:rPr>
        <w:t>However,</w:t>
      </w:r>
      <w:r>
        <w:rPr>
          <w:rFonts w:ascii="Times New Roman" w:eastAsiaTheme="minorEastAsia" w:hAnsi="Times New Roman" w:cs="Times New Roman"/>
          <w:iCs/>
          <w:sz w:val="24"/>
          <w:szCs w:val="24"/>
        </w:rPr>
        <w:t xml:space="preserve"> a </w:t>
      </w:r>
      <w:r w:rsidR="00EE5F2C" w:rsidRPr="00EE5F2C">
        <w:rPr>
          <w:rFonts w:ascii="Times New Roman" w:eastAsiaTheme="minorEastAsia" w:hAnsi="Times New Roman" w:cs="Times New Roman"/>
          <w:iCs/>
          <w:sz w:val="24"/>
          <w:szCs w:val="24"/>
        </w:rPr>
        <w:t>misspecified</w:t>
      </w:r>
      <w:r w:rsidR="00EE5F2C">
        <w:rPr>
          <w:rFonts w:ascii="Times New Roman" w:eastAsiaTheme="minorEastAsia" w:hAnsi="Times New Roman" w:cs="Times New Roman"/>
          <w:iCs/>
          <w:sz w:val="24"/>
          <w:szCs w:val="24"/>
        </w:rPr>
        <w:t xml:space="preserve"> model</w:t>
      </w:r>
      <w:r w:rsidR="001B7049">
        <w:rPr>
          <w:rFonts w:ascii="Times New Roman" w:eastAsiaTheme="minorEastAsia" w:hAnsi="Times New Roman" w:cs="Times New Roman"/>
          <w:iCs/>
          <w:sz w:val="24"/>
          <w:szCs w:val="24"/>
        </w:rPr>
        <w:t xml:space="preserve"> is more common</w:t>
      </w:r>
      <w:r w:rsidR="00EE5F2C">
        <w:rPr>
          <w:rFonts w:ascii="Times New Roman" w:eastAsiaTheme="minorEastAsia" w:hAnsi="Times New Roman" w:cs="Times New Roman"/>
          <w:iCs/>
          <w:sz w:val="24"/>
          <w:szCs w:val="24"/>
        </w:rPr>
        <w:t>, which makes it possible for inexact benchmarking to improve performance, though this is not certain and depends on the details of the data.</w:t>
      </w:r>
    </w:p>
    <w:p w:rsidR="00F32B69" w:rsidRDefault="00F32B69" w:rsidP="007614BE">
      <w:pPr>
        <w:spacing w:line="360" w:lineRule="auto"/>
        <w:rPr>
          <w:rFonts w:ascii="Times New Roman" w:eastAsiaTheme="minorEastAsia" w:hAnsi="Times New Roman" w:cs="Times New Roman"/>
          <w:iCs/>
          <w:sz w:val="24"/>
          <w:szCs w:val="24"/>
        </w:rPr>
      </w:pPr>
    </w:p>
    <w:p w:rsidR="00F32B69" w:rsidRDefault="00F32B69" w:rsidP="007614BE">
      <w:pPr>
        <w:spacing w:line="36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Methods Evaluation</w:t>
      </w:r>
    </w:p>
    <w:p w:rsidR="00F32B69" w:rsidRDefault="00F32B69"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Replication</w:t>
      </w:r>
    </w:p>
    <w:p w:rsidR="00F32B69" w:rsidRDefault="00F32B69"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Part one of the methods evaluation is to recreate the application presented in the authors’ article: estimating </w:t>
      </w:r>
      <w:r w:rsidRPr="00F32B69">
        <w:rPr>
          <w:rFonts w:ascii="Times New Roman" w:eastAsiaTheme="minorEastAsia" w:hAnsi="Times New Roman" w:cs="Times New Roman"/>
          <w:iCs/>
          <w:sz w:val="24"/>
          <w:szCs w:val="24"/>
        </w:rPr>
        <w:t>age-sex</w:t>
      </w:r>
      <w:r>
        <w:rPr>
          <w:rFonts w:ascii="Times New Roman" w:eastAsiaTheme="minorEastAsia" w:hAnsi="Times New Roman" w:cs="Times New Roman"/>
          <w:iCs/>
          <w:sz w:val="24"/>
          <w:szCs w:val="24"/>
        </w:rPr>
        <w:t>-</w:t>
      </w:r>
      <w:r w:rsidRPr="00F32B69">
        <w:rPr>
          <w:rFonts w:ascii="Times New Roman" w:eastAsiaTheme="minorEastAsia" w:hAnsi="Times New Roman" w:cs="Times New Roman"/>
          <w:iCs/>
          <w:sz w:val="24"/>
          <w:szCs w:val="24"/>
        </w:rPr>
        <w:t>specific mortality rates</w:t>
      </w:r>
      <w:r w:rsidR="00472A77">
        <w:rPr>
          <w:rFonts w:ascii="Times New Roman" w:eastAsiaTheme="minorEastAsia" w:hAnsi="Times New Roman" w:cs="Times New Roman"/>
          <w:iCs/>
          <w:sz w:val="24"/>
          <w:szCs w:val="24"/>
        </w:rPr>
        <w:t xml:space="preserve"> in 2014</w:t>
      </w:r>
      <w:r w:rsidRPr="00F32B69">
        <w:rPr>
          <w:rFonts w:ascii="Times New Roman" w:eastAsiaTheme="minorEastAsia" w:hAnsi="Times New Roman" w:cs="Times New Roman"/>
          <w:iCs/>
          <w:sz w:val="24"/>
          <w:szCs w:val="24"/>
        </w:rPr>
        <w:t xml:space="preserve"> for local authority districts</w:t>
      </w:r>
      <w:r w:rsidR="00472A77">
        <w:rPr>
          <w:rFonts w:ascii="Times New Roman" w:eastAsiaTheme="minorEastAsia" w:hAnsi="Times New Roman" w:cs="Times New Roman"/>
          <w:iCs/>
          <w:sz w:val="24"/>
          <w:szCs w:val="24"/>
        </w:rPr>
        <w:t xml:space="preserve"> (LAD)</w:t>
      </w:r>
      <w:r w:rsidRPr="00F32B69">
        <w:rPr>
          <w:rFonts w:ascii="Times New Roman" w:eastAsiaTheme="minorEastAsia" w:hAnsi="Times New Roman" w:cs="Times New Roman"/>
          <w:iCs/>
          <w:sz w:val="24"/>
          <w:szCs w:val="24"/>
        </w:rPr>
        <w:t xml:space="preserve"> in England and Wales, using as benchmarks sex-specific life expectancies</w:t>
      </w:r>
      <w:r w:rsidR="00C071AB">
        <w:rPr>
          <w:rFonts w:ascii="Times New Roman" w:eastAsiaTheme="minorEastAsia" w:hAnsi="Times New Roman" w:cs="Times New Roman"/>
          <w:iCs/>
          <w:sz w:val="24"/>
          <w:szCs w:val="24"/>
        </w:rPr>
        <w:t xml:space="preserve"> at birth</w:t>
      </w:r>
      <w:r w:rsidRPr="00F32B69">
        <w:rPr>
          <w:rFonts w:ascii="Times New Roman" w:eastAsiaTheme="minorEastAsia" w:hAnsi="Times New Roman" w:cs="Times New Roman"/>
          <w:iCs/>
          <w:sz w:val="24"/>
          <w:szCs w:val="24"/>
        </w:rPr>
        <w:t xml:space="preserve"> for regions</w:t>
      </w:r>
      <w:r>
        <w:rPr>
          <w:rFonts w:ascii="Times New Roman" w:eastAsiaTheme="minorEastAsia" w:hAnsi="Times New Roman" w:cs="Times New Roman"/>
          <w:iCs/>
          <w:sz w:val="24"/>
          <w:szCs w:val="24"/>
        </w:rPr>
        <w:t xml:space="preserve">. </w:t>
      </w:r>
      <w:r w:rsidR="00472A77">
        <w:rPr>
          <w:rFonts w:ascii="Times New Roman" w:eastAsiaTheme="minorEastAsia" w:hAnsi="Times New Roman" w:cs="Times New Roman"/>
          <w:iCs/>
          <w:sz w:val="24"/>
          <w:szCs w:val="24"/>
        </w:rPr>
        <w:t>The data for this analysis is death counts and populations at risk for 20 age groups 0-90+, each sex, and 348 LADs.</w:t>
      </w:r>
    </w:p>
    <w:p w:rsidR="00472A77" w:rsidRDefault="00472A77"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{Include summary statistics table here}</w:t>
      </w:r>
    </w:p>
    <w:p w:rsidR="00472A77" w:rsidRDefault="00472A77"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XXX total deaths among a total population of XXX. We can directly estimate mortality rates for each LAD, five of which are presented here:</w:t>
      </w:r>
    </w:p>
    <w:p w:rsidR="00472A77" w:rsidRDefault="00472A77"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{Include graph of directly estimated mx}</w:t>
      </w:r>
    </w:p>
    <w:p w:rsidR="00472A77" w:rsidRDefault="00472A77"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direct estimates are generally noisy below age 60, suggesting the amount of data at the small area level is not sufficient for accurate results.</w:t>
      </w:r>
    </w:p>
    <w:p w:rsidR="00472A77" w:rsidRDefault="00472A77"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authors let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asd</m:t>
            </m:r>
          </m:sub>
        </m:sSub>
      </m:oMath>
      <w:r>
        <w:rPr>
          <w:rFonts w:ascii="Times New Roman" w:eastAsiaTheme="minorEastAsia" w:hAnsi="Times New Roman" w:cs="Times New Roman"/>
          <w:iCs/>
          <w:sz w:val="24"/>
          <w:szCs w:val="24"/>
        </w:rPr>
        <w:t xml:space="preserve"> represent observed death counts are each age (</w:t>
      </w:r>
      <m:oMath>
        <m:r>
          <w:rPr>
            <w:rFonts w:ascii="Cambria Math" w:eastAsiaTheme="minorEastAsia" w:hAnsi="Cambria Math" w:cs="Times New Roman"/>
            <w:sz w:val="24"/>
            <w:szCs w:val="24"/>
          </w:rPr>
          <m:t>a</m:t>
        </m:r>
      </m:oMath>
      <w:r>
        <w:rPr>
          <w:rFonts w:ascii="Times New Roman" w:eastAsiaTheme="minorEastAsia" w:hAnsi="Times New Roman" w:cs="Times New Roman"/>
          <w:iCs/>
          <w:sz w:val="24"/>
          <w:szCs w:val="24"/>
        </w:rPr>
        <w:t>), sex (</w:t>
      </w:r>
      <m:oMath>
        <m:r>
          <w:rPr>
            <w:rFonts w:ascii="Cambria Math" w:eastAsiaTheme="minorEastAsia" w:hAnsi="Cambria Math" w:cs="Times New Roman"/>
            <w:sz w:val="24"/>
            <w:szCs w:val="24"/>
          </w:rPr>
          <m:t>s</m:t>
        </m:r>
      </m:oMath>
      <w:r>
        <w:rPr>
          <w:rFonts w:ascii="Times New Roman" w:eastAsiaTheme="minorEastAsia" w:hAnsi="Times New Roman" w:cs="Times New Roman"/>
          <w:iCs/>
          <w:sz w:val="24"/>
          <w:szCs w:val="24"/>
        </w:rPr>
        <w:t>), and district (</w:t>
      </w:r>
      <m:oMath>
        <m:r>
          <w:rPr>
            <w:rFonts w:ascii="Cambria Math" w:eastAsiaTheme="minorEastAsia" w:hAnsi="Cambria Math" w:cs="Times New Roman"/>
            <w:sz w:val="24"/>
            <w:szCs w:val="24"/>
          </w:rPr>
          <m:t>d</m:t>
        </m:r>
      </m:oMath>
      <w:r>
        <w:rPr>
          <w:rFonts w:ascii="Times New Roman" w:eastAsiaTheme="minorEastAsia" w:hAnsi="Times New Roman" w:cs="Times New Roman"/>
          <w:iCs/>
          <w:sz w:val="24"/>
          <w:szCs w:val="24"/>
        </w:rPr>
        <w:t xml:space="preserve">). With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asd</m:t>
            </m:r>
          </m:sub>
        </m:sSub>
      </m:oMath>
      <w:r w:rsidR="00FC2124">
        <w:rPr>
          <w:rFonts w:ascii="Times New Roman" w:eastAsiaTheme="minorEastAsia" w:hAnsi="Times New Roman" w:cs="Times New Roman"/>
          <w:iCs/>
          <w:sz w:val="24"/>
          <w:szCs w:val="24"/>
        </w:rPr>
        <w:t xml:space="preserve"> as the true underlying mortality rate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asd</m:t>
            </m:r>
          </m:sub>
        </m:sSub>
      </m:oMath>
      <w:r w:rsidR="00FC2124">
        <w:rPr>
          <w:rFonts w:ascii="Times New Roman" w:eastAsiaTheme="minorEastAsia" w:hAnsi="Times New Roman" w:cs="Times New Roman"/>
          <w:iCs/>
          <w:sz w:val="24"/>
          <w:szCs w:val="24"/>
        </w:rPr>
        <w:t xml:space="preserve"> the corresponding population at risk, they apply the model:</w:t>
      </w:r>
    </w:p>
    <w:p w:rsidR="00FC2124" w:rsidRPr="00FC2124" w:rsidRDefault="00FC2124" w:rsidP="007614BE">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asd</m:t>
              </m:r>
            </m:sub>
          </m:sSub>
          <m:r>
            <w:rPr>
              <w:rFonts w:ascii="Cambria Math" w:eastAsiaTheme="minorEastAsia" w:hAnsi="Cambria Math" w:cs="Times New Roman"/>
              <w:sz w:val="24"/>
              <w:szCs w:val="24"/>
            </w:rPr>
            <m:t>∼Poisson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asd</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asd</m:t>
                  </m:r>
                </m:sub>
              </m:sSub>
            </m:e>
          </m:d>
          <m:r>
            <w:rPr>
              <w:rFonts w:ascii="Cambria Math" w:eastAsiaTheme="minorEastAsia" w:hAnsi="Cambria Math" w:cs="Times New Roman"/>
              <w:sz w:val="24"/>
              <w:szCs w:val="24"/>
            </w:rPr>
            <w:br/>
          </m:r>
        </m:oMath>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asd</m:t>
                      </m:r>
                    </m:sub>
                  </m:sSub>
                </m:e>
              </m:d>
            </m:e>
          </m:func>
          <m:r>
            <w:rPr>
              <w:rFonts w:ascii="Cambria Math" w:eastAsiaTheme="minorEastAsia" w:hAnsi="Cambria Math" w:cs="Times New Roman"/>
              <w:sz w:val="24"/>
              <w:szCs w:val="24"/>
            </w:rPr>
            <m:t>∼N(</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sex</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dis</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as</m:t>
              </m:r>
            </m:sub>
            <m:sup>
              <m:r>
                <w:rPr>
                  <w:rFonts w:ascii="Cambria Math" w:eastAsiaTheme="minorEastAsia" w:hAnsi="Cambria Math" w:cs="Times New Roman"/>
                  <w:sz w:val="24"/>
                  <w:szCs w:val="24"/>
                </w:rPr>
                <m:t>age:sex</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FC2124" w:rsidRDefault="00FC2124"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Age effects are assumed to follow a random walk with drift:</w:t>
      </w:r>
    </w:p>
    <w:p w:rsidR="00FC2124" w:rsidRPr="00A6188B" w:rsidRDefault="00FC2124" w:rsidP="007614BE">
      <w:pPr>
        <w:spacing w:line="360" w:lineRule="auto"/>
        <w:rPr>
          <w:rFonts w:ascii="Times New Roman" w:eastAsiaTheme="minorEastAsia" w:hAnsi="Times New Roman" w:cs="Times New Roman"/>
          <w:iCs/>
          <w:sz w:val="24"/>
          <w:szCs w:val="24"/>
        </w:rPr>
      </w:pPr>
      <m:oMathPara>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iCs/>
                  <w:sz w:val="24"/>
                  <w:szCs w:val="24"/>
                </w:rPr>
              </m:ctrlPr>
            </m:dPr>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age</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w:br/>
          </m:r>
        </m:oMath>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∼N</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 xml:space="preserve">0,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w:br/>
          </m:r>
        </m:oMath>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∼N</m:t>
          </m:r>
          <m:d>
            <m:dPr>
              <m:ctrlPr>
                <w:rPr>
                  <w:rFonts w:ascii="Cambria Math" w:eastAsiaTheme="minorEastAsia" w:hAnsi="Cambria Math" w:cs="Times New Roman"/>
                  <w:i/>
                  <w:iCs/>
                  <w:sz w:val="24"/>
                  <w:szCs w:val="24"/>
                </w:rPr>
              </m:ctrlPr>
            </m:dPr>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a-1</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a-1</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    a&gt;0</m:t>
          </m:r>
          <m:r>
            <w:rPr>
              <w:rFonts w:ascii="Cambria Math" w:eastAsiaTheme="minorEastAsia" w:hAnsi="Cambria Math" w:cs="Times New Roman"/>
              <w:sz w:val="24"/>
              <w:szCs w:val="24"/>
            </w:rPr>
            <w:br/>
          </m:r>
        </m:oMath>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∼N</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w:br/>
          </m:r>
        </m:oMath>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∼N</m:t>
          </m:r>
          <m:d>
            <m:dPr>
              <m:ctrlPr>
                <w:rPr>
                  <w:rFonts w:ascii="Cambria Math" w:eastAsiaTheme="minorEastAsia" w:hAnsi="Cambria Math" w:cs="Times New Roman"/>
                  <w:i/>
                  <w:iCs/>
                  <w:sz w:val="24"/>
                  <w:szCs w:val="24"/>
                </w:rPr>
              </m:ctrlPr>
            </m:dPr>
            <m:e>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a-1</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φ</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    a&gt;0</m:t>
          </m:r>
        </m:oMath>
      </m:oMathPara>
    </w:p>
    <w:p w:rsidR="00A6188B" w:rsidRDefault="00A6188B"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sex effect has a normal prior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sex</m:t>
            </m:r>
          </m:sup>
        </m:sSubSup>
        <m:r>
          <w:rPr>
            <w:rFonts w:ascii="Cambria Math" w:eastAsiaTheme="minorEastAsia" w:hAnsi="Cambria Math" w:cs="Times New Roman"/>
            <w:sz w:val="24"/>
            <w:szCs w:val="24"/>
          </w:rPr>
          <m:t>∼N(0, 1)</m:t>
        </m:r>
      </m:oMath>
      <w:r>
        <w:rPr>
          <w:rFonts w:ascii="Times New Roman" w:eastAsiaTheme="minorEastAsia" w:hAnsi="Times New Roman" w:cs="Times New Roman"/>
          <w:iCs/>
          <w:sz w:val="24"/>
          <w:szCs w:val="24"/>
        </w:rPr>
        <w:t xml:space="preserve">, the district effect has a normal prior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dis</m:t>
            </m:r>
          </m:sup>
        </m:sSubSup>
        <m:r>
          <w:rPr>
            <w:rFonts w:ascii="Cambria Math" w:eastAsiaTheme="minorEastAsia" w:hAnsi="Cambria Math" w:cs="Times New Roman"/>
            <w:sz w:val="24"/>
            <w:szCs w:val="24"/>
          </w:rPr>
          <m:t xml:space="preserve">∼N(0,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dis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5F142E">
        <w:rPr>
          <w:rFonts w:ascii="Times New Roman" w:eastAsiaTheme="minorEastAsia" w:hAnsi="Times New Roman" w:cs="Times New Roman"/>
          <w:iCs/>
          <w:sz w:val="24"/>
          <w:szCs w:val="24"/>
        </w:rPr>
        <w:t xml:space="preserve"> </w:t>
      </w:r>
      <w:r w:rsidR="005F142E" w:rsidRPr="005F142E">
        <w:rPr>
          <w:rFonts w:ascii="Times New Roman" w:eastAsiaTheme="minorEastAsia" w:hAnsi="Times New Roman" w:cs="Times New Roman"/>
          <w:iCs/>
          <w:sz w:val="24"/>
          <w:szCs w:val="24"/>
        </w:rPr>
        <w:t>with a weakly informative half-t prior on the standard deviation</w:t>
      </w:r>
      <w:r w:rsidR="005F142E">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dis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7</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oMath>
      <w:r w:rsidR="005F142E">
        <w:rPr>
          <w:rFonts w:ascii="Times New Roman" w:eastAsiaTheme="minorEastAsia" w:hAnsi="Times New Roman" w:cs="Times New Roman"/>
          <w:iCs/>
          <w:sz w:val="24"/>
          <w:szCs w:val="24"/>
        </w:rPr>
        <w:t xml:space="preserve">, and the interaction term has a normal prior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as</m:t>
            </m:r>
          </m:sub>
          <m:sup>
            <m:r>
              <w:rPr>
                <w:rFonts w:ascii="Cambria Math" w:eastAsiaTheme="minorEastAsia" w:hAnsi="Cambria Math" w:cs="Times New Roman"/>
                <w:sz w:val="24"/>
                <w:szCs w:val="24"/>
              </w:rPr>
              <m:t>age:sex</m:t>
            </m:r>
          </m:sup>
        </m:sSubSup>
        <m:r>
          <w:rPr>
            <w:rFonts w:ascii="Cambria Math" w:eastAsiaTheme="minorEastAsia" w:hAnsi="Cambria Math" w:cs="Times New Roman"/>
            <w:sz w:val="24"/>
            <w:szCs w:val="24"/>
          </w:rPr>
          <m:t xml:space="preserve">∼N(0, </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age:sex</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5F142E">
        <w:rPr>
          <w:rFonts w:ascii="Times New Roman" w:eastAsiaTheme="minorEastAsia" w:hAnsi="Times New Roman" w:cs="Times New Roman"/>
          <w:iCs/>
          <w:sz w:val="24"/>
          <w:szCs w:val="24"/>
        </w:rPr>
        <w:t xml:space="preserve"> with a weakly </w:t>
      </w:r>
      <w:r w:rsidR="005F142E" w:rsidRPr="005F142E">
        <w:rPr>
          <w:rFonts w:ascii="Times New Roman" w:eastAsiaTheme="minorEastAsia" w:hAnsi="Times New Roman" w:cs="Times New Roman"/>
          <w:iCs/>
          <w:sz w:val="24"/>
          <w:szCs w:val="24"/>
        </w:rPr>
        <w:t>informative half-t prior on the standard deviation</w:t>
      </w:r>
      <w:r w:rsidR="007F0E4B">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age:sex</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7</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0,0.5</m:t>
                </m:r>
              </m:e>
              <m:sup>
                <m:r>
                  <w:rPr>
                    <w:rFonts w:ascii="Cambria Math" w:eastAsiaTheme="minorEastAsia" w:hAnsi="Cambria Math" w:cs="Times New Roman"/>
                    <w:sz w:val="24"/>
                    <w:szCs w:val="24"/>
                  </w:rPr>
                  <m:t>2</m:t>
                </m:r>
              </m:sup>
            </m:sSup>
          </m:e>
        </m:d>
      </m:oMath>
      <w:r w:rsidR="00C071AB">
        <w:rPr>
          <w:rFonts w:ascii="Times New Roman" w:eastAsiaTheme="minorEastAsia" w:hAnsi="Times New Roman" w:cs="Times New Roman"/>
          <w:iCs/>
          <w:sz w:val="24"/>
          <w:szCs w:val="24"/>
        </w:rPr>
        <w:t xml:space="preserve">. All of the standard deviation terms have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7</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oMath>
      <w:r w:rsidR="00C071AB">
        <w:rPr>
          <w:rFonts w:ascii="Times New Roman" w:eastAsiaTheme="minorEastAsia" w:hAnsi="Times New Roman" w:cs="Times New Roman"/>
          <w:iCs/>
          <w:sz w:val="24"/>
          <w:szCs w:val="24"/>
        </w:rPr>
        <w:t xml:space="preserve"> priors.</w:t>
      </w:r>
    </w:p>
    <w:p w:rsidR="00C071AB" w:rsidRDefault="00C071AB"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mortality estimate are benchmarked to sex-specific life expectancy at birth</w:t>
      </w:r>
      <w:r w:rsidR="00C174D2">
        <w:rPr>
          <w:rFonts w:ascii="Times New Roman" w:eastAsiaTheme="minorEastAsia" w:hAnsi="Times New Roman" w:cs="Times New Roman"/>
          <w:iCs/>
          <w:sz w:val="24"/>
          <w:szCs w:val="24"/>
        </w:rPr>
        <w:t xml:space="preserve"> at the 10 region level</w:t>
      </w:r>
      <w:r w:rsidR="003C7981">
        <w:rPr>
          <w:rFonts w:ascii="Times New Roman" w:eastAsiaTheme="minorEastAsia" w:hAnsi="Times New Roman" w:cs="Times New Roman"/>
          <w:iCs/>
          <w:sz w:val="24"/>
          <w:szCs w:val="24"/>
        </w:rPr>
        <w:t>s</w:t>
      </w:r>
      <w:r w:rsidR="00C174D2">
        <w:rPr>
          <w:rFonts w:ascii="Times New Roman" w:eastAsiaTheme="minorEastAsia" w:hAnsi="Times New Roman" w:cs="Times New Roman"/>
          <w:iCs/>
          <w:sz w:val="24"/>
          <w:szCs w:val="24"/>
        </w:rPr>
        <w:t xml:space="preserve"> (one administrative unit up from an LAD)</w:t>
      </w:r>
      <w:r w:rsidR="003C7981">
        <w:rPr>
          <w:rFonts w:ascii="Times New Roman" w:eastAsiaTheme="minorEastAsia" w:hAnsi="Times New Roman" w:cs="Times New Roman"/>
          <w:iCs/>
          <w:sz w:val="24"/>
          <w:szCs w:val="24"/>
        </w:rPr>
        <w:t xml:space="preserve"> encompassing the 348 LADs. 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asr</m:t>
            </m:r>
          </m:sub>
        </m:sSub>
      </m:oMath>
      <w:r w:rsidR="003C7981">
        <w:rPr>
          <w:rFonts w:ascii="Times New Roman" w:eastAsiaTheme="minorEastAsia" w:hAnsi="Times New Roman" w:cs="Times New Roman"/>
          <w:iCs/>
          <w:sz w:val="24"/>
          <w:szCs w:val="24"/>
        </w:rPr>
        <w:t xml:space="preserve"> is age-sex-region mortality rates, then our benchmarking function,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life</m:t>
            </m:r>
          </m:sub>
        </m:sSub>
      </m:oMath>
      <w:r w:rsidR="003C7981">
        <w:rPr>
          <w:rFonts w:ascii="Times New Roman" w:eastAsiaTheme="minorEastAsia" w:hAnsi="Times New Roman" w:cs="Times New Roman"/>
          <w:iCs/>
          <w:sz w:val="24"/>
          <w:szCs w:val="24"/>
        </w:rPr>
        <w:t>, is defined as:</w:t>
      </w:r>
    </w:p>
    <w:p w:rsidR="003C7981" w:rsidRPr="00A6188B" w:rsidRDefault="003C7981" w:rsidP="007614BE">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life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1sr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Asr</m:t>
              </m:r>
            </m:sub>
          </m:sSub>
          <m:r>
            <w:rPr>
              <w:rFonts w:ascii="Cambria Math" w:eastAsiaTheme="minorEastAsia" w:hAnsi="Cambria Math" w:cs="Times New Roman"/>
              <w:sz w:val="24"/>
              <w:szCs w:val="24"/>
            </w:rPr>
            <m:t>)</m:t>
          </m:r>
        </m:oMath>
      </m:oMathPara>
    </w:p>
    <w:p w:rsidR="00F32B69" w:rsidRDefault="00465F3B"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A=20</m:t>
        </m:r>
      </m:oMath>
      <w:r>
        <w:rPr>
          <w:rFonts w:ascii="Times New Roman" w:eastAsiaTheme="minorEastAsia" w:hAnsi="Times New Roman" w:cs="Times New Roman"/>
          <w:iCs/>
          <w:sz w:val="24"/>
          <w:szCs w:val="24"/>
        </w:rPr>
        <w:t xml:space="preserve"> is the number of age groups. Life expectancies are normally reported to two decimal places, so the authors incorporate inexact benchmarking allowing a discrepancy of </w:t>
      </w:r>
      <m:oMath>
        <m:r>
          <w:rPr>
            <w:rFonts w:ascii="Cambria Math" w:eastAsiaTheme="minorEastAsia" w:hAnsi="Cambria Math" w:cs="Times New Roman"/>
            <w:sz w:val="24"/>
            <w:szCs w:val="24"/>
          </w:rPr>
          <m:t>0.01</m:t>
        </m:r>
      </m:oMath>
      <w:r>
        <w:rPr>
          <w:rFonts w:ascii="Times New Roman" w:eastAsiaTheme="minorEastAsia" w:hAnsi="Times New Roman" w:cs="Times New Roman"/>
          <w:iCs/>
          <w:sz w:val="24"/>
          <w:szCs w:val="24"/>
        </w:rPr>
        <w:t>. Agreement with the benchmark is then:</w:t>
      </w:r>
    </w:p>
    <w:p w:rsidR="00465F3B" w:rsidRPr="00465F3B" w:rsidRDefault="00465F3B" w:rsidP="007614BE">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sr</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sr</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0.005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465F3B" w:rsidRDefault="00465F3B"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authors fit this model twice, with and without benchmarking, using four independent chains with 40,000 iterations plus 40,000 burn in. Thinning is set to 80 so 1,600 draws are sampled from the posterior distribution.</w:t>
      </w:r>
    </w:p>
    <w:p w:rsidR="0076663C" w:rsidRDefault="0076663C"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After fitting both models, we see that benchmarking increases the agreement between modeled life expectancy at birth and the regional benchmarks, as compared to the non-benchmarked model:</w:t>
      </w:r>
    </w:p>
    <w:p w:rsidR="0076663C" w:rsidRDefault="0076663C"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{Include graph of e0 agreement}</w:t>
      </w:r>
    </w:p>
    <w:p w:rsidR="0076663C" w:rsidRDefault="0076663C"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At the LAD level, we can examine the difference between the benchmarked and non-benchmarked models for a sample of LADs:</w:t>
      </w:r>
    </w:p>
    <w:p w:rsidR="0076663C" w:rsidRDefault="0076663C"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{Include graphs of model difference}</w:t>
      </w:r>
    </w:p>
    <w:p w:rsidR="0076663C" w:rsidRDefault="0076663C"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While there are differences between the models, generally that difference stays within XXX. Finally, we look at the modeled mortality rates for the same LADs we included direct estimates of, showing that the model does also has the effect of producing smoother mortality trends.</w:t>
      </w:r>
    </w:p>
    <w:p w:rsidR="0076663C" w:rsidRDefault="0076663C"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{Include graph of modeled mx}</w:t>
      </w:r>
    </w:p>
    <w:p w:rsidR="0076663C" w:rsidRDefault="0076663C" w:rsidP="007614BE">
      <w:pPr>
        <w:spacing w:line="360" w:lineRule="auto"/>
        <w:rPr>
          <w:rFonts w:ascii="Times New Roman" w:eastAsiaTheme="minorEastAsia" w:hAnsi="Times New Roman" w:cs="Times New Roman"/>
          <w:iCs/>
          <w:sz w:val="24"/>
          <w:szCs w:val="24"/>
        </w:rPr>
      </w:pPr>
    </w:p>
    <w:p w:rsidR="0076663C" w:rsidRDefault="00247496"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Extension</w:t>
      </w:r>
    </w:p>
    <w:p w:rsidR="00247496" w:rsidRPr="00247496" w:rsidRDefault="00247496"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To further evaluate the authors’ methods, I applied their same analysis to estimate </w:t>
      </w:r>
      <w:r w:rsidRPr="00F32B69">
        <w:rPr>
          <w:rFonts w:ascii="Times New Roman" w:eastAsiaTheme="minorEastAsia" w:hAnsi="Times New Roman" w:cs="Times New Roman"/>
          <w:iCs/>
          <w:sz w:val="24"/>
          <w:szCs w:val="24"/>
        </w:rPr>
        <w:t>age-sex</w:t>
      </w:r>
      <w:r>
        <w:rPr>
          <w:rFonts w:ascii="Times New Roman" w:eastAsiaTheme="minorEastAsia" w:hAnsi="Times New Roman" w:cs="Times New Roman"/>
          <w:iCs/>
          <w:sz w:val="24"/>
          <w:szCs w:val="24"/>
        </w:rPr>
        <w:t>-</w:t>
      </w:r>
      <w:r w:rsidRPr="00F32B69">
        <w:rPr>
          <w:rFonts w:ascii="Times New Roman" w:eastAsiaTheme="minorEastAsia" w:hAnsi="Times New Roman" w:cs="Times New Roman"/>
          <w:iCs/>
          <w:sz w:val="24"/>
          <w:szCs w:val="24"/>
        </w:rPr>
        <w:t>specific mortality rates</w:t>
      </w:r>
      <w:r>
        <w:rPr>
          <w:rFonts w:ascii="Times New Roman" w:eastAsiaTheme="minorEastAsia" w:hAnsi="Times New Roman" w:cs="Times New Roman"/>
          <w:iCs/>
          <w:sz w:val="24"/>
          <w:szCs w:val="24"/>
        </w:rPr>
        <w:t xml:space="preserve"> in 2015</w:t>
      </w:r>
      <w:r w:rsidRPr="00F32B69">
        <w:rPr>
          <w:rFonts w:ascii="Times New Roman" w:eastAsiaTheme="minorEastAsia" w:hAnsi="Times New Roman" w:cs="Times New Roman"/>
          <w:iCs/>
          <w:sz w:val="24"/>
          <w:szCs w:val="24"/>
        </w:rPr>
        <w:t xml:space="preserve"> for</w:t>
      </w:r>
      <w:r>
        <w:rPr>
          <w:rFonts w:ascii="Times New Roman" w:eastAsiaTheme="minorEastAsia" w:hAnsi="Times New Roman" w:cs="Times New Roman"/>
          <w:iCs/>
          <w:sz w:val="24"/>
          <w:szCs w:val="24"/>
        </w:rPr>
        <w:t xml:space="preserve"> Philippine provinces</w:t>
      </w:r>
      <w:r w:rsidRPr="00F32B69">
        <w:rPr>
          <w:rFonts w:ascii="Times New Roman" w:eastAsiaTheme="minorEastAsia" w:hAnsi="Times New Roman" w:cs="Times New Roman"/>
          <w:iCs/>
          <w:sz w:val="24"/>
          <w:szCs w:val="24"/>
        </w:rPr>
        <w:t>, using as benchmarks sex-specific life expectancies</w:t>
      </w:r>
      <w:r>
        <w:rPr>
          <w:rFonts w:ascii="Times New Roman" w:eastAsiaTheme="minorEastAsia" w:hAnsi="Times New Roman" w:cs="Times New Roman"/>
          <w:iCs/>
          <w:sz w:val="24"/>
          <w:szCs w:val="24"/>
        </w:rPr>
        <w:t xml:space="preserve"> at birth</w:t>
      </w:r>
      <w:r w:rsidRPr="00F32B69">
        <w:rPr>
          <w:rFonts w:ascii="Times New Roman" w:eastAsiaTheme="minorEastAsia" w:hAnsi="Times New Roman" w:cs="Times New Roman"/>
          <w:iCs/>
          <w:sz w:val="24"/>
          <w:szCs w:val="24"/>
        </w:rPr>
        <w:t xml:space="preserve"> for regions</w:t>
      </w:r>
      <w:r>
        <w:rPr>
          <w:rFonts w:ascii="Times New Roman" w:eastAsiaTheme="minorEastAsia" w:hAnsi="Times New Roman" w:cs="Times New Roman"/>
          <w:iCs/>
          <w:sz w:val="24"/>
          <w:szCs w:val="24"/>
        </w:rPr>
        <w:t xml:space="preserve">. The data for this analysis is death counts and populations at risk for 18 age groups 0-80+, each sex, and </w:t>
      </w:r>
      <w:r w:rsidR="00176E0B">
        <w:rPr>
          <w:rFonts w:ascii="Times New Roman" w:eastAsiaTheme="minorEastAsia" w:hAnsi="Times New Roman" w:cs="Times New Roman"/>
          <w:iCs/>
          <w:sz w:val="24"/>
          <w:szCs w:val="24"/>
        </w:rPr>
        <w:t>81 provinces.</w:t>
      </w:r>
    </w:p>
    <w:p w:rsidR="0076663C" w:rsidRDefault="00AA3125" w:rsidP="007614BE">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{Include summary statistics table here}</w:t>
      </w:r>
    </w:p>
    <w:p w:rsidR="00176E0B" w:rsidRDefault="00176E0B" w:rsidP="00176E0B">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XXX total deaths among a total population of XXX. We can directly estimate mortality rates for each province, five of which are presented here:</w:t>
      </w:r>
    </w:p>
    <w:p w:rsidR="00AA3125" w:rsidRDefault="00176E0B" w:rsidP="00176E0B">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{Include graph of directly estimated mx}</w:t>
      </w:r>
    </w:p>
    <w:p w:rsidR="00176E0B" w:rsidRDefault="00176E0B" w:rsidP="00176E0B">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 to the authors’ analysis, I let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asp</m:t>
            </m:r>
          </m:sub>
        </m:sSub>
      </m:oMath>
      <w:r>
        <w:rPr>
          <w:rFonts w:ascii="Times New Roman" w:eastAsiaTheme="minorEastAsia" w:hAnsi="Times New Roman" w:cs="Times New Roman"/>
          <w:iCs/>
          <w:sz w:val="24"/>
          <w:szCs w:val="24"/>
        </w:rPr>
        <w:t xml:space="preserve"> represent observed death counts are each age (</w:t>
      </w:r>
      <m:oMath>
        <m:r>
          <w:rPr>
            <w:rFonts w:ascii="Cambria Math" w:eastAsiaTheme="minorEastAsia" w:hAnsi="Cambria Math" w:cs="Times New Roman"/>
            <w:sz w:val="24"/>
            <w:szCs w:val="24"/>
          </w:rPr>
          <m:t>a</m:t>
        </m:r>
      </m:oMath>
      <w:r>
        <w:rPr>
          <w:rFonts w:ascii="Times New Roman" w:eastAsiaTheme="minorEastAsia" w:hAnsi="Times New Roman" w:cs="Times New Roman"/>
          <w:iCs/>
          <w:sz w:val="24"/>
          <w:szCs w:val="24"/>
        </w:rPr>
        <w:t>), sex (</w:t>
      </w:r>
      <m:oMath>
        <m:r>
          <w:rPr>
            <w:rFonts w:ascii="Cambria Math" w:eastAsiaTheme="minorEastAsia" w:hAnsi="Cambria Math" w:cs="Times New Roman"/>
            <w:sz w:val="24"/>
            <w:szCs w:val="24"/>
          </w:rPr>
          <m:t>s</m:t>
        </m:r>
      </m:oMath>
      <w:r>
        <w:rPr>
          <w:rFonts w:ascii="Times New Roman" w:eastAsiaTheme="minorEastAsia" w:hAnsi="Times New Roman" w:cs="Times New Roman"/>
          <w:iCs/>
          <w:sz w:val="24"/>
          <w:szCs w:val="24"/>
        </w:rPr>
        <w:t>), and province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With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asp</m:t>
            </m:r>
          </m:sub>
        </m:sSub>
      </m:oMath>
      <w:r>
        <w:rPr>
          <w:rFonts w:ascii="Times New Roman" w:eastAsiaTheme="minorEastAsia" w:hAnsi="Times New Roman" w:cs="Times New Roman"/>
          <w:iCs/>
          <w:sz w:val="24"/>
          <w:szCs w:val="24"/>
        </w:rPr>
        <w:t xml:space="preserve"> as the true underlying mortality rate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asp</m:t>
            </m:r>
          </m:sub>
        </m:sSub>
      </m:oMath>
      <w:r>
        <w:rPr>
          <w:rFonts w:ascii="Times New Roman" w:eastAsiaTheme="minorEastAsia" w:hAnsi="Times New Roman" w:cs="Times New Roman"/>
          <w:iCs/>
          <w:sz w:val="24"/>
          <w:szCs w:val="24"/>
        </w:rPr>
        <w:t xml:space="preserve"> the corresponding population at risk, I define the model:</w:t>
      </w:r>
    </w:p>
    <w:p w:rsidR="00176E0B" w:rsidRPr="00FC2124" w:rsidRDefault="00176E0B" w:rsidP="00176E0B">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asp</m:t>
              </m:r>
            </m:sub>
          </m:sSub>
          <m:r>
            <w:rPr>
              <w:rFonts w:ascii="Cambria Math" w:eastAsiaTheme="minorEastAsia" w:hAnsi="Cambria Math" w:cs="Times New Roman"/>
              <w:sz w:val="24"/>
              <w:szCs w:val="24"/>
            </w:rPr>
            <m:t>∼Poisson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asp</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asp</m:t>
                  </m:r>
                </m:sub>
              </m:sSub>
            </m:e>
          </m:d>
          <m:r>
            <w:rPr>
              <w:rFonts w:ascii="Cambria Math" w:eastAsiaTheme="minorEastAsia" w:hAnsi="Cambria Math" w:cs="Times New Roman"/>
              <w:sz w:val="24"/>
              <w:szCs w:val="24"/>
            </w:rPr>
            <w:br/>
          </m:r>
        </m:oMath>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asp</m:t>
                      </m:r>
                    </m:sub>
                  </m:sSub>
                </m:e>
              </m:d>
            </m:e>
          </m:func>
          <m:r>
            <w:rPr>
              <w:rFonts w:ascii="Cambria Math" w:eastAsiaTheme="minorEastAsia" w:hAnsi="Cambria Math" w:cs="Times New Roman"/>
              <w:sz w:val="24"/>
              <w:szCs w:val="24"/>
            </w:rPr>
            <m:t>∼N(</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age</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sex</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prv</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as</m:t>
              </m:r>
            </m:sub>
            <m:sup>
              <m:r>
                <w:rPr>
                  <w:rFonts w:ascii="Cambria Math" w:eastAsiaTheme="minorEastAsia" w:hAnsi="Cambria Math" w:cs="Times New Roman"/>
                  <w:sz w:val="24"/>
                  <w:szCs w:val="24"/>
                </w:rPr>
                <m:t>age:sex</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176E0B" w:rsidRDefault="00176E0B" w:rsidP="00176E0B">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Age effects are assumed to follow a random walk analogous to the original analysis, with other effects and standard errors also being equivalent.</w:t>
      </w:r>
    </w:p>
    <w:p w:rsidR="00176E0B" w:rsidRDefault="00176E0B" w:rsidP="00176E0B">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 mortality estimates are again benchmarked to regional sex-specific life expectancies at birth for the 16 regions encompassing all of the provinces. A benchmarking function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life</m:t>
            </m:r>
          </m:sub>
        </m:sSub>
      </m:oMath>
      <w:r>
        <w:rPr>
          <w:rFonts w:ascii="Times New Roman" w:eastAsiaTheme="minorEastAsia" w:hAnsi="Times New Roman" w:cs="Times New Roman"/>
          <w:iCs/>
          <w:sz w:val="24"/>
          <w:szCs w:val="24"/>
        </w:rPr>
        <w:t xml:space="preserve"> is defined as:</w:t>
      </w:r>
    </w:p>
    <w:p w:rsidR="00176E0B" w:rsidRDefault="00176E0B" w:rsidP="00176E0B">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life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1sr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Asr</m:t>
              </m:r>
            </m:sub>
          </m:sSub>
          <m:r>
            <w:rPr>
              <w:rFonts w:ascii="Cambria Math" w:eastAsiaTheme="minorEastAsia" w:hAnsi="Cambria Math" w:cs="Times New Roman"/>
              <w:sz w:val="24"/>
              <w:szCs w:val="24"/>
            </w:rPr>
            <m:t>)</m:t>
          </m:r>
        </m:oMath>
      </m:oMathPara>
    </w:p>
    <w:p w:rsidR="006B0E52" w:rsidRDefault="00176E0B" w:rsidP="006B0E52">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With </w:t>
      </w:r>
      <m:oMath>
        <m:r>
          <w:rPr>
            <w:rFonts w:ascii="Cambria Math" w:eastAsiaTheme="minorEastAsia" w:hAnsi="Cambria Math" w:cs="Times New Roman"/>
            <w:sz w:val="24"/>
            <w:szCs w:val="24"/>
          </w:rPr>
          <m:t>A=18</m:t>
        </m:r>
      </m:oMath>
      <w:r>
        <w:rPr>
          <w:rFonts w:ascii="Times New Roman" w:eastAsiaTheme="minorEastAsia" w:hAnsi="Times New Roman" w:cs="Times New Roman"/>
          <w:iCs/>
          <w:sz w:val="24"/>
          <w:szCs w:val="24"/>
        </w:rPr>
        <w:t xml:space="preserve"> age groups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asr</m:t>
            </m:r>
          </m:sub>
        </m:sSub>
      </m:oMath>
      <w:r w:rsidR="006B0E52">
        <w:rPr>
          <w:rFonts w:ascii="Times New Roman" w:eastAsiaTheme="minorEastAsia" w:hAnsi="Times New Roman" w:cs="Times New Roman"/>
          <w:iCs/>
          <w:sz w:val="24"/>
          <w:szCs w:val="24"/>
        </w:rPr>
        <w:t xml:space="preserve"> age-sex-region morality rates. </w:t>
      </w:r>
      <w:r w:rsidR="006B0E52">
        <w:rPr>
          <w:rFonts w:ascii="Times New Roman" w:eastAsiaTheme="minorEastAsia" w:hAnsi="Times New Roman" w:cs="Times New Roman"/>
          <w:iCs/>
          <w:sz w:val="24"/>
          <w:szCs w:val="24"/>
        </w:rPr>
        <w:t xml:space="preserve">Life expectancies are normally reported to two decimal places, so the </w:t>
      </w:r>
      <w:r w:rsidR="006B0E52">
        <w:rPr>
          <w:rFonts w:ascii="Times New Roman" w:eastAsiaTheme="minorEastAsia" w:hAnsi="Times New Roman" w:cs="Times New Roman"/>
          <w:iCs/>
          <w:sz w:val="24"/>
          <w:szCs w:val="24"/>
        </w:rPr>
        <w:t>I again</w:t>
      </w:r>
      <w:r w:rsidR="006B0E52">
        <w:rPr>
          <w:rFonts w:ascii="Times New Roman" w:eastAsiaTheme="minorEastAsia" w:hAnsi="Times New Roman" w:cs="Times New Roman"/>
          <w:iCs/>
          <w:sz w:val="24"/>
          <w:szCs w:val="24"/>
        </w:rPr>
        <w:t xml:space="preserve"> incorporate inexact benchmarking allowing a discrepancy of </w:t>
      </w:r>
      <m:oMath>
        <m:r>
          <w:rPr>
            <w:rFonts w:ascii="Cambria Math" w:eastAsiaTheme="minorEastAsia" w:hAnsi="Cambria Math" w:cs="Times New Roman"/>
            <w:sz w:val="24"/>
            <w:szCs w:val="24"/>
          </w:rPr>
          <m:t>0.01</m:t>
        </m:r>
      </m:oMath>
      <w:r w:rsidR="006B0E52">
        <w:rPr>
          <w:rFonts w:ascii="Times New Roman" w:eastAsiaTheme="minorEastAsia" w:hAnsi="Times New Roman" w:cs="Times New Roman"/>
          <w:iCs/>
          <w:sz w:val="24"/>
          <w:szCs w:val="24"/>
        </w:rPr>
        <w:t>:</w:t>
      </w:r>
    </w:p>
    <w:p w:rsidR="006B0E52" w:rsidRPr="00465F3B" w:rsidRDefault="006B0E52" w:rsidP="006B0E52">
      <w:pPr>
        <w:spacing w:line="36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sr</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sr</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0.005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rsidR="00176E0B" w:rsidRDefault="006B0E52" w:rsidP="006B0E52">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also</w:t>
      </w:r>
      <w:r>
        <w:rPr>
          <w:rFonts w:ascii="Times New Roman" w:eastAsiaTheme="minorEastAsia" w:hAnsi="Times New Roman" w:cs="Times New Roman"/>
          <w:iCs/>
          <w:sz w:val="24"/>
          <w:szCs w:val="24"/>
        </w:rPr>
        <w:t xml:space="preserve"> fit this model twice, with and without benchmarking, using four independent chains with 40,000 iterations plus 40,000 burn in. Thinning is set to 80 so 1,600 draws are sampled from the posterior distribution.</w:t>
      </w:r>
    </w:p>
    <w:p w:rsidR="00B43EC4" w:rsidRDefault="00B43EC4" w:rsidP="006B0E52">
      <w:pPr>
        <w:spacing w:line="360" w:lineRule="auto"/>
        <w:rPr>
          <w:rFonts w:ascii="Times New Roman" w:eastAsiaTheme="minorEastAsia" w:hAnsi="Times New Roman" w:cs="Times New Roman"/>
          <w:iCs/>
          <w:sz w:val="24"/>
          <w:szCs w:val="24"/>
        </w:rPr>
      </w:pPr>
    </w:p>
    <w:p w:rsidR="00034E31" w:rsidRDefault="00034E31" w:rsidP="006B0E52">
      <w:pPr>
        <w:spacing w:line="360" w:lineRule="auto"/>
        <w:rPr>
          <w:rFonts w:ascii="Times New Roman" w:eastAsiaTheme="minorEastAsia" w:hAnsi="Times New Roman" w:cs="Times New Roman"/>
          <w:iCs/>
          <w:sz w:val="24"/>
          <w:szCs w:val="24"/>
        </w:rPr>
      </w:pPr>
    </w:p>
    <w:p w:rsidR="00034E31" w:rsidRDefault="00034E31" w:rsidP="006B0E52">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Discussion</w:t>
      </w:r>
    </w:p>
    <w:p w:rsidR="00034E31" w:rsidRDefault="00034E31" w:rsidP="006B0E52">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Between these two evaluations, there were some noticeable difference. The England and Wales analysis used almost 3 times as many geographic small areas and 2 more age groups, and a smaller population size than the Philippines analysis. I think this contributed to Philippines having smoother direct estimates than England and Wales, and the general lack of difference in performance between the benchmarked and non-benchmarked Philippines model.</w:t>
      </w:r>
    </w:p>
    <w:p w:rsidR="00034E31" w:rsidRDefault="00034E31" w:rsidP="006B0E52">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Despite these difference, the methods presented by the authors did behave as expected to produce small area estimates that agreed at a higher level, and were able to produce smoother trends more indicative of the likely underlying mortality parameters.</w:t>
      </w:r>
    </w:p>
    <w:p w:rsidR="00034E31" w:rsidRPr="00034E31" w:rsidRDefault="00034E31" w:rsidP="006B0E52">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One general limitation of their methodology is that areas that track data on smaller levels are more likely to have robust data collection systems, reducing the need for benchmarking in the first place. These methods seem ideal in the case where a location has poorer collection systems, but still collects data at a more granular level.</w:t>
      </w:r>
      <w:bookmarkStart w:id="0" w:name="_GoBack"/>
      <w:bookmarkEnd w:id="0"/>
    </w:p>
    <w:sectPr w:rsidR="00034E31" w:rsidRPr="0003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22FA"/>
    <w:multiLevelType w:val="hybridMultilevel"/>
    <w:tmpl w:val="211CA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1E"/>
    <w:rsid w:val="000070C0"/>
    <w:rsid w:val="00034E31"/>
    <w:rsid w:val="000C5884"/>
    <w:rsid w:val="000E40DF"/>
    <w:rsid w:val="001505B9"/>
    <w:rsid w:val="00176E0B"/>
    <w:rsid w:val="001837E0"/>
    <w:rsid w:val="001B7049"/>
    <w:rsid w:val="001F2BBC"/>
    <w:rsid w:val="00247496"/>
    <w:rsid w:val="00276869"/>
    <w:rsid w:val="002F0A2F"/>
    <w:rsid w:val="00340FC4"/>
    <w:rsid w:val="00390EFF"/>
    <w:rsid w:val="003C7981"/>
    <w:rsid w:val="00465F3B"/>
    <w:rsid w:val="00472A77"/>
    <w:rsid w:val="004874F2"/>
    <w:rsid w:val="004C26DE"/>
    <w:rsid w:val="00557FCA"/>
    <w:rsid w:val="005A1073"/>
    <w:rsid w:val="005F142E"/>
    <w:rsid w:val="0061157D"/>
    <w:rsid w:val="006B0E52"/>
    <w:rsid w:val="006B2C9A"/>
    <w:rsid w:val="007614BE"/>
    <w:rsid w:val="0076663C"/>
    <w:rsid w:val="00786C44"/>
    <w:rsid w:val="007F0E4B"/>
    <w:rsid w:val="008B0374"/>
    <w:rsid w:val="008D037C"/>
    <w:rsid w:val="008F035E"/>
    <w:rsid w:val="009922E2"/>
    <w:rsid w:val="00A251E8"/>
    <w:rsid w:val="00A522DF"/>
    <w:rsid w:val="00A6188B"/>
    <w:rsid w:val="00AA3125"/>
    <w:rsid w:val="00B16D41"/>
    <w:rsid w:val="00B43EC4"/>
    <w:rsid w:val="00B75B1E"/>
    <w:rsid w:val="00BC3F74"/>
    <w:rsid w:val="00BD4A52"/>
    <w:rsid w:val="00C00B3A"/>
    <w:rsid w:val="00C071AB"/>
    <w:rsid w:val="00C174D2"/>
    <w:rsid w:val="00C328DE"/>
    <w:rsid w:val="00D82913"/>
    <w:rsid w:val="00DB3EAA"/>
    <w:rsid w:val="00DC3429"/>
    <w:rsid w:val="00DD1AAB"/>
    <w:rsid w:val="00EE5F2C"/>
    <w:rsid w:val="00F263DD"/>
    <w:rsid w:val="00F32B69"/>
    <w:rsid w:val="00F67CFD"/>
    <w:rsid w:val="00FC2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C489"/>
  <w15:chartTrackingRefBased/>
  <w15:docId w15:val="{69A08F3B-E007-4A31-9F0C-5BEFF87A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2E2"/>
    <w:pPr>
      <w:ind w:left="720"/>
      <w:contextualSpacing/>
    </w:pPr>
  </w:style>
  <w:style w:type="character" w:styleId="PlaceholderText">
    <w:name w:val="Placeholder Text"/>
    <w:basedOn w:val="DefaultParagraphFont"/>
    <w:uiPriority w:val="99"/>
    <w:semiHidden/>
    <w:rsid w:val="00A251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7</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Pease</dc:creator>
  <cp:keywords/>
  <dc:description/>
  <cp:lastModifiedBy>Spencer Pease</cp:lastModifiedBy>
  <cp:revision>26</cp:revision>
  <dcterms:created xsi:type="dcterms:W3CDTF">2020-06-09T02:45:00Z</dcterms:created>
  <dcterms:modified xsi:type="dcterms:W3CDTF">2020-06-09T23:21:00Z</dcterms:modified>
</cp:coreProperties>
</file>