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Georgia" w:cs="Georgia" w:eastAsia="Georgia" w:hAnsi="Georgia"/>
          <w:b/>
          <w:bCs/>
          <w:color w:val="2C5F7C"/>
          <w:sz w:val="36"/>
          <w:szCs w:val="36"/>
        </w:rPr>
        <w:t xml:space="preserve">COMP322: Human Computer Interaction</w:t>
      </w:r>
    </w:p>
    <w:p>
      <w:pPr>
        <w:spacing w:after="720"/>
        <w:jc w:val="center"/>
      </w:pPr>
      <w:r>
        <w:rPr>
          <w:rFonts w:ascii="Georgia" w:cs="Georgia" w:eastAsia="Georgia" w:hAnsi="Georgia"/>
          <w:b/>
          <w:bCs/>
          <w:color w:val="2C5F7C"/>
          <w:sz w:val="56"/>
          <w:szCs w:val="56"/>
        </w:rPr>
        <w:t xml:space="preserve">Phase 1 supporting templates</w:t>
      </w:r>
    </w:p>
    <w:p>
      <w:pPr>
        <w:spacing w:after="360"/>
        <w:jc w:val="center"/>
      </w:pPr>
      <w:r>
        <w:rPr>
          <w:rFonts w:ascii="Calibri" w:cs="Calibri" w:eastAsia="Calibri" w:hAnsi="Calibri"/>
          <w:i/>
          <w:iCs/>
          <w:color w:val="555555"/>
          <w:sz w:val="22"/>
          <w:szCs w:val="22"/>
        </w:rPr>
        <w:t xml:space="preserve">Heuristics quick-reference  |  Heuristic evaluation log  |  Severity rating reference  |  Persona template</w:t>
      </w:r>
    </w:p>
    <w:p>
      <w:pPr>
        <w:spacing w:after="120" w:before="1200"/>
        <w:jc w:val="center"/>
      </w:pPr>
      <w:r>
        <w:rPr>
          <w:rFonts w:ascii="Georgia" w:cs="Georgia" w:eastAsia="Georgia" w:hAnsi="Georgia"/>
          <w:b/>
          <w:bCs/>
          <w:color w:val="2C5F7C"/>
          <w:sz w:val="24"/>
          <w:szCs w:val="24"/>
        </w:rPr>
        <w:t xml:space="preserve">Birzeit University</w:t>
      </w:r>
    </w:p>
    <w:p>
      <w:pPr>
        <w:spacing w:after="120"/>
        <w:jc w:val="center"/>
      </w:pPr>
      <w:r>
        <w:rPr>
          <w:rFonts w:ascii="Calibri" w:cs="Calibri" w:eastAsia="Calibri" w:hAnsi="Calibri"/>
          <w:sz w:val="22"/>
          <w:szCs w:val="22"/>
        </w:rPr>
        <w:t xml:space="preserve">Second semester 2025/26  |  Dr Hisham Ihshaish</w:t>
      </w:r>
    </w:p>
    <w:p>
      <w:pPr>
        <w:jc w:val="center"/>
      </w:pPr>
      <w:r>
        <w:rPr>
          <w:rFonts w:ascii="Calibri" w:cs="Calibri" w:eastAsia="Calibri" w:hAnsi="Calibri"/>
          <w:i/>
          <w:iCs/>
          <w:color w:val="555555"/>
          <w:sz w:val="22"/>
          <w:szCs w:val="22"/>
        </w:rPr>
        <w:t xml:space="preserve">Issued: Tuesday 5 May 2026</w:t>
      </w:r>
    </w:p>
    <w:p>
      <w:r>
        <w:br w:type="page"/>
      </w:r>
    </w:p>
    <w:p>
      <w:pPr>
        <w:pStyle w:val="Heading1"/>
        <w:spacing w:after="180" w:before="240"/>
      </w:pPr>
      <w:r>
        <w:rPr>
          <w:rFonts w:ascii="Georgia" w:cs="Georgia" w:eastAsia="Georgia" w:hAnsi="Georgia"/>
          <w:b/>
          <w:bCs/>
          <w:color w:val="2C5F7C"/>
          <w:sz w:val="36"/>
          <w:szCs w:val="36"/>
        </w:rPr>
        <w:t xml:space="preserve">How to use this document</w:t>
      </w:r>
    </w:p>
    <w:p>
      <w:pPr>
        <w:spacing w:after="160"/>
        <w:jc w:val="left"/>
      </w:pPr>
      <w:r>
        <w:rPr>
          <w:rFonts w:ascii="Calibri" w:cs="Calibri" w:eastAsia="Calibri" w:hAnsi="Calibri"/>
          <w:b w:val="false"/>
          <w:bCs w:val="false"/>
          <w:i w:val="false"/>
          <w:iCs w:val="false"/>
          <w:color w:val="000000"/>
          <w:sz w:val="22"/>
          <w:szCs w:val="22"/>
        </w:rPr>
        <w:t xml:space="preserve">This document contains the four supporting templates you need for Phase 1 of the COMP322 project. Print as many copies as you need. The four templates are:</w:t>
      </w:r>
    </w:p>
    <w:p>
      <w:pPr>
        <w:pStyle w:val="ListParagraph"/>
        <w:numPr>
          <w:ilvl w:val="0"/>
          <w:numId w:val="2"/>
        </w:numPr>
        <w:spacing w:after="80"/>
      </w:pPr>
      <w:r>
        <w:rPr>
          <w:rFonts w:ascii="Calibri" w:cs="Calibri" w:eastAsia="Calibri" w:hAnsi="Calibri"/>
          <w:sz w:val="22"/>
          <w:szCs w:val="22"/>
        </w:rPr>
        <w:t xml:space="preserve">Heuristics quick-reference: Nielsen's 10 heuristics with examples of what a violation looks like.</w:t>
      </w:r>
    </w:p>
    <w:p>
      <w:pPr>
        <w:pStyle w:val="ListParagraph"/>
        <w:numPr>
          <w:ilvl w:val="0"/>
          <w:numId w:val="2"/>
        </w:numPr>
        <w:spacing w:after="80"/>
      </w:pPr>
      <w:r>
        <w:rPr>
          <w:rFonts w:ascii="Calibri" w:cs="Calibri" w:eastAsia="Calibri" w:hAnsi="Calibri"/>
          <w:sz w:val="22"/>
          <w:szCs w:val="22"/>
        </w:rPr>
        <w:t xml:space="preserve">Heuristic evaluation log: one row per violation. Print one copy per team member for the independent walkthrough; consolidate into a shared digital copy afterwards.</w:t>
      </w:r>
    </w:p>
    <w:p>
      <w:pPr>
        <w:pStyle w:val="ListParagraph"/>
        <w:numPr>
          <w:ilvl w:val="0"/>
          <w:numId w:val="2"/>
        </w:numPr>
        <w:spacing w:after="80"/>
      </w:pPr>
      <w:r>
        <w:rPr>
          <w:rFonts w:ascii="Calibri" w:cs="Calibri" w:eastAsia="Calibri" w:hAnsi="Calibri"/>
          <w:sz w:val="22"/>
          <w:szCs w:val="22"/>
        </w:rPr>
        <w:t xml:space="preserve">Severity rating reference: Nielsen's 0-4 scale with the three-factor justification (frequency, impact, persistence).</w:t>
      </w:r>
    </w:p>
    <w:p>
      <w:pPr>
        <w:pStyle w:val="ListParagraph"/>
        <w:numPr>
          <w:ilvl w:val="0"/>
          <w:numId w:val="2"/>
        </w:numPr>
        <w:spacing w:after="80"/>
      </w:pPr>
      <w:r>
        <w:rPr>
          <w:rFonts w:ascii="Calibri" w:cs="Calibri" w:eastAsia="Calibri" w:hAnsi="Calibri"/>
          <w:sz w:val="22"/>
          <w:szCs w:val="22"/>
        </w:rPr>
        <w:t xml:space="preserve">Persona template: one printed copy per persona. You need two personas, so print at least two copies.</w:t>
      </w:r>
    </w:p>
    <w:p>
      <w:pPr>
        <w:spacing w:after="120"/>
        <w:jc w:val="left"/>
      </w:pPr>
      <w:r>
        <w:rPr>
          <w:rFonts w:ascii="Calibri" w:cs="Calibri" w:eastAsia="Calibri" w:hAnsi="Calibri"/>
          <w:b w:val="false"/>
          <w:bCs w:val="false"/>
          <w:i w:val="false"/>
          <w:iCs w:val="false"/>
          <w:color w:val="000000"/>
          <w:sz w:val="22"/>
          <w:szCs w:val="22"/>
        </w:rPr>
        <w:t xml:space="preserve"> </w:t>
      </w:r>
    </w:p>
    <w:p>
      <w:pPr>
        <w:spacing w:after="120"/>
        <w:jc w:val="left"/>
      </w:pPr>
      <w:r>
        <w:rPr>
          <w:rFonts w:ascii="Calibri" w:cs="Calibri" w:eastAsia="Calibri" w:hAnsi="Calibri"/>
          <w:b w:val="false"/>
          <w:bCs w:val="false"/>
          <w:i/>
          <w:iCs/>
          <w:color w:val="000000"/>
          <w:sz w:val="22"/>
          <w:szCs w:val="22"/>
        </w:rPr>
        <w:t xml:space="preserve">Each template has a short instructions block at the top so you can use it standalone without flipping back to other documents.</w:t>
      </w:r>
    </w:p>
    <w:p>
      <w:r>
        <w:br w:type="page"/>
      </w:r>
    </w:p>
    <w:p>
      <w:pPr>
        <w:pStyle w:val="Heading1"/>
        <w:spacing w:after="180" w:before="240"/>
      </w:pPr>
      <w:r>
        <w:rPr>
          <w:rFonts w:ascii="Georgia" w:cs="Georgia" w:eastAsia="Georgia" w:hAnsi="Georgia"/>
          <w:b/>
          <w:bCs/>
          <w:color w:val="2C5F7C"/>
          <w:sz w:val="36"/>
          <w:szCs w:val="36"/>
        </w:rPr>
        <w:t xml:space="preserve">Template 1: Nielsen's 10 usability heuristics quick reference</w:t>
      </w:r>
    </w:p>
    <w:p>
      <w:pPr>
        <w:spacing w:after="240"/>
        <w:jc w:val="left"/>
      </w:pPr>
      <w:r>
        <w:rPr>
          <w:rFonts w:ascii="Calibri" w:cs="Calibri" w:eastAsia="Calibri" w:hAnsi="Calibri"/>
          <w:b w:val="false"/>
          <w:bCs w:val="false"/>
          <w:i/>
          <w:iCs/>
          <w:color w:val="555555"/>
          <w:sz w:val="20"/>
          <w:szCs w:val="20"/>
        </w:rPr>
        <w:t xml:space="preserve">Source: Nielsen, J. (1994). Enhancing the explanatory power of usability heuristics. In Proceedings of the ACM CHI '94 conference, pages 152-158.</w:t>
      </w:r>
    </w:p>
    <w:p>
      <w:pPr>
        <w:spacing w:after="240"/>
        <w:jc w:val="left"/>
      </w:pPr>
      <w:r>
        <w:rPr>
          <w:rFonts w:ascii="Calibri" w:cs="Calibri" w:eastAsia="Calibri" w:hAnsi="Calibri"/>
          <w:b w:val="false"/>
          <w:bCs w:val="false"/>
          <w:i w:val="false"/>
          <w:iCs w:val="false"/>
          <w:color w:val="000000"/>
          <w:sz w:val="22"/>
          <w:szCs w:val="22"/>
        </w:rPr>
        <w:t xml:space="preserve">Use this page alongside the evaluation log on the next page. When you find a violation, identify which heuristic it offends and pick the most specific one that fits. If two heuristics seem to apply, pick the more specific one and note the second in the 'Notes' column of the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120"/>
        <w:gridCol w:w="3120"/>
      </w:tblGrid>
      <w:tr>
        <w:trPr>
          <w:tblHeader/>
        </w:trPr>
        <w:tc>
          <w:tcPr>
            <w:tcW w:type="dxa" w:w="72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Heuristic</w:t>
            </w:r>
          </w:p>
        </w:tc>
        <w:tc>
          <w:tcPr>
            <w:tcW w:type="dxa" w:w="312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Plain-language meaning</w:t>
            </w:r>
          </w:p>
        </w:tc>
        <w:tc>
          <w:tcPr>
            <w:tcW w:type="dxa" w:w="312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What a violation looks like</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Visibility of system status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Always tell the user what is going on, through appropriate feedback within reasonable time.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iCs/>
                <w:color w:val="000000"/>
                <w:sz w:val="20"/>
                <w:szCs w:val="20"/>
              </w:rPr>
              <w:t xml:space="preserve">A button is tapped, nothing visibly happens for 5 seconds; the user taps again, double-submits.</w:t>
            </w:r>
          </w:p>
        </w:tc>
      </w:tr>
      <w:tr>
        <w:tc>
          <w:tcPr>
            <w:tcW w:type="dxa" w:w="72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20"/>
                <w:szCs w:val="20"/>
              </w:rPr>
              <w:t xml:space="preserve">2</w:t>
            </w:r>
          </w:p>
        </w:tc>
        <w:tc>
          <w:tcPr>
            <w:tcW w:type="dxa" w:w="240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Match between system and the real world</w:t>
            </w:r>
          </w:p>
        </w:tc>
        <w:tc>
          <w:tcPr>
            <w:tcW w:type="dxa" w:w="312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Use the user's language, with familiar words, phrases and concepts. Follow real-world conventions.</w:t>
            </w:r>
          </w:p>
        </w:tc>
        <w:tc>
          <w:tcPr>
            <w:tcW w:type="dxa" w:w="312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val="false"/>
                <w:bCs w:val="false"/>
                <w:i/>
                <w:iCs/>
                <w:color w:val="000000"/>
                <w:sz w:val="20"/>
                <w:szCs w:val="20"/>
              </w:rPr>
              <w:t xml:space="preserve">A bank app uses 'Beneficiary maintenance' instead of 'Saved recipients'.</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User control and freedom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Users need a clearly marked emergency exit to leave an unwanted state. Support undo and redo.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iCs/>
                <w:color w:val="000000"/>
                <w:sz w:val="20"/>
                <w:szCs w:val="20"/>
              </w:rPr>
              <w:t xml:space="preserve">After accidentally adding a course, no clear way to remove it before confirming registration.</w:t>
            </w:r>
          </w:p>
        </w:tc>
      </w:tr>
      <w:tr>
        <w:tc>
          <w:tcPr>
            <w:tcW w:type="dxa" w:w="72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20"/>
                <w:szCs w:val="20"/>
              </w:rPr>
              <w:t xml:space="preserve">4</w:t>
            </w:r>
          </w:p>
        </w:tc>
        <w:tc>
          <w:tcPr>
            <w:tcW w:type="dxa" w:w="240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Consistency and standards</w:t>
            </w:r>
          </w:p>
        </w:tc>
        <w:tc>
          <w:tcPr>
            <w:tcW w:type="dxa" w:w="312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Don't make users wonder whether different words, situations or actions mean the same thing.</w:t>
            </w:r>
          </w:p>
        </w:tc>
        <w:tc>
          <w:tcPr>
            <w:tcW w:type="dxa" w:w="312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val="false"/>
                <w:bCs w:val="false"/>
                <w:i/>
                <w:iCs/>
                <w:color w:val="000000"/>
                <w:sz w:val="20"/>
                <w:szCs w:val="20"/>
              </w:rPr>
              <w:t xml:space="preserve">A 'Save' button on one screen and 'Confirm' on another that do the same thing.</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Error prevention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Better than good error messages: a careful design that prevents a problem from occurring in the first place.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iCs/>
                <w:color w:val="000000"/>
                <w:sz w:val="20"/>
                <w:szCs w:val="20"/>
              </w:rPr>
              <w:t xml:space="preserve">Two near-identical destructive actions side by side with no confirmation step.</w:t>
            </w:r>
          </w:p>
        </w:tc>
      </w:tr>
      <w:tr>
        <w:tc>
          <w:tcPr>
            <w:tcW w:type="dxa" w:w="72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20"/>
                <w:szCs w:val="20"/>
              </w:rPr>
              <w:t xml:space="preserve">6</w:t>
            </w:r>
          </w:p>
        </w:tc>
        <w:tc>
          <w:tcPr>
            <w:tcW w:type="dxa" w:w="240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Recognition rather than recall</w:t>
            </w:r>
          </w:p>
        </w:tc>
        <w:tc>
          <w:tcPr>
            <w:tcW w:type="dxa" w:w="312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Minimise memory load by making objects, actions and options visible. Don't make the user remember information from one part of the dialogue to another.</w:t>
            </w:r>
          </w:p>
        </w:tc>
        <w:tc>
          <w:tcPr>
            <w:tcW w:type="dxa" w:w="312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val="false"/>
                <w:bCs w:val="false"/>
                <w:i/>
                <w:iCs/>
                <w:color w:val="000000"/>
                <w:sz w:val="20"/>
                <w:szCs w:val="20"/>
              </w:rPr>
              <w:t xml:space="preserve">A confirmation page that doesn't show what was just selected, forcing the user to remember it.</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20"/>
                <w:szCs w:val="20"/>
              </w:rPr>
              <w:t xml:space="preserve">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Flexibility and efficiency of use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Accelerators (unseen by novices) speed interaction for experts. Allow users to tailor frequent actions.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iCs/>
                <w:color w:val="000000"/>
                <w:sz w:val="20"/>
                <w:szCs w:val="20"/>
              </w:rPr>
              <w:t xml:space="preserve">A bank app with no shortcut for recurring transfers; users repeat 8 taps every time.</w:t>
            </w:r>
          </w:p>
        </w:tc>
      </w:tr>
      <w:tr>
        <w:tc>
          <w:tcPr>
            <w:tcW w:type="dxa" w:w="72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20"/>
                <w:szCs w:val="20"/>
              </w:rPr>
              <w:t xml:space="preserve">8</w:t>
            </w:r>
          </w:p>
        </w:tc>
        <w:tc>
          <w:tcPr>
            <w:tcW w:type="dxa" w:w="240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Aesthetic and minimalist design</w:t>
            </w:r>
          </w:p>
        </w:tc>
        <w:tc>
          <w:tcPr>
            <w:tcW w:type="dxa" w:w="312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Dialogues should not contain irrelevant or rarely needed information. Every extra unit competes with relevant units.</w:t>
            </w:r>
          </w:p>
        </w:tc>
        <w:tc>
          <w:tcPr>
            <w:tcW w:type="dxa" w:w="312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val="false"/>
                <w:bCs w:val="false"/>
                <w:i/>
                <w:iCs/>
                <w:color w:val="000000"/>
                <w:sz w:val="20"/>
                <w:szCs w:val="20"/>
              </w:rPr>
              <w:t xml:space="preserve">A search results page where 60% of the screen is promotional banners and 40% is actual results.</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20"/>
                <w:szCs w:val="20"/>
              </w:rPr>
              <w:t xml:space="preserve">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Help users recognise, diagnose and recover from errors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Express error messages in plain language, precisely indicate the problem, suggest a constructive solution.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iCs/>
                <w:color w:val="000000"/>
                <w:sz w:val="20"/>
                <w:szCs w:val="20"/>
              </w:rPr>
              <w:t xml:space="preserve">Form rejected with 'Error 4007' and no indication of which field is wrong.</w:t>
            </w:r>
          </w:p>
        </w:tc>
      </w:tr>
      <w:tr>
        <w:tc>
          <w:tcPr>
            <w:tcW w:type="dxa" w:w="72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20"/>
                <w:szCs w:val="20"/>
              </w:rPr>
              <w:t xml:space="preserve">10</w:t>
            </w:r>
          </w:p>
        </w:tc>
        <w:tc>
          <w:tcPr>
            <w:tcW w:type="dxa" w:w="240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Help and documentation</w:t>
            </w:r>
          </w:p>
        </w:tc>
        <w:tc>
          <w:tcPr>
            <w:tcW w:type="dxa" w:w="312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Even if the system can be used without documentation, it may be necessary to provide help. Keep it focused on the user's task.</w:t>
            </w:r>
          </w:p>
        </w:tc>
        <w:tc>
          <w:tcPr>
            <w:tcW w:type="dxa" w:w="312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val="false"/>
                <w:bCs w:val="false"/>
                <w:i/>
                <w:iCs/>
                <w:color w:val="000000"/>
                <w:sz w:val="20"/>
                <w:szCs w:val="20"/>
              </w:rPr>
              <w:t xml:space="preserve">A help link that opens a generic FAQ rather than help relevant to the screen the user is on.</w:t>
            </w:r>
          </w:p>
        </w:tc>
      </w:tr>
    </w:tbl>
    <w:p>
      <w:r>
        <w:br w:type="page"/>
      </w:r>
    </w:p>
    <w:p>
      <w:pPr>
        <w:pStyle w:val="Heading1"/>
        <w:spacing w:after="180" w:before="240"/>
      </w:pPr>
      <w:r>
        <w:rPr>
          <w:rFonts w:ascii="Georgia" w:cs="Georgia" w:eastAsia="Georgia" w:hAnsi="Georgia"/>
          <w:b/>
          <w:bCs/>
          <w:color w:val="2C5F7C"/>
          <w:sz w:val="36"/>
          <w:szCs w:val="36"/>
        </w:rPr>
        <w:t xml:space="preserve">Template 2: Heuristic evaluation log</w:t>
      </w:r>
    </w:p>
    <w:p>
      <w:pPr>
        <w:spacing w:after="120"/>
        <w:jc w:val="left"/>
      </w:pPr>
      <w:r>
        <w:rPr>
          <w:rFonts w:ascii="Calibri" w:cs="Calibri" w:eastAsia="Calibri" w:hAnsi="Calibri"/>
          <w:b w:val="false"/>
          <w:bCs w:val="false"/>
          <w:i w:val="false"/>
          <w:iCs w:val="false"/>
          <w:color w:val="000000"/>
          <w:sz w:val="22"/>
          <w:szCs w:val="22"/>
        </w:rPr>
        <w:t xml:space="preserve">Each team member walks the system independently and fills in their own copy of this log first. Then meet to deduplicate and agree severities. Aim for at least 10 unique violations team-wide; 15-20 is better.</w:t>
      </w:r>
    </w:p>
    <w:p>
      <w:pPr>
        <w:spacing w:after="240"/>
        <w:jc w:val="left"/>
      </w:pPr>
      <w:r>
        <w:rPr>
          <w:rFonts w:ascii="Calibri" w:cs="Calibri" w:eastAsia="Calibri" w:hAnsi="Calibri"/>
          <w:b w:val="false"/>
          <w:bCs w:val="false"/>
          <w:i/>
          <w:iCs/>
          <w:color w:val="000000"/>
          <w:sz w:val="22"/>
          <w:szCs w:val="22"/>
        </w:rPr>
        <w:t xml:space="preserve">Severity rating uses Nielsen's 0-4 scale (see Template 3). The three sub-factor columns are how you justify the severity number; they are the rationale, not three separate ratings. A '3' or '4' should normally have at least two of frequency / impact / persistence rated 'high'.</w:t>
      </w:r>
    </w:p>
    <w:p>
      <w:pPr>
        <w:spacing w:after="240"/>
        <w:jc w:val="left"/>
      </w:pPr>
      <w:r>
        <w:rPr>
          <w:rFonts w:ascii="Calibri" w:cs="Calibri" w:eastAsia="Calibri" w:hAnsi="Calibri"/>
          <w:b w:val="false"/>
          <w:bCs w:val="false"/>
          <w:i w:val="false"/>
          <w:iCs w:val="false"/>
          <w:color w:val="000000"/>
          <w:sz w:val="22"/>
          <w:szCs w:val="22"/>
        </w:rPr>
        <w:t xml:space="preserve">Team member name: ____________________________  |  Date: ____________________  |  System evaluated: 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300"/>
        <w:gridCol w:w="2100"/>
        <w:gridCol w:w="1500"/>
        <w:gridCol w:w="760"/>
        <w:gridCol w:w="1600"/>
      </w:tblGrid>
      <w:tr>
        <w:trPr>
          <w:tblHeader/>
        </w:trPr>
        <w:tc>
          <w:tcPr>
            <w:tcW w:type="dxa" w:w="70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ID</w:t>
            </w:r>
          </w:p>
        </w:tc>
        <w:tc>
          <w:tcPr>
            <w:tcW w:type="dxa" w:w="140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System area / screen</w:t>
            </w:r>
          </w:p>
        </w:tc>
        <w:tc>
          <w:tcPr>
            <w:tcW w:type="dxa" w:w="130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Heuristic violated (1-10)</w:t>
            </w:r>
          </w:p>
        </w:tc>
        <w:tc>
          <w:tcPr>
            <w:tcW w:type="dxa" w:w="210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Description of the problem</w:t>
            </w:r>
          </w:p>
        </w:tc>
        <w:tc>
          <w:tcPr>
            <w:tcW w:type="dxa" w:w="150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Frequency / Impact / Persistence</w:t>
            </w:r>
          </w:p>
        </w:tc>
        <w:tc>
          <w:tcPr>
            <w:tcW w:type="dxa" w:w="76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Severity (0-4)</w:t>
            </w:r>
          </w:p>
        </w:tc>
        <w:tc>
          <w:tcPr>
            <w:tcW w:type="dxa" w:w="160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Suggested fix</w:t>
            </w:r>
          </w:p>
        </w:tc>
      </w:tr>
      <w:tr>
        <w:tc>
          <w:tcPr>
            <w:tcW w:type="dxa" w:w="70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000000"/>
                <w:sz w:val="20"/>
                <w:szCs w:val="20"/>
              </w:rPr>
              <w:t xml:space="preserve">EX-01</w:t>
            </w:r>
          </w:p>
        </w:tc>
        <w:tc>
          <w:tcPr>
            <w:tcW w:type="dxa" w:w="140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Login screen</w:t>
            </w:r>
          </w:p>
        </w:tc>
        <w:tc>
          <w:tcPr>
            <w:tcW w:type="dxa" w:w="130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5. Error prevention</w:t>
            </w:r>
          </w:p>
        </w:tc>
        <w:tc>
          <w:tcPr>
            <w:tcW w:type="dxa" w:w="210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Numeric password field with no masking toggle. Users mistype on small phones with no easy way to verify before submitting.</w:t>
            </w:r>
          </w:p>
        </w:tc>
        <w:tc>
          <w:tcPr>
            <w:tcW w:type="dxa" w:w="150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Frequent / Major / Persists</w:t>
            </w:r>
          </w:p>
        </w:tc>
        <w:tc>
          <w:tcPr>
            <w:tcW w:type="dxa" w:w="76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000000"/>
                <w:sz w:val="20"/>
                <w:szCs w:val="20"/>
              </w:rPr>
              <w:t xml:space="preserve">3</w:t>
            </w:r>
          </w:p>
        </w:tc>
        <w:tc>
          <w:tcPr>
            <w:tcW w:type="dxa" w:w="210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Add a 'show password' eye icon and a confirmation step before submission.</w:t>
            </w:r>
          </w:p>
        </w:tc>
      </w:tr>
      <w:tr>
        <w:trPr>
          <w:trHeight w:val="720" w:hRule="atLeast"/>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r>
      <w:tr>
        <w:trPr>
          <w:trHeight w:val="720" w:hRule="atLeast"/>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r>
      <w:tr>
        <w:trPr>
          <w:trHeight w:val="720" w:hRule="atLeast"/>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r>
      <w:tr>
        <w:trPr>
          <w:trHeight w:val="720" w:hRule="atLeast"/>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r>
      <w:tr>
        <w:trPr>
          <w:trHeight w:val="720" w:hRule="atLeast"/>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r>
      <w:tr>
        <w:trPr>
          <w:trHeight w:val="720" w:hRule="atLeast"/>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r>
      <w:tr>
        <w:trPr>
          <w:trHeight w:val="720" w:hRule="atLeast"/>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r>
      <w:tr>
        <w:trPr>
          <w:trHeight w:val="720" w:hRule="atLeast"/>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r>
      <w:tr>
        <w:trPr>
          <w:trHeight w:val="720" w:hRule="atLeast"/>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r>
      <w:tr>
        <w:trPr>
          <w:trHeight w:val="720" w:hRule="atLeast"/>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r>
      <w:tr>
        <w:trPr>
          <w:trHeight w:val="720" w:hRule="atLeast"/>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r>
      <w:tr>
        <w:trPr>
          <w:trHeight w:val="720" w:hRule="atLeast"/>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t>
            </w:r>
          </w:p>
        </w:tc>
      </w:tr>
    </w:tbl>
    <w:p>
      <w:pPr>
        <w:spacing w:after="60"/>
        <w:jc w:val="left"/>
      </w:pPr>
      <w:r>
        <w:rPr>
          <w:rFonts w:ascii="Calibri" w:cs="Calibri" w:eastAsia="Calibri" w:hAnsi="Calibri"/>
          <w:b w:val="false"/>
          <w:bCs w:val="false"/>
          <w:i w:val="false"/>
          <w:iCs w:val="false"/>
          <w:color w:val="000000"/>
          <w:sz w:val="22"/>
          <w:szCs w:val="22"/>
        </w:rPr>
        <w:t xml:space="preserve"> </w:t>
      </w:r>
    </w:p>
    <w:p>
      <w:pPr>
        <w:spacing w:after="120"/>
        <w:jc w:val="left"/>
      </w:pPr>
      <w:r>
        <w:rPr>
          <w:rFonts w:ascii="Calibri" w:cs="Calibri" w:eastAsia="Calibri" w:hAnsi="Calibri"/>
          <w:b w:val="false"/>
          <w:bCs w:val="false"/>
          <w:i/>
          <w:iCs/>
          <w:color w:val="555555"/>
          <w:sz w:val="20"/>
          <w:szCs w:val="20"/>
        </w:rPr>
        <w:t xml:space="preserve">Tip: when you finish the walkthrough, write a 2-3 sentence summary at the bottom of your copy describing the dominant problem patterns you saw. That goes into the team's consolidated report.</w:t>
      </w:r>
    </w:p>
    <w:p>
      <w:r>
        <w:br w:type="page"/>
      </w:r>
    </w:p>
    <w:p>
      <w:pPr>
        <w:pStyle w:val="Heading1"/>
        <w:spacing w:after="180" w:before="240"/>
      </w:pPr>
      <w:r>
        <w:rPr>
          <w:rFonts w:ascii="Georgia" w:cs="Georgia" w:eastAsia="Georgia" w:hAnsi="Georgia"/>
          <w:b/>
          <w:bCs/>
          <w:color w:val="2C5F7C"/>
          <w:sz w:val="36"/>
          <w:szCs w:val="36"/>
        </w:rPr>
        <w:t xml:space="preserve">Template 3: Severity rating reference (Nielsen's 0-4 scale)</w:t>
      </w:r>
    </w:p>
    <w:p>
      <w:pPr>
        <w:spacing w:after="240"/>
        <w:jc w:val="left"/>
      </w:pPr>
      <w:r>
        <w:rPr>
          <w:rFonts w:ascii="Calibri" w:cs="Calibri" w:eastAsia="Calibri" w:hAnsi="Calibri"/>
          <w:b w:val="false"/>
          <w:bCs w:val="false"/>
          <w:i w:val="false"/>
          <w:iCs w:val="false"/>
          <w:color w:val="000000"/>
          <w:sz w:val="22"/>
          <w:szCs w:val="22"/>
        </w:rPr>
        <w:t xml:space="preserve">Every violation in your evaluation log needs a severity rating from 0 to 4. The number is the headline; the three factors below are how you defend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000"/>
        <w:gridCol w:w="2860"/>
      </w:tblGrid>
      <w:tr>
        <w:trPr>
          <w:tblHeader/>
        </w:trPr>
        <w:tc>
          <w:tcPr>
            <w:tcW w:type="dxa" w:w="110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Rating</w:t>
            </w:r>
          </w:p>
        </w:tc>
        <w:tc>
          <w:tcPr>
            <w:tcW w:type="dxa" w:w="240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Label</w:t>
            </w:r>
          </w:p>
        </w:tc>
        <w:tc>
          <w:tcPr>
            <w:tcW w:type="dxa" w:w="300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What it means</w:t>
            </w:r>
          </w:p>
        </w:tc>
        <w:tc>
          <w:tcPr>
            <w:tcW w:type="dxa" w:w="286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Example (registration form)</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28"/>
                <w:szCs w:val="28"/>
              </w:rPr>
              <w:t xml:space="preserve">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Not a usability problem</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Cosmetic or stylistic only; do not need to be fixed unless time permits.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iCs/>
                <w:color w:val="000000"/>
                <w:sz w:val="20"/>
                <w:szCs w:val="20"/>
              </w:rPr>
              <w:t xml:space="preserve">Slight inconsistency in font weight on a label.</w:t>
            </w:r>
          </w:p>
        </w:tc>
      </w:tr>
      <w:tr>
        <w:tc>
          <w:tcPr>
            <w:tcW w:type="dxa" w:w="110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28"/>
                <w:szCs w:val="28"/>
              </w:rPr>
              <w:t xml:space="preserve">1</w:t>
            </w:r>
          </w:p>
        </w:tc>
        <w:tc>
          <w:tcPr>
            <w:tcW w:type="dxa" w:w="240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Cosmetic problem</w:t>
            </w:r>
          </w:p>
        </w:tc>
        <w:tc>
          <w:tcPr>
            <w:tcW w:type="dxa" w:w="300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Need not be fixed unless extra time is available on the project.</w:t>
            </w:r>
          </w:p>
        </w:tc>
        <w:tc>
          <w:tcPr>
            <w:tcW w:type="dxa" w:w="286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val="false"/>
                <w:bCs w:val="false"/>
                <w:i/>
                <w:iCs/>
                <w:color w:val="000000"/>
                <w:sz w:val="20"/>
                <w:szCs w:val="20"/>
              </w:rPr>
              <w:t xml:space="preserve">A button colour that doesn't match the brand palette.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28"/>
                <w:szCs w:val="28"/>
              </w:rPr>
              <w:t xml:space="preserve">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Minor usability problem</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Fixing this should be given low priority. Annoying but not blocking.</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iCs/>
                <w:color w:val="000000"/>
                <w:sz w:val="20"/>
                <w:szCs w:val="20"/>
              </w:rPr>
              <w:t xml:space="preserve">A tooltip appears too late after hover.</w:t>
            </w:r>
          </w:p>
        </w:tc>
      </w:tr>
      <w:tr>
        <w:tc>
          <w:tcPr>
            <w:tcW w:type="dxa" w:w="1100"/>
            <w:tcBorders>
              <w:top w:val="single" w:color="BFBFBF" w:sz="4"/>
              <w:left w:val="single" w:color="BFBFBF" w:sz="4"/>
              <w:bottom w:val="single" w:color="BFBFBF" w:sz="4"/>
              <w:right w:val="single" w:color="BFBFBF" w:sz="4"/>
            </w:tcBorders>
            <w:shd w:fill="FFF6D6"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28"/>
                <w:szCs w:val="28"/>
              </w:rPr>
              <w:t xml:space="preserve">3</w:t>
            </w:r>
          </w:p>
        </w:tc>
        <w:tc>
          <w:tcPr>
            <w:tcW w:type="dxa" w:w="2400"/>
            <w:tcBorders>
              <w:top w:val="single" w:color="BFBFBF" w:sz="4"/>
              <w:left w:val="single" w:color="BFBFBF" w:sz="4"/>
              <w:bottom w:val="single" w:color="BFBFBF" w:sz="4"/>
              <w:right w:val="single" w:color="BFBFBF" w:sz="4"/>
            </w:tcBorders>
            <w:shd w:fill="FFF6D6"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Major usability problem</w:t>
            </w:r>
          </w:p>
        </w:tc>
        <w:tc>
          <w:tcPr>
            <w:tcW w:type="dxa" w:w="3000"/>
            <w:tcBorders>
              <w:top w:val="single" w:color="BFBFBF" w:sz="4"/>
              <w:left w:val="single" w:color="BFBFBF" w:sz="4"/>
              <w:bottom w:val="single" w:color="BFBFBF" w:sz="4"/>
              <w:right w:val="single" w:color="BFBFBF" w:sz="4"/>
            </w:tcBorders>
            <w:shd w:fill="FFF6D6"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Important to fix; high priority. Significantly slows users or causes wrong outcomes.</w:t>
            </w:r>
          </w:p>
        </w:tc>
        <w:tc>
          <w:tcPr>
            <w:tcW w:type="dxa" w:w="2860"/>
            <w:tcBorders>
              <w:top w:val="single" w:color="BFBFBF" w:sz="4"/>
              <w:left w:val="single" w:color="BFBFBF" w:sz="4"/>
              <w:bottom w:val="single" w:color="BFBFBF" w:sz="4"/>
              <w:right w:val="single" w:color="BFBFBF" w:sz="4"/>
            </w:tcBorders>
            <w:shd w:fill="FFF6D6" w:val="clear"/>
            <w:tcMar>
              <w:top w:type="dxa" w:w="100"/>
              <w:left w:type="dxa" w:w="140"/>
              <w:bottom w:type="dxa" w:w="100"/>
              <w:right w:type="dxa" w:w="140"/>
            </w:tcMar>
            <w:vAlign w:val="top"/>
          </w:tcPr>
          <w:p>
            <w:pPr>
              <w:jc w:val="left"/>
            </w:pPr>
            <w:r>
              <w:rPr>
                <w:rFonts w:ascii="Calibri" w:cs="Calibri" w:eastAsia="Calibri" w:hAnsi="Calibri"/>
                <w:b w:val="false"/>
                <w:bCs w:val="false"/>
                <w:i/>
                <w:iCs/>
                <w:color w:val="000000"/>
                <w:sz w:val="20"/>
                <w:szCs w:val="20"/>
              </w:rPr>
              <w:t xml:space="preserve">After 'Submit' nothing visible happens for 6 seconds; users tap repeatedly and double-register.</w:t>
            </w:r>
          </w:p>
        </w:tc>
      </w:tr>
      <w:tr>
        <w:tc>
          <w:tcPr>
            <w:tcW w:type="dxa" w:w="1100"/>
            <w:tcBorders>
              <w:top w:val="single" w:color="BFBFBF" w:sz="4"/>
              <w:left w:val="single" w:color="BFBFBF" w:sz="4"/>
              <w:bottom w:val="single" w:color="BFBFBF" w:sz="4"/>
              <w:right w:val="single" w:color="BFBFBF" w:sz="4"/>
            </w:tcBorders>
            <w:shd w:fill="FBE5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28"/>
                <w:szCs w:val="28"/>
              </w:rPr>
              <w:t xml:space="preserve">4</w:t>
            </w:r>
          </w:p>
        </w:tc>
        <w:tc>
          <w:tcPr>
            <w:tcW w:type="dxa" w:w="2400"/>
            <w:tcBorders>
              <w:top w:val="single" w:color="BFBFBF" w:sz="4"/>
              <w:left w:val="single" w:color="BFBFBF" w:sz="4"/>
              <w:bottom w:val="single" w:color="BFBFBF" w:sz="4"/>
              <w:right w:val="single" w:color="BFBFBF" w:sz="4"/>
            </w:tcBorders>
            <w:shd w:fill="FBE5E5"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Usability catastrophe</w:t>
            </w:r>
          </w:p>
        </w:tc>
        <w:tc>
          <w:tcPr>
            <w:tcW w:type="dxa" w:w="3000"/>
            <w:tcBorders>
              <w:top w:val="single" w:color="BFBFBF" w:sz="4"/>
              <w:left w:val="single" w:color="BFBFBF" w:sz="4"/>
              <w:bottom w:val="single" w:color="BFBFBF" w:sz="4"/>
              <w:right w:val="single" w:color="BFBFBF" w:sz="4"/>
            </w:tcBorders>
            <w:shd w:fill="FBE5E5"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Imperative to fix before release. Blocks task completion or causes data loss.</w:t>
            </w:r>
          </w:p>
        </w:tc>
        <w:tc>
          <w:tcPr>
            <w:tcW w:type="dxa" w:w="2860"/>
            <w:tcBorders>
              <w:top w:val="single" w:color="BFBFBF" w:sz="4"/>
              <w:left w:val="single" w:color="BFBFBF" w:sz="4"/>
              <w:bottom w:val="single" w:color="BFBFBF" w:sz="4"/>
              <w:right w:val="single" w:color="BFBFBF" w:sz="4"/>
            </w:tcBorders>
            <w:shd w:fill="FBE5E5" w:val="clear"/>
            <w:tcMar>
              <w:top w:type="dxa" w:w="100"/>
              <w:left w:type="dxa" w:w="140"/>
              <w:bottom w:type="dxa" w:w="100"/>
              <w:right w:type="dxa" w:w="140"/>
            </w:tcMar>
            <w:vAlign w:val="top"/>
          </w:tcPr>
          <w:p>
            <w:pPr>
              <w:jc w:val="left"/>
            </w:pPr>
            <w:r>
              <w:rPr>
                <w:rFonts w:ascii="Calibri" w:cs="Calibri" w:eastAsia="Calibri" w:hAnsi="Calibri"/>
                <w:b w:val="false"/>
                <w:bCs w:val="false"/>
                <w:i/>
                <w:iCs/>
                <w:color w:val="000000"/>
                <w:sz w:val="20"/>
                <w:szCs w:val="20"/>
              </w:rPr>
              <w:t xml:space="preserve">Submitting the form silently deletes the user's saved progress with no recovery path.</w:t>
            </w:r>
          </w:p>
        </w:tc>
      </w:tr>
    </w:tbl>
    <w:p>
      <w:pPr>
        <w:pStyle w:val="Heading2"/>
        <w:spacing w:after="140" w:before="200"/>
      </w:pPr>
      <w:r>
        <w:rPr>
          <w:rFonts w:ascii="Georgia" w:cs="Georgia" w:eastAsia="Georgia" w:hAnsi="Georgia"/>
          <w:b/>
          <w:bCs/>
          <w:color w:val="2C5F7C"/>
          <w:sz w:val="28"/>
          <w:szCs w:val="28"/>
        </w:rPr>
        <w:t xml:space="preserve">How to justify a rating: the three sub-factors</w:t>
      </w:r>
    </w:p>
    <w:p>
      <w:pPr>
        <w:spacing w:after="240"/>
        <w:jc w:val="left"/>
      </w:pPr>
      <w:r>
        <w:rPr>
          <w:rFonts w:ascii="Calibri" w:cs="Calibri" w:eastAsia="Calibri" w:hAnsi="Calibri"/>
          <w:b w:val="false"/>
          <w:bCs w:val="false"/>
          <w:i/>
          <w:iCs/>
          <w:color w:val="000000"/>
          <w:sz w:val="22"/>
          <w:szCs w:val="22"/>
        </w:rPr>
        <w:t xml:space="preserve">A severity rating is a judgement, but it must be defensible. Argue from these three factors. A '3' or '4' generally requires at least two of them to be at the high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380"/>
        <w:gridCol w:w="2380"/>
      </w:tblGrid>
      <w:tr>
        <w:trPr>
          <w:tblHeader/>
        </w:trPr>
        <w:tc>
          <w:tcPr>
            <w:tcW w:type="dxa" w:w="160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Factor</w:t>
            </w:r>
          </w:p>
        </w:tc>
        <w:tc>
          <w:tcPr>
            <w:tcW w:type="dxa" w:w="300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Question to ask</w:t>
            </w:r>
          </w:p>
        </w:tc>
        <w:tc>
          <w:tcPr>
            <w:tcW w:type="dxa" w:w="238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Low end</w:t>
            </w:r>
          </w:p>
        </w:tc>
        <w:tc>
          <w:tcPr>
            <w:tcW w:type="dxa" w:w="238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High end</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Frequency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How often does the user run into this problem during the task?</w:t>
            </w:r>
          </w:p>
        </w:tc>
        <w:tc>
          <w:tcPr>
            <w:tcW w:type="dxa" w:w="2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Rare, once in many sessions.</w:t>
            </w:r>
          </w:p>
        </w:tc>
        <w:tc>
          <w:tcPr>
            <w:tcW w:type="dxa" w:w="2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Frequent, every time the task is performed.</w:t>
            </w:r>
          </w:p>
        </w:tc>
      </w:tr>
      <w:tr>
        <w:tc>
          <w:tcPr>
            <w:tcW w:type="dxa" w:w="160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Impact</w:t>
            </w:r>
          </w:p>
        </w:tc>
        <w:tc>
          <w:tcPr>
            <w:tcW w:type="dxa" w:w="300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When the problem occurs, how badly does it affect the user?</w:t>
            </w:r>
          </w:p>
        </w:tc>
        <w:tc>
          <w:tcPr>
            <w:tcW w:type="dxa" w:w="238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Minor, a moment of irritation.</w:t>
            </w:r>
          </w:p>
        </w:tc>
        <w:tc>
          <w:tcPr>
            <w:tcW w:type="dxa" w:w="238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Major, task abandoned, wrong outcome, or data lost.</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Persistence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Once the user has hit it, do they learn around it or does it keep biting?</w:t>
            </w:r>
          </w:p>
        </w:tc>
        <w:tc>
          <w:tcPr>
            <w:tcW w:type="dxa" w:w="2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Easy to overcome after first encounter.</w:t>
            </w:r>
          </w:p>
        </w:tc>
        <w:tc>
          <w:tcPr>
            <w:tcW w:type="dxa" w:w="2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Persists; users keep tripping over it.</w:t>
            </w:r>
          </w:p>
        </w:tc>
      </w:tr>
    </w:tbl>
    <w:p>
      <w:r>
        <w:br w:type="page"/>
      </w:r>
    </w:p>
    <w:p>
      <w:pPr>
        <w:pStyle w:val="Heading1"/>
        <w:spacing w:after="180" w:before="240"/>
      </w:pPr>
      <w:r>
        <w:rPr>
          <w:rFonts w:ascii="Georgia" w:cs="Georgia" w:eastAsia="Georgia" w:hAnsi="Georgia"/>
          <w:b/>
          <w:bCs/>
          <w:color w:val="2C5F7C"/>
          <w:sz w:val="36"/>
          <w:szCs w:val="36"/>
        </w:rPr>
        <w:t xml:space="preserve">Template 4: Persona template</w:t>
      </w:r>
    </w:p>
    <w:p>
      <w:pPr>
        <w:spacing w:after="120"/>
        <w:jc w:val="left"/>
      </w:pPr>
      <w:r>
        <w:rPr>
          <w:rFonts w:ascii="Calibri" w:cs="Calibri" w:eastAsia="Calibri" w:hAnsi="Calibri"/>
          <w:b w:val="false"/>
          <w:bCs w:val="false"/>
          <w:i w:val="false"/>
          <w:iCs w:val="false"/>
          <w:color w:val="000000"/>
          <w:sz w:val="22"/>
          <w:szCs w:val="22"/>
        </w:rPr>
        <w:t xml:space="preserve">A persona is a portrait of a real user pattern, grounded in interview data, not invention. You need two personas. Print at least two copies of this template.</w:t>
      </w:r>
    </w:p>
    <w:p>
      <w:pPr>
        <w:spacing w:after="240"/>
        <w:jc w:val="left"/>
      </w:pPr>
      <w:r>
        <w:rPr>
          <w:rFonts w:ascii="Calibri" w:cs="Calibri" w:eastAsia="Calibri" w:hAnsi="Calibri"/>
          <w:b w:val="false"/>
          <w:bCs w:val="false"/>
          <w:i/>
          <w:iCs/>
          <w:color w:val="000000"/>
          <w:sz w:val="22"/>
          <w:szCs w:val="22"/>
        </w:rPr>
        <w:t xml:space="preserve">If a field has no evidence behind it, leave it blank rather than make it up. Cite which interview participants each field draws on (P1, P2, etc.) in the 'Evidence trail' field at the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Your persona (fill 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Persona name</w:t>
            </w:r>
          </w:p>
          <w:p>
            <w:r>
              <w:rPr>
                <w:rFonts w:ascii="Calibri" w:cs="Calibri" w:eastAsia="Calibri" w:hAnsi="Calibri"/>
                <w:i/>
                <w:iCs/>
                <w:color w:val="555555"/>
                <w:sz w:val="18"/>
                <w:szCs w:val="18"/>
              </w:rPr>
              <w:t xml:space="preserve">(give them a plausible name; do NOT use a real participant's name)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 </w:t>
            </w:r>
          </w:p>
          <w:p>
            <w:r>
              <w:rPr>
                <w:rFonts w:ascii="Calibri" w:cs="Calibri" w:eastAsia="Calibri" w:hAnsi="Calibri"/>
                <w:sz w:val="22"/>
                <w:szCs w:val="22"/>
              </w:rPr>
              <w:t xml:space="preserve"> </w:t>
            </w:r>
          </w:p>
          <w:p>
            <w:r>
              <w:rPr>
                <w:rFonts w:ascii="Calibri" w:cs="Calibri" w:eastAsia="Calibri" w:hAnsi="Calibri"/>
                <w:sz w:val="22"/>
                <w:szCs w:val="22"/>
              </w:rPr>
              <w:t xml:space="preserve"> </w:t>
            </w:r>
          </w:p>
        </w:tc>
      </w:tr>
      <w:tr>
        <w:tc>
          <w:tcPr>
            <w:tcW w:type="dxa" w:w="240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tcPr>
          <w:p>
            <w:r>
              <w:rPr>
                <w:rFonts w:ascii="Calibri" w:cs="Calibri" w:eastAsia="Calibri" w:hAnsi="Calibri"/>
                <w:b/>
                <w:bCs/>
                <w:sz w:val="22"/>
                <w:szCs w:val="22"/>
              </w:rPr>
              <w:t xml:space="preserve">Photo or sketch</w:t>
            </w:r>
          </w:p>
          <w:p>
            <w:r>
              <w:rPr>
                <w:rFonts w:ascii="Calibri" w:cs="Calibri" w:eastAsia="Calibri" w:hAnsi="Calibri"/>
                <w:i/>
                <w:iCs/>
                <w:color w:val="555555"/>
                <w:sz w:val="18"/>
                <w:szCs w:val="18"/>
              </w:rPr>
              <w:t xml:space="preserve">(insert a stock photo or a hand-drawn sketch in the box on the right)</w:t>
            </w:r>
          </w:p>
        </w:tc>
        <w:tc>
          <w:tcPr>
            <w:tcW w:type="dxa" w:w="696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tcPr>
          <w:p>
            <w:r>
              <w:rPr>
                <w:rFonts w:ascii="Calibri" w:cs="Calibri" w:eastAsia="Calibri" w:hAnsi="Calibri"/>
                <w:sz w:val="22"/>
                <w:szCs w:val="22"/>
              </w:rPr>
              <w:t xml:space="preserve"> </w:t>
            </w:r>
          </w:p>
          <w:p>
            <w:r>
              <w:rPr>
                <w:rFonts w:ascii="Calibri" w:cs="Calibri" w:eastAsia="Calibri" w:hAnsi="Calibri"/>
                <w:sz w:val="22"/>
                <w:szCs w:val="22"/>
              </w:rPr>
              <w:t xml:space="preserve"> </w:t>
            </w:r>
          </w:p>
          <w:p>
            <w:r>
              <w:rPr>
                <w:rFonts w:ascii="Calibri" w:cs="Calibri" w:eastAsia="Calibri" w:hAnsi="Calibri"/>
                <w:sz w:val="22"/>
                <w:szCs w:val="22"/>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One-line headline</w:t>
            </w:r>
          </w:p>
          <w:p>
            <w:r>
              <w:rPr>
                <w:rFonts w:ascii="Calibri" w:cs="Calibri" w:eastAsia="Calibri" w:hAnsi="Calibri"/>
                <w:i/>
                <w:iCs/>
                <w:color w:val="555555"/>
                <w:sz w:val="18"/>
                <w:szCs w:val="18"/>
              </w:rPr>
              <w:t xml:space="preserve">(the single sentence you'd put on the wall to summarise this persona)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 </w:t>
            </w:r>
          </w:p>
          <w:p>
            <w:r>
              <w:rPr>
                <w:rFonts w:ascii="Calibri" w:cs="Calibri" w:eastAsia="Calibri" w:hAnsi="Calibri"/>
                <w:sz w:val="22"/>
                <w:szCs w:val="22"/>
              </w:rPr>
              <w:t xml:space="preserve"> </w:t>
            </w:r>
          </w:p>
          <w:p>
            <w:r>
              <w:rPr>
                <w:rFonts w:ascii="Calibri" w:cs="Calibri" w:eastAsia="Calibri" w:hAnsi="Calibri"/>
                <w:sz w:val="22"/>
                <w:szCs w:val="22"/>
              </w:rPr>
              <w:t xml:space="preserve"> </w:t>
            </w:r>
          </w:p>
        </w:tc>
      </w:tr>
      <w:tr>
        <w:tc>
          <w:tcPr>
            <w:tcW w:type="dxa" w:w="240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tcPr>
          <w:p>
            <w:r>
              <w:rPr>
                <w:rFonts w:ascii="Calibri" w:cs="Calibri" w:eastAsia="Calibri" w:hAnsi="Calibri"/>
                <w:b/>
                <w:bCs/>
                <w:sz w:val="22"/>
                <w:szCs w:val="22"/>
              </w:rPr>
              <w:t xml:space="preserve">Demographics</w:t>
            </w:r>
          </w:p>
          <w:p>
            <w:r>
              <w:rPr>
                <w:rFonts w:ascii="Calibri" w:cs="Calibri" w:eastAsia="Calibri" w:hAnsi="Calibri"/>
                <w:i/>
                <w:iCs/>
                <w:color w:val="555555"/>
                <w:sz w:val="18"/>
                <w:szCs w:val="18"/>
              </w:rPr>
              <w:t xml:space="preserve">(age, year, programme, location, language)</w:t>
            </w:r>
          </w:p>
        </w:tc>
        <w:tc>
          <w:tcPr>
            <w:tcW w:type="dxa" w:w="696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tcPr>
          <w:p>
            <w:r>
              <w:rPr>
                <w:rFonts w:ascii="Calibri" w:cs="Calibri" w:eastAsia="Calibri" w:hAnsi="Calibri"/>
                <w:sz w:val="22"/>
                <w:szCs w:val="22"/>
              </w:rPr>
              <w:t xml:space="preserve"> </w:t>
            </w:r>
          </w:p>
          <w:p>
            <w:r>
              <w:rPr>
                <w:rFonts w:ascii="Calibri" w:cs="Calibri" w:eastAsia="Calibri" w:hAnsi="Calibri"/>
                <w:sz w:val="22"/>
                <w:szCs w:val="22"/>
              </w:rPr>
              <w:t xml:space="preserve"> </w:t>
            </w:r>
          </w:p>
          <w:p>
            <w:r>
              <w:rPr>
                <w:rFonts w:ascii="Calibri" w:cs="Calibri" w:eastAsia="Calibri" w:hAnsi="Calibri"/>
                <w:sz w:val="22"/>
                <w:szCs w:val="22"/>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Tech literacy</w:t>
            </w:r>
          </w:p>
          <w:p>
            <w:r>
              <w:rPr>
                <w:rFonts w:ascii="Calibri" w:cs="Calibri" w:eastAsia="Calibri" w:hAnsi="Calibri"/>
                <w:i/>
                <w:iCs/>
                <w:color w:val="555555"/>
                <w:sz w:val="18"/>
                <w:szCs w:val="18"/>
              </w:rPr>
              <w:t xml:space="preserve">(comfort with apps, devices used, languages preferred)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 </w:t>
            </w:r>
          </w:p>
          <w:p>
            <w:r>
              <w:rPr>
                <w:rFonts w:ascii="Calibri" w:cs="Calibri" w:eastAsia="Calibri" w:hAnsi="Calibri"/>
                <w:sz w:val="22"/>
                <w:szCs w:val="22"/>
              </w:rPr>
              <w:t xml:space="preserve"> </w:t>
            </w:r>
          </w:p>
          <w:p>
            <w:r>
              <w:rPr>
                <w:rFonts w:ascii="Calibri" w:cs="Calibri" w:eastAsia="Calibri" w:hAnsi="Calibri"/>
                <w:sz w:val="22"/>
                <w:szCs w:val="22"/>
              </w:rPr>
              <w:t xml:space="preserve"> </w:t>
            </w:r>
          </w:p>
        </w:tc>
      </w:tr>
      <w:tr>
        <w:tc>
          <w:tcPr>
            <w:tcW w:type="dxa" w:w="240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tcPr>
          <w:p>
            <w:r>
              <w:rPr>
                <w:rFonts w:ascii="Calibri" w:cs="Calibri" w:eastAsia="Calibri" w:hAnsi="Calibri"/>
                <w:b/>
                <w:bCs/>
                <w:sz w:val="22"/>
                <w:szCs w:val="22"/>
              </w:rPr>
              <w:t xml:space="preserve">Goals (2-4)</w:t>
            </w:r>
          </w:p>
          <w:p>
            <w:r>
              <w:rPr>
                <w:rFonts w:ascii="Calibri" w:cs="Calibri" w:eastAsia="Calibri" w:hAnsi="Calibri"/>
                <w:i/>
                <w:iCs/>
                <w:color w:val="555555"/>
                <w:sz w:val="18"/>
                <w:szCs w:val="18"/>
              </w:rPr>
              <w:t xml:space="preserve">(what is this persona trying to achieve in your project's scope?)</w:t>
            </w:r>
          </w:p>
        </w:tc>
        <w:tc>
          <w:tcPr>
            <w:tcW w:type="dxa" w:w="696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tcPr>
          <w:p>
            <w:r>
              <w:rPr>
                <w:rFonts w:ascii="Calibri" w:cs="Calibri" w:eastAsia="Calibri" w:hAnsi="Calibri"/>
                <w:sz w:val="22"/>
                <w:szCs w:val="22"/>
              </w:rPr>
              <w:t xml:space="preserve"> </w:t>
            </w:r>
          </w:p>
          <w:p>
            <w:r>
              <w:rPr>
                <w:rFonts w:ascii="Calibri" w:cs="Calibri" w:eastAsia="Calibri" w:hAnsi="Calibri"/>
                <w:sz w:val="22"/>
                <w:szCs w:val="22"/>
              </w:rPr>
              <w:t xml:space="preserve"> </w:t>
            </w:r>
          </w:p>
          <w:p>
            <w:r>
              <w:rPr>
                <w:rFonts w:ascii="Calibri" w:cs="Calibri" w:eastAsia="Calibri" w:hAnsi="Calibri"/>
                <w:sz w:val="22"/>
                <w:szCs w:val="22"/>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Frustrations</w:t>
            </w:r>
          </w:p>
          <w:p>
            <w:r>
              <w:rPr>
                <w:rFonts w:ascii="Calibri" w:cs="Calibri" w:eastAsia="Calibri" w:hAnsi="Calibri"/>
                <w:i/>
                <w:iCs/>
                <w:color w:val="555555"/>
                <w:sz w:val="18"/>
                <w:szCs w:val="18"/>
              </w:rPr>
              <w:t xml:space="preserve">(what goes wrong for them with the current system? cite interviews: P1, P2, ...)</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 </w:t>
            </w:r>
          </w:p>
          <w:p>
            <w:r>
              <w:rPr>
                <w:rFonts w:ascii="Calibri" w:cs="Calibri" w:eastAsia="Calibri" w:hAnsi="Calibri"/>
                <w:sz w:val="22"/>
                <w:szCs w:val="22"/>
              </w:rPr>
              <w:t xml:space="preserve"> </w:t>
            </w:r>
          </w:p>
          <w:p>
            <w:r>
              <w:rPr>
                <w:rFonts w:ascii="Calibri" w:cs="Calibri" w:eastAsia="Calibri" w:hAnsi="Calibri"/>
                <w:sz w:val="22"/>
                <w:szCs w:val="22"/>
              </w:rPr>
              <w:t xml:space="preserve"> </w:t>
            </w:r>
          </w:p>
        </w:tc>
      </w:tr>
      <w:tr>
        <w:tc>
          <w:tcPr>
            <w:tcW w:type="dxa" w:w="240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tcPr>
          <w:p>
            <w:r>
              <w:rPr>
                <w:rFonts w:ascii="Calibri" w:cs="Calibri" w:eastAsia="Calibri" w:hAnsi="Calibri"/>
                <w:b/>
                <w:bCs/>
                <w:sz w:val="22"/>
                <w:szCs w:val="22"/>
              </w:rPr>
              <w:t xml:space="preserve">Context of use</w:t>
            </w:r>
          </w:p>
          <w:p>
            <w:r>
              <w:rPr>
                <w:rFonts w:ascii="Calibri" w:cs="Calibri" w:eastAsia="Calibri" w:hAnsi="Calibri"/>
                <w:i/>
                <w:iCs/>
                <w:color w:val="555555"/>
                <w:sz w:val="18"/>
                <w:szCs w:val="18"/>
              </w:rPr>
              <w:t xml:space="preserve">(where, when, on what device? with whom?)</w:t>
            </w:r>
          </w:p>
        </w:tc>
        <w:tc>
          <w:tcPr>
            <w:tcW w:type="dxa" w:w="696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tcPr>
          <w:p>
            <w:r>
              <w:rPr>
                <w:rFonts w:ascii="Calibri" w:cs="Calibri" w:eastAsia="Calibri" w:hAnsi="Calibri"/>
                <w:sz w:val="22"/>
                <w:szCs w:val="22"/>
              </w:rPr>
              <w:t xml:space="preserve"> </w:t>
            </w:r>
          </w:p>
          <w:p>
            <w:r>
              <w:rPr>
                <w:rFonts w:ascii="Calibri" w:cs="Calibri" w:eastAsia="Calibri" w:hAnsi="Calibri"/>
                <w:sz w:val="22"/>
                <w:szCs w:val="22"/>
              </w:rPr>
              <w:t xml:space="preserve"> </w:t>
            </w:r>
          </w:p>
          <w:p>
            <w:r>
              <w:rPr>
                <w:rFonts w:ascii="Calibri" w:cs="Calibri" w:eastAsia="Calibri" w:hAnsi="Calibri"/>
                <w:sz w:val="22"/>
                <w:szCs w:val="22"/>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Representative quote</w:t>
            </w:r>
          </w:p>
          <w:p>
            <w:r>
              <w:rPr>
                <w:rFonts w:ascii="Calibri" w:cs="Calibri" w:eastAsia="Calibri" w:hAnsi="Calibri"/>
                <w:i/>
                <w:iCs/>
                <w:color w:val="555555"/>
                <w:sz w:val="18"/>
                <w:szCs w:val="18"/>
              </w:rPr>
              <w:t xml:space="preserve">(a direct quote from one interview that captures this persona)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 </w:t>
            </w:r>
          </w:p>
          <w:p>
            <w:r>
              <w:rPr>
                <w:rFonts w:ascii="Calibri" w:cs="Calibri" w:eastAsia="Calibri" w:hAnsi="Calibri"/>
                <w:sz w:val="22"/>
                <w:szCs w:val="22"/>
              </w:rPr>
              <w:t xml:space="preserve"> </w:t>
            </w:r>
          </w:p>
          <w:p>
            <w:r>
              <w:rPr>
                <w:rFonts w:ascii="Calibri" w:cs="Calibri" w:eastAsia="Calibri" w:hAnsi="Calibri"/>
                <w:sz w:val="22"/>
                <w:szCs w:val="22"/>
              </w:rPr>
              <w:t xml:space="preserve"> </w:t>
            </w:r>
          </w:p>
        </w:tc>
      </w:tr>
      <w:tr>
        <w:tc>
          <w:tcPr>
            <w:tcW w:type="dxa" w:w="240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tcPr>
          <w:p>
            <w:r>
              <w:rPr>
                <w:rFonts w:ascii="Calibri" w:cs="Calibri" w:eastAsia="Calibri" w:hAnsi="Calibri"/>
                <w:b/>
                <w:bCs/>
                <w:sz w:val="22"/>
                <w:szCs w:val="22"/>
              </w:rPr>
              <w:t xml:space="preserve">Evidence trail</w:t>
            </w:r>
          </w:p>
          <w:p>
            <w:r>
              <w:rPr>
                <w:rFonts w:ascii="Calibri" w:cs="Calibri" w:eastAsia="Calibri" w:hAnsi="Calibri"/>
                <w:i/>
                <w:iCs/>
                <w:color w:val="555555"/>
                <w:sz w:val="18"/>
                <w:szCs w:val="18"/>
              </w:rPr>
              <w:t xml:space="preserve">(which interview participants this persona is built from)</w:t>
            </w:r>
          </w:p>
        </w:tc>
        <w:tc>
          <w:tcPr>
            <w:tcW w:type="dxa" w:w="6960"/>
            <w:tcBorders>
              <w:top w:val="single" w:color="BFBFBF" w:sz="4"/>
              <w:left w:val="single" w:color="BFBFBF" w:sz="4"/>
              <w:bottom w:val="single" w:color="BFBFBF" w:sz="4"/>
              <w:right w:val="single" w:color="BFBFBF" w:sz="4"/>
            </w:tcBorders>
            <w:shd w:fill="EAF1F5" w:val="clear"/>
            <w:tcMar>
              <w:top w:type="dxa" w:w="100"/>
              <w:left w:type="dxa" w:w="140"/>
              <w:bottom w:type="dxa" w:w="100"/>
              <w:right w:type="dxa" w:w="140"/>
            </w:tcMar>
          </w:tcPr>
          <w:p>
            <w:r>
              <w:rPr>
                <w:rFonts w:ascii="Calibri" w:cs="Calibri" w:eastAsia="Calibri" w:hAnsi="Calibri"/>
                <w:sz w:val="22"/>
                <w:szCs w:val="22"/>
              </w:rPr>
              <w:t xml:space="preserve"> </w:t>
            </w:r>
          </w:p>
          <w:p>
            <w:r>
              <w:rPr>
                <w:rFonts w:ascii="Calibri" w:cs="Calibri" w:eastAsia="Calibri" w:hAnsi="Calibri"/>
                <w:sz w:val="22"/>
                <w:szCs w:val="22"/>
              </w:rPr>
              <w:t xml:space="preserve"> </w:t>
            </w:r>
          </w:p>
          <w:p>
            <w:r>
              <w:rPr>
                <w:rFonts w:ascii="Calibri" w:cs="Calibri" w:eastAsia="Calibri" w:hAnsi="Calibri"/>
                <w:sz w:val="22"/>
                <w:szCs w:val="22"/>
              </w:rPr>
              <w:t xml:space="preserve"> </w:t>
            </w:r>
          </w:p>
        </w:tc>
      </w:tr>
    </w:tbl>
    <w:p>
      <w:r>
        <w:br w:type="page"/>
      </w:r>
    </w:p>
    <w:p>
      <w:pPr>
        <w:pStyle w:val="Heading2"/>
        <w:spacing w:after="140" w:before="200"/>
      </w:pPr>
      <w:r>
        <w:rPr>
          <w:rFonts w:ascii="Georgia" w:cs="Georgia" w:eastAsia="Georgia" w:hAnsi="Georgia"/>
          <w:b/>
          <w:bCs/>
          <w:color w:val="2C5F7C"/>
          <w:sz w:val="28"/>
          <w:szCs w:val="28"/>
        </w:rPr>
        <w:t xml:space="preserve">Worked example: 'Lina' (for reference only, do not copy)</w:t>
      </w:r>
    </w:p>
    <w:p>
      <w:pPr>
        <w:spacing w:after="240"/>
        <w:jc w:val="left"/>
      </w:pPr>
      <w:r>
        <w:rPr>
          <w:rFonts w:ascii="Calibri" w:cs="Calibri" w:eastAsia="Calibri" w:hAnsi="Calibri"/>
          <w:b w:val="false"/>
          <w:bCs w:val="false"/>
          <w:i/>
          <w:iCs/>
          <w:color w:val="555555"/>
          <w:sz w:val="20"/>
          <w:szCs w:val="20"/>
        </w:rPr>
        <w:t xml:space="preserve">This is what a fully-filled persona looks like for a hypothetical Ritaj registration team. Notice every field cites interviews; nothing is invented.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2C5F7C"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Worked example: 'Lina, second-year CS student' (Ritaj registration)</w:t>
            </w:r>
          </w:p>
        </w:tc>
      </w:tr>
      <w:tr>
        <w:tc>
          <w:tcPr>
            <w:tcW w:type="dxa" w:w="2400"/>
            <w:tcBorders>
              <w:top w:val="single" w:color="BFBFBF" w:sz="4"/>
              <w:left w:val="single" w:color="BFBFBF" w:sz="4"/>
              <w:bottom w:val="single" w:color="BFBFBF" w:sz="4"/>
              <w:right w:val="single" w:color="BFBFBF" w:sz="4"/>
            </w:tcBorders>
            <w:shd w:fill="F5FBF6"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Persona name</w:t>
            </w:r>
          </w:p>
        </w:tc>
        <w:tc>
          <w:tcPr>
            <w:tcW w:type="dxa" w:w="6960"/>
            <w:tcBorders>
              <w:top w:val="single" w:color="BFBFBF" w:sz="4"/>
              <w:left w:val="single" w:color="BFBFBF" w:sz="4"/>
              <w:bottom w:val="single" w:color="BFBFBF" w:sz="4"/>
              <w:right w:val="single" w:color="BFBFBF" w:sz="4"/>
            </w:tcBorders>
            <w:shd w:fill="F5FBF6"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Lina Khoury</w:t>
            </w:r>
          </w:p>
        </w:tc>
      </w:tr>
      <w:tr>
        <w:tc>
          <w:tcPr>
            <w:tcW w:type="dxa" w:w="240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Photo or sketch</w:t>
            </w:r>
          </w:p>
        </w:tc>
        <w:tc>
          <w:tcPr>
            <w:tcW w:type="dxa" w:w="696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(stock photo of a young woman with a backpack on a campus path)</w:t>
            </w:r>
          </w:p>
        </w:tc>
      </w:tr>
      <w:tr>
        <w:tc>
          <w:tcPr>
            <w:tcW w:type="dxa" w:w="2400"/>
            <w:tcBorders>
              <w:top w:val="single" w:color="BFBFBF" w:sz="4"/>
              <w:left w:val="single" w:color="BFBFBF" w:sz="4"/>
              <w:bottom w:val="single" w:color="BFBFBF" w:sz="4"/>
              <w:right w:val="single" w:color="BFBFBF" w:sz="4"/>
            </w:tcBorders>
            <w:shd w:fill="F5FBF6"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One-line headline</w:t>
            </w:r>
          </w:p>
        </w:tc>
        <w:tc>
          <w:tcPr>
            <w:tcW w:type="dxa" w:w="6960"/>
            <w:tcBorders>
              <w:top w:val="single" w:color="BFBFBF" w:sz="4"/>
              <w:left w:val="single" w:color="BFBFBF" w:sz="4"/>
              <w:bottom w:val="single" w:color="BFBFBF" w:sz="4"/>
              <w:right w:val="single" w:color="BFBFBF" w:sz="4"/>
            </w:tcBorders>
            <w:shd w:fill="F5FBF6"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'Second-year CS student who registers on her phone between classes.'</w:t>
            </w:r>
          </w:p>
        </w:tc>
      </w:tr>
      <w:tr>
        <w:tc>
          <w:tcPr>
            <w:tcW w:type="dxa" w:w="240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Demographics</w:t>
            </w:r>
          </w:p>
        </w:tc>
        <w:tc>
          <w:tcPr>
            <w:tcW w:type="dxa" w:w="696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Age 19; second year, BSc Computer Science; lives off-campus, 45-minute commute.</w:t>
            </w:r>
          </w:p>
        </w:tc>
      </w:tr>
      <w:tr>
        <w:tc>
          <w:tcPr>
            <w:tcW w:type="dxa" w:w="2400"/>
            <w:tcBorders>
              <w:top w:val="single" w:color="BFBFBF" w:sz="4"/>
              <w:left w:val="single" w:color="BFBFBF" w:sz="4"/>
              <w:bottom w:val="single" w:color="BFBFBF" w:sz="4"/>
              <w:right w:val="single" w:color="BFBFBF" w:sz="4"/>
            </w:tcBorders>
            <w:shd w:fill="F5FBF6"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Tech literacy</w:t>
            </w:r>
          </w:p>
        </w:tc>
        <w:tc>
          <w:tcPr>
            <w:tcW w:type="dxa" w:w="6960"/>
            <w:tcBorders>
              <w:top w:val="single" w:color="BFBFBF" w:sz="4"/>
              <w:left w:val="single" w:color="BFBFBF" w:sz="4"/>
              <w:bottom w:val="single" w:color="BFBFBF" w:sz="4"/>
              <w:right w:val="single" w:color="BFBFBF" w:sz="4"/>
            </w:tcBorders>
            <w:shd w:fill="F5FBF6"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High comfort with apps; uses Android phone primarily; reads English and Arabic; prefers Arabic interfaces when available.</w:t>
            </w:r>
          </w:p>
        </w:tc>
      </w:tr>
      <w:tr>
        <w:tc>
          <w:tcPr>
            <w:tcW w:type="dxa" w:w="240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Goals (2-4)</w:t>
            </w:r>
          </w:p>
        </w:tc>
        <w:tc>
          <w:tcPr>
            <w:tcW w:type="dxa" w:w="696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Register for required courses without conflicts; finish registration in under 10 minutes between classes; get a confirmation she can show her advisor.</w:t>
            </w:r>
          </w:p>
        </w:tc>
      </w:tr>
      <w:tr>
        <w:tc>
          <w:tcPr>
            <w:tcW w:type="dxa" w:w="2400"/>
            <w:tcBorders>
              <w:top w:val="single" w:color="BFBFBF" w:sz="4"/>
              <w:left w:val="single" w:color="BFBFBF" w:sz="4"/>
              <w:bottom w:val="single" w:color="BFBFBF" w:sz="4"/>
              <w:right w:val="single" w:color="BFBFBF" w:sz="4"/>
            </w:tcBorders>
            <w:shd w:fill="F5FBF6"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Frustrations</w:t>
            </w:r>
          </w:p>
        </w:tc>
        <w:tc>
          <w:tcPr>
            <w:tcW w:type="dxa" w:w="6960"/>
            <w:tcBorders>
              <w:top w:val="single" w:color="BFBFBF" w:sz="4"/>
              <w:left w:val="single" w:color="BFBFBF" w:sz="4"/>
              <w:bottom w:val="single" w:color="BFBFBF" w:sz="4"/>
              <w:right w:val="single" w:color="BFBFBF" w:sz="4"/>
            </w:tcBorders>
            <w:shd w:fill="F5FBF6"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Times out on slow campus Wi-Fi (P2, P3); finds the timetable hard to read on mobile (P1, P3); gets vague error messages when a course is full (P2).</w:t>
            </w:r>
          </w:p>
        </w:tc>
      </w:tr>
      <w:tr>
        <w:tc>
          <w:tcPr>
            <w:tcW w:type="dxa" w:w="240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Context of use</w:t>
            </w:r>
          </w:p>
        </w:tc>
        <w:tc>
          <w:tcPr>
            <w:tcW w:type="dxa" w:w="696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Mid-morning between classes; on her phone; sometimes asks her cousin (a senior student) for advice via WhatsApp.</w:t>
            </w:r>
          </w:p>
        </w:tc>
      </w:tr>
      <w:tr>
        <w:tc>
          <w:tcPr>
            <w:tcW w:type="dxa" w:w="2400"/>
            <w:tcBorders>
              <w:top w:val="single" w:color="BFBFBF" w:sz="4"/>
              <w:left w:val="single" w:color="BFBFBF" w:sz="4"/>
              <w:bottom w:val="single" w:color="BFBFBF" w:sz="4"/>
              <w:right w:val="single" w:color="BFBFBF" w:sz="4"/>
            </w:tcBorders>
            <w:shd w:fill="F5FBF6"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Representative quote</w:t>
            </w:r>
          </w:p>
        </w:tc>
        <w:tc>
          <w:tcPr>
            <w:tcW w:type="dxa" w:w="6960"/>
            <w:tcBorders>
              <w:top w:val="single" w:color="BFBFBF" w:sz="4"/>
              <w:left w:val="single" w:color="BFBFBF" w:sz="4"/>
              <w:bottom w:val="single" w:color="BFBFBF" w:sz="4"/>
              <w:right w:val="single" w:color="BFBFBF" w:sz="4"/>
            </w:tcBorders>
            <w:shd w:fill="F5FBF6"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'I just want to know quickly if a course is full or not. I don’t want to click into every section.'  (P1)</w:t>
            </w:r>
          </w:p>
        </w:tc>
      </w:tr>
      <w:tr>
        <w:tc>
          <w:tcPr>
            <w:tcW w:type="dxa" w:w="240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left"/>
            </w:pPr>
            <w:r>
              <w:rPr>
                <w:rFonts w:ascii="Calibri" w:cs="Calibri" w:eastAsia="Calibri" w:hAnsi="Calibri"/>
                <w:b/>
                <w:bCs/>
                <w:i w:val="false"/>
                <w:iCs w:val="false"/>
                <w:color w:val="000000"/>
                <w:sz w:val="20"/>
                <w:szCs w:val="20"/>
              </w:rPr>
              <w:t xml:space="preserve">Evidence trail</w:t>
            </w:r>
          </w:p>
        </w:tc>
        <w:tc>
          <w:tcPr>
            <w:tcW w:type="dxa" w:w="6960"/>
            <w:tcBorders>
              <w:top w:val="single" w:color="BFBFBF" w:sz="4"/>
              <w:left w:val="single" w:color="BFBFBF" w:sz="4"/>
              <w:bottom w:val="single" w:color="BFBFBF" w:sz="4"/>
              <w:right w:val="single" w:color="BFBFBF" w:sz="4"/>
            </w:tcBorders>
            <w:shd w:fill="E6F4EA"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000000"/>
                <w:sz w:val="20"/>
                <w:szCs w:val="20"/>
              </w:rPr>
              <w:t xml:space="preserve">P1, P2, P3 (three out of four interviews).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0"/>
      <w:jc w:val="left"/>
    </w:pPr>
    <w:r>
      <w:rPr>
        <w:rFonts w:ascii="Calibri" w:cs="Calibri" w:eastAsia="Calibri" w:hAnsi="Calibri"/>
        <w:color w:val="555555"/>
        <w:sz w:val="18"/>
        <w:szCs w:val="18"/>
      </w:rPr>
      <w:t xml:space="preserve">COMP322 Phase 1 templates</w:t>
    </w:r>
    <w:r>
      <w:rPr>
        <w:sz w:val="18"/>
        <w:szCs w:val="18"/>
      </w:rPr>
      <w:t xml:space="preserve">	</w:t>
    </w:r>
    <w:r>
      <w:rPr>
        <w:rFonts w:ascii="Calibri" w:cs="Calibri" w:eastAsia="Calibri" w:hAnsi="Calibri"/>
        <w:color w:val="555555"/>
        <w:sz w:val="18"/>
        <w:szCs w:val="18"/>
      </w:rPr>
      <w:t xml:space="preserve">Birzeit University  |  Dr Hisham Ihshaish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2C5F7C"/>
      <w:sz w:val="36"/>
      <w:szCs w:val="36"/>
    </w:rPr>
  </w:style>
  <w:style w:type="paragraph" w:styleId="Heading2">
    <w:name w:val="Heading 2"/>
    <w:basedOn w:val="Normal"/>
    <w:next w:val="Normal"/>
    <w:qFormat/>
    <w:pPr>
      <w:spacing w:after="140" w:before="240"/>
      <w:outlineLvl w:val="1"/>
    </w:pPr>
    <w:rPr>
      <w:rFonts w:ascii="Georgia" w:cs="Georgia" w:eastAsia="Georgia" w:hAnsi="Georgia"/>
      <w:b/>
      <w:bCs/>
      <w:color w:val="2C5F7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COMP322 Phase 1 supporting templates</dc:title>
  <dc:creator>Dr Hisham Ihshaish</dc:creator>
  <dc:description>Heuristics quick-reference, evaluation log, severity rating reference, persona template</dc:description>
  <cp:lastModifiedBy>Un-named</cp:lastModifiedBy>
  <cp:revision>1</cp:revision>
  <dcterms:created xsi:type="dcterms:W3CDTF">2026-05-05T21:37:48.913Z</dcterms:created>
  <dcterms:modified xsi:type="dcterms:W3CDTF">2026-05-05T21:37:48.913Z</dcterms:modified>
</cp:coreProperties>
</file>

<file path=docProps/custom.xml><?xml version="1.0" encoding="utf-8"?>
<Properties xmlns="http://schemas.openxmlformats.org/officeDocument/2006/custom-properties" xmlns:vt="http://schemas.openxmlformats.org/officeDocument/2006/docPropsVTypes"/>
</file>