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三大法人個股指標化分析架構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本文件定義一套將三大法人（外資、投信、自營商）交易行為量化為指標的完整邏輯，並針對不同市值規模的個股提供動態權重配置建議，以輔助程式化交易或量化分析。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三大法人個別指標化邏輯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針對不同法人的資金特性，建立對應的量化指標：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外資 (Foreign Investors) — 主導權指標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指標名稱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量化公式 / 邏輯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分析意義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外資買超力道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(外資買賣超張數 / 成交量) * 100%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大於 15% 代表外資具備當日定價權。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外資持股佔比位階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(當前持股% - N日最低%) / (N日最高% - N日最低%)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觀察籌碼是否處於歷史高檔或剛開始回補。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投信 (Investment Trusts) — 認養指標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指標名稱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量化公式 / 邏輯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分析意義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投信持股比例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(投信持股張數 / 發行張數) * 100%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3-10% 為認養噴發期；超過 15% 需警惕作帳結束。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投信初象指標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過去 60 日持股 &lt; 0.5%，且近 3 日連買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捕捉投信剛開始佈局的新題材股。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綜合指標：動態法人認養度 (Institutional Synergy Index)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將三者結合，根據個股股本與市值規模動態調整權重：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hd w:fill="f9f9f9" w:val="clear"/>
        </w:rPr>
      </w:pPr>
      <w:r w:rsidDel="00000000" w:rsidR="00000000" w:rsidRPr="00000000">
        <w:rPr>
          <w:rFonts w:ascii="Courier" w:cs="Courier" w:eastAsia="Courier" w:hAnsi="Courier"/>
          <w:shd w:fill="f9f9f9" w:val="clear"/>
          <w:rtl w:val="0"/>
        </w:rPr>
        <w:t xml:space="preserve">Score = (W1 * 外資分) + (W2 * 投信分) + (W3 * 自營分)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股票類別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判定標準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權重建議 (W1, W2, W3)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權值股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市值 &gt; 1000億 或 台灣50成分股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外資: 70%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投信: 20% / 自營: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中小型股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市值 &lt; 200億 或 股本 &lt; 50億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外資: 20% /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投信: 60%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自營: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一般標的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上述以外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外資: 40% / 投信: 40% / 自營: 20%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API 數據獲取與自動化分類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透過以下 API 獲取每日三大法人交易明細，並進行自動化分類：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上市股票 (TWSE):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https://www.twse.com.tw/fund/T86W (每日三大法人買賣超)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上櫃股票 (TPEx):</w:t>
      </w:r>
      <w:r w:rsidDel="00000000" w:rsidR="00000000" w:rsidRPr="00000000">
        <w:rPr>
          <w:rtl w:val="0"/>
        </w:rPr>
        <w:t xml:space="preserve"> https://www.tpex.org.tw/web/stock/3insti/daily_trade/3itrade_result.php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自動化處理流程：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市值計算：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每日結算後，抓取股價與發行張數計算當前市值。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分類觸發：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若個股進入「台灣50」或「中型100」名單，自動切換至權值股權重配置。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異常預警：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當投信持股比例瞬間跨越 15% 門檻，觸發「作帳末端」預警通知。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實務過濾與選股邏輯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雙龍取珠：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篩選「外資」與「投信」同日買超且佔比皆大於 1% 的個股。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乖離率限制：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若股價與月線 (20MA) 乖離率 &gt; 10%，預防過度追高。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成交量確認：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法人買超張數應佔當日成交量的 20% 以上。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數據視覺化建議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持股階梯圖：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觀察投信持股比例是否呈穩定階梯式上升。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籌碼集中度熱力圖：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標示法人累計買超張數佔區間總成交量之比例，輔助判斷支撐區。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