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Arial" w:hAnsi="Arial"/>
          <w:b/>
          <w:color w:val="1B365D"/>
          <w:sz w:val="56"/>
        </w:rPr>
        <w:t>DEEP LEARNING DIABETES CLASSIFIER</w:t>
      </w:r>
    </w:p>
    <w:p>
      <w:pPr>
        <w:spacing w:after="480"/>
      </w:pPr>
      <w:r>
        <w:rPr>
          <w:i/>
          <w:color w:val="2B547E"/>
          <w:sz w:val="26"/>
        </w:rPr>
        <w:t>Exhaustive Research &amp; Engineering Documentation of the Jupyter Notebook:</w:t>
        <w:br/>
        <w:t>Deep_Learning_Diabetes_Classifier.ipynb</w:t>
        <w:br/>
        <w:t>From Raw Cohorts to ResNet Architecture, MixUp Training, Benchmarks, ROC Curves &amp; Permutation Sensitivity</w:t>
      </w:r>
    </w:p>
    <w:tbl>
      <w:tblPr>
        <w:tblW w:type="auto" w:w="0"/>
        <w:tblLook w:firstColumn="1" w:firstRow="1" w:lastColumn="0" w:lastRow="0" w:noHBand="0" w:noVBand="1" w:val="04A0"/>
      </w:tblPr>
      <w:tblGrid>
        <w:gridCol w:w="9360"/>
      </w:tblGrid>
      <w:tr>
        <w:tc>
          <w:tcPr>
            <w:tcW w:type="dxa" w:w="9360"/>
            <w:shd w:fill="1B365D"/>
            <w:tcMar>
              <w:top w:w="20" w:type="dxa"/>
              <w:bottom w:w="20" w:type="dxa"/>
              <w:left w:w="20" w:type="dxa"/>
              <w:right w:w="20" w:type="dxa"/>
            </w:tcMar>
          </w:tcPr>
          <w:p/>
        </w:tc>
      </w:tr>
    </w:tbl>
    <w:p/>
    <w:p>
      <w:pPr>
        <w:spacing w:before="600" w:after="80"/>
      </w:pPr>
      <w:r>
        <w:rPr>
          <w:b/>
        </w:rPr>
        <w:t>NOTEBOOK ARTIFACT SPECIFICATIONS &amp; SUMMARY</w:t>
        <w:br/>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312"/>
            <w:shd w:fill="1B365D"/>
            <w:tcMar>
              <w:top w:w="120" w:type="dxa"/>
              <w:bottom w:w="120" w:type="dxa"/>
              <w:left w:w="140" w:type="dxa"/>
              <w:right w:w="140" w:type="dxa"/>
            </w:tcMar>
          </w:tcPr>
          <w:p>
            <w:pPr>
              <w:jc w:val="left"/>
            </w:pPr>
            <w:r>
              <w:rPr>
                <w:b/>
                <w:color w:val="FFFFFF"/>
                <w:sz w:val="19"/>
              </w:rPr>
              <w:t>Artifact Parameter</w:t>
            </w:r>
          </w:p>
        </w:tc>
        <w:tc>
          <w:tcPr>
            <w:tcW w:type="dxa" w:w="6048"/>
            <w:shd w:fill="1B365D"/>
            <w:tcMar>
              <w:top w:w="120" w:type="dxa"/>
              <w:bottom w:w="120" w:type="dxa"/>
              <w:left w:w="140" w:type="dxa"/>
              <w:right w:w="140" w:type="dxa"/>
            </w:tcMar>
          </w:tcPr>
          <w:p>
            <w:pPr>
              <w:jc w:val="left"/>
            </w:pPr>
            <w:r>
              <w:rPr>
                <w:b/>
                <w:color w:val="FFFFFF"/>
                <w:sz w:val="19"/>
              </w:rPr>
              <w:t>Notebook Execution Detail</w:t>
            </w:r>
          </w:p>
        </w:tc>
      </w:tr>
      <w:tr>
        <w:tc>
          <w:tcPr>
            <w:tcW w:type="dxa" w:w="3312"/>
            <w:shd w:fill="FFFFFF"/>
            <w:tcMar>
              <w:top w:w="90" w:type="dxa"/>
              <w:bottom w:w="90" w:type="dxa"/>
              <w:left w:w="140" w:type="dxa"/>
              <w:right w:w="140" w:type="dxa"/>
            </w:tcMar>
          </w:tcPr>
          <w:p>
            <w:pPr>
              <w:jc w:val="left"/>
            </w:pPr>
            <w:r>
              <w:rPr>
                <w:color w:val="222222"/>
                <w:sz w:val="18"/>
              </w:rPr>
              <w:t>Notebook File</w:t>
            </w:r>
          </w:p>
        </w:tc>
        <w:tc>
          <w:tcPr>
            <w:tcW w:type="dxa" w:w="6048"/>
            <w:shd w:fill="FFFFFF"/>
            <w:tcMar>
              <w:top w:w="90" w:type="dxa"/>
              <w:bottom w:w="90" w:type="dxa"/>
              <w:left w:w="140" w:type="dxa"/>
              <w:right w:w="140" w:type="dxa"/>
            </w:tcMar>
          </w:tcPr>
          <w:p>
            <w:pPr>
              <w:jc w:val="left"/>
            </w:pPr>
            <w:r>
              <w:rPr>
                <w:color w:val="222222"/>
                <w:sz w:val="18"/>
              </w:rPr>
              <w:t>Deep_Learning_Diabetes_Classifier.ipynb (35 Executed Cells)</w:t>
            </w:r>
          </w:p>
        </w:tc>
      </w:tr>
      <w:tr>
        <w:tc>
          <w:tcPr>
            <w:tcW w:type="dxa" w:w="3312"/>
            <w:shd w:fill="F4F7FA"/>
            <w:tcMar>
              <w:top w:w="90" w:type="dxa"/>
              <w:bottom w:w="90" w:type="dxa"/>
              <w:left w:w="140" w:type="dxa"/>
              <w:right w:w="140" w:type="dxa"/>
            </w:tcMar>
          </w:tcPr>
          <w:p>
            <w:pPr>
              <w:jc w:val="left"/>
            </w:pPr>
            <w:r>
              <w:rPr>
                <w:color w:val="222222"/>
                <w:sz w:val="18"/>
              </w:rPr>
              <w:t>Dataset Examined</w:t>
            </w:r>
          </w:p>
        </w:tc>
        <w:tc>
          <w:tcPr>
            <w:tcW w:type="dxa" w:w="6048"/>
            <w:shd w:fill="F4F7FA"/>
            <w:tcMar>
              <w:top w:w="90" w:type="dxa"/>
              <w:bottom w:w="90" w:type="dxa"/>
              <w:left w:w="140" w:type="dxa"/>
              <w:right w:w="140" w:type="dxa"/>
            </w:tcMar>
          </w:tcPr>
          <w:p>
            <w:pPr>
              <w:jc w:val="left"/>
            </w:pPr>
            <w:r>
              <w:rPr>
                <w:color w:val="222222"/>
                <w:sz w:val="18"/>
              </w:rPr>
              <w:t>cleaned_diabetes_data.csv (1,898 Patient Cohorts)</w:t>
            </w:r>
          </w:p>
        </w:tc>
      </w:tr>
      <w:tr>
        <w:tc>
          <w:tcPr>
            <w:tcW w:type="dxa" w:w="3312"/>
            <w:shd w:fill="FFFFFF"/>
            <w:tcMar>
              <w:top w:w="90" w:type="dxa"/>
              <w:bottom w:w="90" w:type="dxa"/>
              <w:left w:w="140" w:type="dxa"/>
              <w:right w:w="140" w:type="dxa"/>
            </w:tcMar>
          </w:tcPr>
          <w:p>
            <w:pPr>
              <w:jc w:val="left"/>
            </w:pPr>
            <w:r>
              <w:rPr>
                <w:color w:val="222222"/>
                <w:sz w:val="18"/>
              </w:rPr>
              <w:t>Model Architecture</w:t>
            </w:r>
          </w:p>
        </w:tc>
        <w:tc>
          <w:tcPr>
            <w:tcW w:type="dxa" w:w="6048"/>
            <w:shd w:fill="FFFFFF"/>
            <w:tcMar>
              <w:top w:w="90" w:type="dxa"/>
              <w:bottom w:w="90" w:type="dxa"/>
              <w:left w:w="140" w:type="dxa"/>
              <w:right w:w="140" w:type="dxa"/>
            </w:tcMar>
          </w:tcPr>
          <w:p>
            <w:pPr>
              <w:jc w:val="left"/>
            </w:pPr>
            <w:r>
              <w:rPr>
                <w:color w:val="222222"/>
                <w:sz w:val="18"/>
              </w:rPr>
              <w:t>DiabetesTabularResNet (Dense Residual Skip Connections, GELU, BatchNorm1d)</w:t>
            </w:r>
          </w:p>
        </w:tc>
      </w:tr>
      <w:tr>
        <w:tc>
          <w:tcPr>
            <w:tcW w:type="dxa" w:w="3312"/>
            <w:shd w:fill="F4F7FA"/>
            <w:tcMar>
              <w:top w:w="90" w:type="dxa"/>
              <w:bottom w:w="90" w:type="dxa"/>
              <w:left w:w="140" w:type="dxa"/>
              <w:right w:w="140" w:type="dxa"/>
            </w:tcMar>
          </w:tcPr>
          <w:p>
            <w:pPr>
              <w:jc w:val="left"/>
            </w:pPr>
            <w:r>
              <w:rPr>
                <w:color w:val="222222"/>
                <w:sz w:val="18"/>
              </w:rPr>
              <w:t>Evaluation Accuracy</w:t>
            </w:r>
          </w:p>
        </w:tc>
        <w:tc>
          <w:tcPr>
            <w:tcW w:type="dxa" w:w="6048"/>
            <w:shd w:fill="F4F7FA"/>
            <w:tcMar>
              <w:top w:w="90" w:type="dxa"/>
              <w:bottom w:w="90" w:type="dxa"/>
              <w:left w:w="140" w:type="dxa"/>
              <w:right w:w="140" w:type="dxa"/>
            </w:tcMar>
          </w:tcPr>
          <w:p>
            <w:pPr>
              <w:jc w:val="left"/>
            </w:pPr>
            <w:r>
              <w:rPr>
                <w:color w:val="222222"/>
                <w:sz w:val="18"/>
              </w:rPr>
              <w:t>98.60% Out-of-Sample Test Accuracy (Macro ROC-AUC: 0.9994 | Macro F1: 0.9843)</w:t>
            </w:r>
          </w:p>
        </w:tc>
      </w:tr>
      <w:tr>
        <w:tc>
          <w:tcPr>
            <w:tcW w:type="dxa" w:w="3312"/>
            <w:shd w:fill="FFFFFF"/>
            <w:tcMar>
              <w:top w:w="90" w:type="dxa"/>
              <w:bottom w:w="90" w:type="dxa"/>
              <w:left w:w="140" w:type="dxa"/>
              <w:right w:w="140" w:type="dxa"/>
            </w:tcMar>
          </w:tcPr>
          <w:p>
            <w:pPr>
              <w:jc w:val="left"/>
            </w:pPr>
            <w:r>
              <w:rPr>
                <w:color w:val="222222"/>
                <w:sz w:val="18"/>
              </w:rPr>
              <w:t>Data Partitions</w:t>
            </w:r>
          </w:p>
        </w:tc>
        <w:tc>
          <w:tcPr>
            <w:tcW w:type="dxa" w:w="6048"/>
            <w:shd w:fill="FFFFFF"/>
            <w:tcMar>
              <w:top w:w="90" w:type="dxa"/>
              <w:bottom w:w="90" w:type="dxa"/>
              <w:left w:w="140" w:type="dxa"/>
              <w:right w:w="140" w:type="dxa"/>
            </w:tcMar>
          </w:tcPr>
          <w:p>
            <w:pPr>
              <w:jc w:val="left"/>
            </w:pPr>
            <w:r>
              <w:rPr>
                <w:color w:val="222222"/>
                <w:sz w:val="18"/>
              </w:rPr>
              <w:t>3-Way Stratified: 70% Train (1,328), 15% Validation (285), 15% Test (285)</w:t>
            </w:r>
          </w:p>
        </w:tc>
      </w:tr>
      <w:tr>
        <w:tc>
          <w:tcPr>
            <w:tcW w:type="dxa" w:w="3312"/>
            <w:shd w:fill="F4F7FA"/>
            <w:tcMar>
              <w:top w:w="90" w:type="dxa"/>
              <w:bottom w:w="90" w:type="dxa"/>
              <w:left w:w="140" w:type="dxa"/>
              <w:right w:w="140" w:type="dxa"/>
            </w:tcMar>
          </w:tcPr>
          <w:p>
            <w:pPr>
              <w:jc w:val="left"/>
            </w:pPr>
            <w:r>
              <w:rPr>
                <w:color w:val="222222"/>
                <w:sz w:val="18"/>
              </w:rPr>
              <w:t>Regularization Pipeline</w:t>
            </w:r>
          </w:p>
        </w:tc>
        <w:tc>
          <w:tcPr>
            <w:tcW w:type="dxa" w:w="6048"/>
            <w:shd w:fill="F4F7FA"/>
            <w:tcMar>
              <w:top w:w="90" w:type="dxa"/>
              <w:bottom w:w="90" w:type="dxa"/>
              <w:left w:w="140" w:type="dxa"/>
              <w:right w:w="140" w:type="dxa"/>
            </w:tcMar>
          </w:tcPr>
          <w:p>
            <w:pPr>
              <w:jc w:val="left"/>
            </w:pPr>
            <w:r>
              <w:rPr>
                <w:color w:val="222222"/>
                <w:sz w:val="18"/>
              </w:rPr>
              <w:t>MixUp Tabular Augmentation (α=0.20), Label Smoothing (ε=0.03), Dropout (0.20/0.15)</w:t>
            </w:r>
          </w:p>
        </w:tc>
      </w:tr>
      <w:tr>
        <w:tc>
          <w:tcPr>
            <w:tcW w:type="dxa" w:w="3312"/>
            <w:shd w:fill="FFFFFF"/>
            <w:tcMar>
              <w:top w:w="90" w:type="dxa"/>
              <w:bottom w:w="90" w:type="dxa"/>
              <w:left w:w="140" w:type="dxa"/>
              <w:right w:w="140" w:type="dxa"/>
            </w:tcMar>
          </w:tcPr>
          <w:p>
            <w:pPr>
              <w:jc w:val="left"/>
            </w:pPr>
            <w:r>
              <w:rPr>
                <w:color w:val="222222"/>
                <w:sz w:val="18"/>
              </w:rPr>
              <w:t>Optimization Suite</w:t>
            </w:r>
          </w:p>
        </w:tc>
        <w:tc>
          <w:tcPr>
            <w:tcW w:type="dxa" w:w="6048"/>
            <w:shd w:fill="FFFFFF"/>
            <w:tcMar>
              <w:top w:w="90" w:type="dxa"/>
              <w:bottom w:w="90" w:type="dxa"/>
              <w:left w:w="140" w:type="dxa"/>
              <w:right w:w="140" w:type="dxa"/>
            </w:tcMar>
          </w:tcPr>
          <w:p>
            <w:pPr>
              <w:jc w:val="left"/>
            </w:pPr>
            <w:r>
              <w:rPr>
                <w:color w:val="222222"/>
                <w:sz w:val="18"/>
              </w:rPr>
              <w:t>AdamW (LR: 3e-3, Weight Decay: 1e-4) + CosineAnnealingLR (100 Epochs)</w:t>
            </w:r>
          </w:p>
        </w:tc>
      </w:tr>
      <w:tr>
        <w:tc>
          <w:tcPr>
            <w:tcW w:type="dxa" w:w="3312"/>
            <w:shd w:fill="F4F7FA"/>
            <w:tcMar>
              <w:top w:w="90" w:type="dxa"/>
              <w:bottom w:w="90" w:type="dxa"/>
              <w:left w:w="140" w:type="dxa"/>
              <w:right w:w="140" w:type="dxa"/>
            </w:tcMar>
          </w:tcPr>
          <w:p>
            <w:pPr>
              <w:jc w:val="left"/>
            </w:pPr>
            <w:r>
              <w:rPr>
                <w:color w:val="222222"/>
                <w:sz w:val="18"/>
              </w:rPr>
              <w:t>Benchmark Models</w:t>
            </w:r>
          </w:p>
        </w:tc>
        <w:tc>
          <w:tcPr>
            <w:tcW w:type="dxa" w:w="6048"/>
            <w:shd w:fill="F4F7FA"/>
            <w:tcMar>
              <w:top w:w="90" w:type="dxa"/>
              <w:bottom w:w="90" w:type="dxa"/>
              <w:left w:w="140" w:type="dxa"/>
              <w:right w:w="140" w:type="dxa"/>
            </w:tcMar>
          </w:tcPr>
          <w:p>
            <w:pPr>
              <w:jc w:val="left"/>
            </w:pPr>
            <w:r>
              <w:rPr>
                <w:color w:val="222222"/>
                <w:sz w:val="18"/>
              </w:rPr>
              <w:t>Random Forest, Extra Trees, RBF SVM, Logistic Regression, Deep ResNet</w:t>
            </w:r>
          </w:p>
        </w:tc>
      </w:tr>
      <w:tr>
        <w:tc>
          <w:tcPr>
            <w:tcW w:type="dxa" w:w="3312"/>
            <w:shd w:fill="FFFFFF"/>
            <w:tcMar>
              <w:top w:w="90" w:type="dxa"/>
              <w:bottom w:w="90" w:type="dxa"/>
              <w:left w:w="140" w:type="dxa"/>
              <w:right w:w="140" w:type="dxa"/>
            </w:tcMar>
          </w:tcPr>
          <w:p>
            <w:pPr>
              <w:jc w:val="left"/>
            </w:pPr>
            <w:r>
              <w:rPr>
                <w:color w:val="222222"/>
                <w:sz w:val="18"/>
              </w:rPr>
              <w:t>Interpretability</w:t>
            </w:r>
          </w:p>
        </w:tc>
        <w:tc>
          <w:tcPr>
            <w:tcW w:type="dxa" w:w="6048"/>
            <w:shd w:fill="FFFFFF"/>
            <w:tcMar>
              <w:top w:w="90" w:type="dxa"/>
              <w:bottom w:w="90" w:type="dxa"/>
              <w:left w:w="140" w:type="dxa"/>
              <w:right w:w="140" w:type="dxa"/>
            </w:tcMar>
          </w:tcPr>
          <w:p>
            <w:pPr>
              <w:jc w:val="left"/>
            </w:pPr>
            <w:r>
              <w:rPr>
                <w:color w:val="222222"/>
                <w:sz w:val="18"/>
              </w:rPr>
              <w:t>Permutation Feature Importance Sensitivity Analysis across all 13 Features</w:t>
            </w:r>
          </w:p>
        </w:tc>
      </w:tr>
      <w:tr>
        <w:tc>
          <w:tcPr>
            <w:tcW w:type="dxa" w:w="3312"/>
            <w:shd w:fill="F4F7FA"/>
            <w:tcMar>
              <w:top w:w="90" w:type="dxa"/>
              <w:bottom w:w="90" w:type="dxa"/>
              <w:left w:w="140" w:type="dxa"/>
              <w:right w:w="140" w:type="dxa"/>
            </w:tcMar>
          </w:tcPr>
          <w:p>
            <w:pPr>
              <w:jc w:val="left"/>
            </w:pPr>
            <w:r>
              <w:rPr>
                <w:color w:val="222222"/>
                <w:sz w:val="18"/>
              </w:rPr>
              <w:t>Framework Parity</w:t>
            </w:r>
          </w:p>
        </w:tc>
        <w:tc>
          <w:tcPr>
            <w:tcW w:type="dxa" w:w="6048"/>
            <w:shd w:fill="F4F7FA"/>
            <w:tcMar>
              <w:top w:w="90" w:type="dxa"/>
              <w:bottom w:w="90" w:type="dxa"/>
              <w:left w:w="140" w:type="dxa"/>
              <w:right w:w="140" w:type="dxa"/>
            </w:tcMar>
          </w:tcPr>
          <w:p>
            <w:pPr>
              <w:jc w:val="left"/>
            </w:pPr>
            <w:r>
              <w:rPr>
                <w:color w:val="222222"/>
                <w:sz w:val="18"/>
              </w:rPr>
              <w:t>PyTorch 2.x Primary Implementation + Bonus TensorFlow/Keras Equivalent Code</w:t>
            </w:r>
          </w:p>
        </w:tc>
      </w:tr>
    </w:tbl>
    <w:p/>
    <w:p>
      <w:r>
        <w:br w:type="page"/>
      </w:r>
    </w:p>
    <w:p>
      <w:pPr>
        <w:keepNext/>
        <w:spacing w:before="400" w:after="160"/>
      </w:pPr>
      <w:r>
        <w:rPr>
          <w:rFonts w:ascii="Arial" w:hAnsi="Arial"/>
          <w:b/>
          <w:color w:val="1B365D"/>
          <w:sz w:val="34"/>
        </w:rPr>
        <w:t>Table of Contents — Notebook Experimental Pipeline</w:t>
      </w:r>
    </w:p>
    <w:tbl>
      <w:tblPr>
        <w:tblW w:type="auto" w:w="0"/>
        <w:jc w:val="center"/>
        <w:tblLook w:firstColumn="1" w:firstRow="1" w:lastColumn="0" w:lastRow="0" w:noHBand="0" w:noVBand="1" w:val="04A0"/>
      </w:tblPr>
      <w:tblGrid>
        <w:gridCol w:w="4680"/>
        <w:gridCol w:w="4680"/>
      </w:tblGrid>
      <w:tr>
        <w:tc>
          <w:tcPr>
            <w:tcW w:type="dxa" w:w="2160"/>
            <w:tcMar>
              <w:top w:w="50" w:type="dxa"/>
              <w:bottom w:w="50" w:type="dxa"/>
              <w:left w:w="80" w:type="dxa"/>
              <w:right w:w="80" w:type="dxa"/>
            </w:tcMar>
          </w:tcPr>
          <w:p>
            <w:r>
              <w:rPr>
                <w:b/>
                <w:color w:val="1B365D"/>
              </w:rPr>
              <w:t>Step 1</w:t>
            </w:r>
          </w:p>
        </w:tc>
        <w:tc>
          <w:tcPr>
            <w:tcW w:type="dxa" w:w="7200"/>
            <w:tcMar>
              <w:top w:w="50" w:type="dxa"/>
              <w:bottom w:w="50" w:type="dxa"/>
              <w:left w:w="80" w:type="dxa"/>
              <w:right w:w="80" w:type="dxa"/>
            </w:tcMar>
          </w:tcPr>
          <w:p>
            <w:r>
              <w:t>Environment Initialization, Seeds &amp; Hardware Acceleration Setup</w:t>
            </w:r>
          </w:p>
        </w:tc>
      </w:tr>
      <w:tr>
        <w:tc>
          <w:tcPr>
            <w:tcW w:type="dxa" w:w="2160"/>
            <w:tcMar>
              <w:top w:w="50" w:type="dxa"/>
              <w:bottom w:w="50" w:type="dxa"/>
              <w:left w:w="80" w:type="dxa"/>
              <w:right w:w="80" w:type="dxa"/>
            </w:tcMar>
          </w:tcPr>
          <w:p>
            <w:r>
              <w:rPr>
                <w:b/>
                <w:color w:val="1B365D"/>
              </w:rPr>
              <w:t>Step 2</w:t>
            </w:r>
          </w:p>
        </w:tc>
        <w:tc>
          <w:tcPr>
            <w:tcW w:type="dxa" w:w="7200"/>
            <w:tcMar>
              <w:top w:w="50" w:type="dxa"/>
              <w:bottom w:w="50" w:type="dxa"/>
              <w:left w:w="80" w:type="dxa"/>
              <w:right w:w="80" w:type="dxa"/>
            </w:tcMar>
          </w:tcPr>
          <w:p>
            <w:r>
              <w:t>Global Configuration Schema (Config Class &amp; Hyperparameters)</w:t>
            </w:r>
          </w:p>
        </w:tc>
      </w:tr>
      <w:tr>
        <w:tc>
          <w:tcPr>
            <w:tcW w:type="dxa" w:w="2160"/>
            <w:tcMar>
              <w:top w:w="50" w:type="dxa"/>
              <w:bottom w:w="50" w:type="dxa"/>
              <w:left w:w="80" w:type="dxa"/>
              <w:right w:w="80" w:type="dxa"/>
            </w:tcMar>
          </w:tcPr>
          <w:p>
            <w:r>
              <w:rPr>
                <w:b/>
                <w:color w:val="1B365D"/>
              </w:rPr>
              <w:t>Step 3</w:t>
            </w:r>
          </w:p>
        </w:tc>
        <w:tc>
          <w:tcPr>
            <w:tcW w:type="dxa" w:w="7200"/>
            <w:tcMar>
              <w:top w:w="50" w:type="dxa"/>
              <w:bottom w:w="50" w:type="dxa"/>
              <w:left w:w="80" w:type="dxa"/>
              <w:right w:w="80" w:type="dxa"/>
            </w:tcMar>
          </w:tcPr>
          <w:p>
            <w:r>
              <w:t>Dataset Ingestion, Verification &amp; Baseline Clinical Profiling</w:t>
            </w:r>
          </w:p>
        </w:tc>
      </w:tr>
      <w:tr>
        <w:tc>
          <w:tcPr>
            <w:tcW w:type="dxa" w:w="2160"/>
            <w:tcMar>
              <w:top w:w="50" w:type="dxa"/>
              <w:bottom w:w="50" w:type="dxa"/>
              <w:left w:w="80" w:type="dxa"/>
              <w:right w:w="80" w:type="dxa"/>
            </w:tcMar>
          </w:tcPr>
          <w:p>
            <w:r>
              <w:rPr>
                <w:b/>
                <w:color w:val="1B365D"/>
              </w:rPr>
              <w:t>Step 4</w:t>
            </w:r>
          </w:p>
        </w:tc>
        <w:tc>
          <w:tcPr>
            <w:tcW w:type="dxa" w:w="7200"/>
            <w:tcMar>
              <w:top w:w="50" w:type="dxa"/>
              <w:bottom w:w="50" w:type="dxa"/>
              <w:left w:w="80" w:type="dxa"/>
              <w:right w:w="80" w:type="dxa"/>
            </w:tcMar>
          </w:tcPr>
          <w:p>
            <w:r>
              <w:t>Clinical Biomarker Engineering &amp; Interaction Feature Derivation</w:t>
            </w:r>
          </w:p>
        </w:tc>
      </w:tr>
      <w:tr>
        <w:tc>
          <w:tcPr>
            <w:tcW w:type="dxa" w:w="2160"/>
            <w:tcMar>
              <w:top w:w="50" w:type="dxa"/>
              <w:bottom w:w="50" w:type="dxa"/>
              <w:left w:w="80" w:type="dxa"/>
              <w:right w:w="80" w:type="dxa"/>
            </w:tcMar>
          </w:tcPr>
          <w:p>
            <w:r>
              <w:rPr>
                <w:b/>
                <w:color w:val="1B365D"/>
              </w:rPr>
              <w:t>Step 5</w:t>
            </w:r>
          </w:p>
        </w:tc>
        <w:tc>
          <w:tcPr>
            <w:tcW w:type="dxa" w:w="7200"/>
            <w:tcMar>
              <w:top w:w="50" w:type="dxa"/>
              <w:bottom w:w="50" w:type="dxa"/>
              <w:left w:w="80" w:type="dxa"/>
              <w:right w:w="80" w:type="dxa"/>
            </w:tcMar>
          </w:tcPr>
          <w:p>
            <w:r>
              <w:t>3-Way Stratified Partitioning (Train 70%, Val 15%, Test 15%)</w:t>
            </w:r>
          </w:p>
        </w:tc>
      </w:tr>
      <w:tr>
        <w:tc>
          <w:tcPr>
            <w:tcW w:type="dxa" w:w="2160"/>
            <w:tcMar>
              <w:top w:w="50" w:type="dxa"/>
              <w:bottom w:w="50" w:type="dxa"/>
              <w:left w:w="80" w:type="dxa"/>
              <w:right w:w="80" w:type="dxa"/>
            </w:tcMar>
          </w:tcPr>
          <w:p>
            <w:r>
              <w:rPr>
                <w:b/>
                <w:color w:val="1B365D"/>
              </w:rPr>
              <w:t>Step 6</w:t>
            </w:r>
          </w:p>
        </w:tc>
        <w:tc>
          <w:tcPr>
            <w:tcW w:type="dxa" w:w="7200"/>
            <w:tcMar>
              <w:top w:w="50" w:type="dxa"/>
              <w:bottom w:w="50" w:type="dxa"/>
              <w:left w:w="80" w:type="dxa"/>
              <w:right w:w="80" w:type="dxa"/>
            </w:tcMar>
          </w:tcPr>
          <w:p>
            <w:r>
              <w:t>Feature Normalization Pipeline (StandardScaler Leakage Prevention)</w:t>
            </w:r>
          </w:p>
        </w:tc>
      </w:tr>
      <w:tr>
        <w:tc>
          <w:tcPr>
            <w:tcW w:type="dxa" w:w="2160"/>
            <w:tcMar>
              <w:top w:w="50" w:type="dxa"/>
              <w:bottom w:w="50" w:type="dxa"/>
              <w:left w:w="80" w:type="dxa"/>
              <w:right w:w="80" w:type="dxa"/>
            </w:tcMar>
          </w:tcPr>
          <w:p>
            <w:r>
              <w:rPr>
                <w:b/>
                <w:color w:val="1B365D"/>
              </w:rPr>
              <w:t>Step 7</w:t>
            </w:r>
          </w:p>
        </w:tc>
        <w:tc>
          <w:tcPr>
            <w:tcW w:type="dxa" w:w="7200"/>
            <w:tcMar>
              <w:top w:w="50" w:type="dxa"/>
              <w:bottom w:w="50" w:type="dxa"/>
              <w:left w:w="80" w:type="dxa"/>
              <w:right w:w="80" w:type="dxa"/>
            </w:tcMar>
          </w:tcPr>
          <w:p>
            <w:r>
              <w:t>DiabetesTabularResNet Deep Neural Architecture Implementation</w:t>
            </w:r>
          </w:p>
        </w:tc>
      </w:tr>
      <w:tr>
        <w:tc>
          <w:tcPr>
            <w:tcW w:type="dxa" w:w="2160"/>
            <w:tcMar>
              <w:top w:w="50" w:type="dxa"/>
              <w:bottom w:w="50" w:type="dxa"/>
              <w:left w:w="80" w:type="dxa"/>
              <w:right w:w="80" w:type="dxa"/>
            </w:tcMar>
          </w:tcPr>
          <w:p>
            <w:r>
              <w:rPr>
                <w:b/>
                <w:color w:val="1B365D"/>
              </w:rPr>
              <w:t>Step 8</w:t>
            </w:r>
          </w:p>
        </w:tc>
        <w:tc>
          <w:tcPr>
            <w:tcW w:type="dxa" w:w="7200"/>
            <w:tcMar>
              <w:top w:w="50" w:type="dxa"/>
              <w:bottom w:w="50" w:type="dxa"/>
              <w:left w:w="80" w:type="dxa"/>
              <w:right w:w="80" w:type="dxa"/>
            </w:tcMar>
          </w:tcPr>
          <w:p>
            <w:r>
              <w:t>Optimization Setup: Balanced Weights, Label Smoothing &amp; AdamW</w:t>
            </w:r>
          </w:p>
        </w:tc>
      </w:tr>
      <w:tr>
        <w:tc>
          <w:tcPr>
            <w:tcW w:type="dxa" w:w="2160"/>
            <w:tcMar>
              <w:top w:w="50" w:type="dxa"/>
              <w:bottom w:w="50" w:type="dxa"/>
              <w:left w:w="80" w:type="dxa"/>
              <w:right w:w="80" w:type="dxa"/>
            </w:tcMar>
          </w:tcPr>
          <w:p>
            <w:r>
              <w:rPr>
                <w:b/>
                <w:color w:val="1B365D"/>
              </w:rPr>
              <w:t>Step 9</w:t>
            </w:r>
          </w:p>
        </w:tc>
        <w:tc>
          <w:tcPr>
            <w:tcW w:type="dxa" w:w="7200"/>
            <w:tcMar>
              <w:top w:w="50" w:type="dxa"/>
              <w:bottom w:w="50" w:type="dxa"/>
              <w:left w:w="80" w:type="dxa"/>
              <w:right w:w="80" w:type="dxa"/>
            </w:tcMar>
          </w:tcPr>
          <w:p>
            <w:r>
              <w:t>Training &amp; Validation Epoch Loop with MixUp &amp; State Recovery</w:t>
            </w:r>
          </w:p>
        </w:tc>
      </w:tr>
      <w:tr>
        <w:tc>
          <w:tcPr>
            <w:tcW w:type="dxa" w:w="2160"/>
            <w:tcMar>
              <w:top w:w="50" w:type="dxa"/>
              <w:bottom w:w="50" w:type="dxa"/>
              <w:left w:w="80" w:type="dxa"/>
              <w:right w:w="80" w:type="dxa"/>
            </w:tcMar>
          </w:tcPr>
          <w:p>
            <w:r>
              <w:rPr>
                <w:b/>
                <w:color w:val="1B365D"/>
              </w:rPr>
              <w:t>Step 10</w:t>
            </w:r>
          </w:p>
        </w:tc>
        <w:tc>
          <w:tcPr>
            <w:tcW w:type="dxa" w:w="7200"/>
            <w:tcMar>
              <w:top w:w="50" w:type="dxa"/>
              <w:bottom w:w="50" w:type="dxa"/>
              <w:left w:w="80" w:type="dxa"/>
              <w:right w:w="80" w:type="dxa"/>
            </w:tcMar>
          </w:tcPr>
          <w:p>
            <w:r>
              <w:t>Training Convergence, Loss Trajectories &amp; Diagnostic Curves (Graph Results)</w:t>
            </w:r>
          </w:p>
        </w:tc>
      </w:tr>
      <w:tr>
        <w:tc>
          <w:tcPr>
            <w:tcW w:type="dxa" w:w="2160"/>
            <w:tcMar>
              <w:top w:w="50" w:type="dxa"/>
              <w:bottom w:w="50" w:type="dxa"/>
              <w:left w:w="80" w:type="dxa"/>
              <w:right w:w="80" w:type="dxa"/>
            </w:tcMar>
          </w:tcPr>
          <w:p>
            <w:r>
              <w:rPr>
                <w:b/>
                <w:color w:val="1B365D"/>
              </w:rPr>
              <w:t>Step 11</w:t>
            </w:r>
          </w:p>
        </w:tc>
        <w:tc>
          <w:tcPr>
            <w:tcW w:type="dxa" w:w="7200"/>
            <w:tcMar>
              <w:top w:w="50" w:type="dxa"/>
              <w:bottom w:w="50" w:type="dxa"/>
              <w:left w:w="80" w:type="dxa"/>
              <w:right w:w="80" w:type="dxa"/>
            </w:tcMar>
          </w:tcPr>
          <w:p>
            <w:r>
              <w:t>Out-of-Sample Test Evaluation, Metrics &amp; Confusion Matrix (Results)</w:t>
            </w:r>
          </w:p>
        </w:tc>
      </w:tr>
      <w:tr>
        <w:tc>
          <w:tcPr>
            <w:tcW w:type="dxa" w:w="2160"/>
            <w:tcMar>
              <w:top w:w="50" w:type="dxa"/>
              <w:bottom w:w="50" w:type="dxa"/>
              <w:left w:w="80" w:type="dxa"/>
              <w:right w:w="80" w:type="dxa"/>
            </w:tcMar>
          </w:tcPr>
          <w:p>
            <w:r>
              <w:rPr>
                <w:b/>
                <w:color w:val="1B365D"/>
              </w:rPr>
              <w:t>Step 12</w:t>
            </w:r>
          </w:p>
        </w:tc>
        <w:tc>
          <w:tcPr>
            <w:tcW w:type="dxa" w:w="7200"/>
            <w:tcMar>
              <w:top w:w="50" w:type="dxa"/>
              <w:bottom w:w="50" w:type="dxa"/>
              <w:left w:w="80" w:type="dxa"/>
              <w:right w:w="80" w:type="dxa"/>
            </w:tcMar>
          </w:tcPr>
          <w:p>
            <w:r>
              <w:t>Multi-Class ROC Curves &amp; Precision-Recall Trajectories (AUC = 0.9994)</w:t>
            </w:r>
          </w:p>
        </w:tc>
      </w:tr>
      <w:tr>
        <w:tc>
          <w:tcPr>
            <w:tcW w:type="dxa" w:w="2160"/>
            <w:tcMar>
              <w:top w:w="50" w:type="dxa"/>
              <w:bottom w:w="50" w:type="dxa"/>
              <w:left w:w="80" w:type="dxa"/>
              <w:right w:w="80" w:type="dxa"/>
            </w:tcMar>
          </w:tcPr>
          <w:p>
            <w:r>
              <w:rPr>
                <w:b/>
                <w:color w:val="1B365D"/>
              </w:rPr>
              <w:t>Step 13</w:t>
            </w:r>
          </w:p>
        </w:tc>
        <w:tc>
          <w:tcPr>
            <w:tcW w:type="dxa" w:w="7200"/>
            <w:tcMar>
              <w:top w:w="50" w:type="dxa"/>
              <w:bottom w:w="50" w:type="dxa"/>
              <w:left w:w="80" w:type="dxa"/>
              <w:right w:w="80" w:type="dxa"/>
            </w:tcMar>
          </w:tcPr>
          <w:p>
            <w:r>
              <w:t>5-Fold Cross-Validation &amp; Multi-Model Tabular Benchmark Suite</w:t>
            </w:r>
          </w:p>
        </w:tc>
      </w:tr>
      <w:tr>
        <w:tc>
          <w:tcPr>
            <w:tcW w:type="dxa" w:w="2160"/>
            <w:tcMar>
              <w:top w:w="50" w:type="dxa"/>
              <w:bottom w:w="50" w:type="dxa"/>
              <w:left w:w="80" w:type="dxa"/>
              <w:right w:w="80" w:type="dxa"/>
            </w:tcMar>
          </w:tcPr>
          <w:p>
            <w:r>
              <w:rPr>
                <w:b/>
                <w:color w:val="1B365D"/>
              </w:rPr>
              <w:t>Step 14</w:t>
            </w:r>
          </w:p>
        </w:tc>
        <w:tc>
          <w:tcPr>
            <w:tcW w:type="dxa" w:w="7200"/>
            <w:tcMar>
              <w:top w:w="50" w:type="dxa"/>
              <w:bottom w:w="50" w:type="dxa"/>
              <w:left w:w="80" w:type="dxa"/>
              <w:right w:w="80" w:type="dxa"/>
            </w:tcMar>
          </w:tcPr>
          <w:p>
            <w:r>
              <w:t>Permutation Feature Importance &amp; Clinical Sensitivity Analysis</w:t>
            </w:r>
          </w:p>
        </w:tc>
      </w:tr>
      <w:tr>
        <w:tc>
          <w:tcPr>
            <w:tcW w:type="dxa" w:w="2160"/>
            <w:tcMar>
              <w:top w:w="50" w:type="dxa"/>
              <w:bottom w:w="50" w:type="dxa"/>
              <w:left w:w="80" w:type="dxa"/>
              <w:right w:w="80" w:type="dxa"/>
            </w:tcMar>
          </w:tcPr>
          <w:p>
            <w:r>
              <w:rPr>
                <w:b/>
                <w:color w:val="1B365D"/>
              </w:rPr>
              <w:t>Step 15</w:t>
            </w:r>
          </w:p>
        </w:tc>
        <w:tc>
          <w:tcPr>
            <w:tcW w:type="dxa" w:w="7200"/>
            <w:tcMar>
              <w:top w:w="50" w:type="dxa"/>
              <w:bottom w:w="50" w:type="dxa"/>
              <w:left w:w="80" w:type="dxa"/>
              <w:right w:w="80" w:type="dxa"/>
            </w:tcMar>
          </w:tcPr>
          <w:p>
            <w:r>
              <w:t>Exporting Production Model Artifacts, Scaler &amp; JSON Metadata</w:t>
            </w:r>
          </w:p>
        </w:tc>
      </w:tr>
      <w:tr>
        <w:tc>
          <w:tcPr>
            <w:tcW w:type="dxa" w:w="2160"/>
            <w:tcMar>
              <w:top w:w="50" w:type="dxa"/>
              <w:bottom w:w="50" w:type="dxa"/>
              <w:left w:w="80" w:type="dxa"/>
              <w:right w:w="80" w:type="dxa"/>
            </w:tcMar>
          </w:tcPr>
          <w:p>
            <w:r>
              <w:rPr>
                <w:b/>
                <w:color w:val="1B365D"/>
              </w:rPr>
              <w:t>Step 16</w:t>
            </w:r>
          </w:p>
        </w:tc>
        <w:tc>
          <w:tcPr>
            <w:tcW w:type="dxa" w:w="7200"/>
            <w:tcMar>
              <w:top w:w="50" w:type="dxa"/>
              <w:bottom w:w="50" w:type="dxa"/>
              <w:left w:w="80" w:type="dxa"/>
              <w:right w:w="80" w:type="dxa"/>
            </w:tcMar>
          </w:tcPr>
          <w:p>
            <w:r>
              <w:t>Real-Time Patient Clinical Inference Engine &amp; Profile Case Studies</w:t>
            </w:r>
          </w:p>
        </w:tc>
      </w:tr>
      <w:tr>
        <w:tc>
          <w:tcPr>
            <w:tcW w:type="dxa" w:w="2160"/>
            <w:tcMar>
              <w:top w:w="50" w:type="dxa"/>
              <w:bottom w:w="50" w:type="dxa"/>
              <w:left w:w="80" w:type="dxa"/>
              <w:right w:w="80" w:type="dxa"/>
            </w:tcMar>
          </w:tcPr>
          <w:p>
            <w:r>
              <w:rPr>
                <w:b/>
                <w:color w:val="1B365D"/>
              </w:rPr>
              <w:t>Bonus Step 17</w:t>
            </w:r>
          </w:p>
        </w:tc>
        <w:tc>
          <w:tcPr>
            <w:tcW w:type="dxa" w:w="7200"/>
            <w:tcMar>
              <w:top w:w="50" w:type="dxa"/>
              <w:bottom w:w="50" w:type="dxa"/>
              <w:left w:w="80" w:type="dxa"/>
              <w:right w:w="80" w:type="dxa"/>
            </w:tcMar>
          </w:tcPr>
          <w:p>
            <w:r>
              <w:t>Equivalent TensorFlow / Keras Multi-Framework Implementation</w:t>
            </w:r>
          </w:p>
        </w:tc>
      </w:tr>
    </w:tbl>
    <w:p>
      <w:r>
        <w:br w:type="page"/>
      </w:r>
    </w:p>
    <w:p>
      <w:pPr>
        <w:keepNext/>
        <w:spacing w:before="400" w:after="160"/>
      </w:pPr>
      <w:r>
        <w:rPr>
          <w:rFonts w:ascii="Arial" w:hAnsi="Arial"/>
          <w:b/>
          <w:color w:val="1B365D"/>
          <w:sz w:val="34"/>
        </w:rPr>
        <w:t>Step 1 &amp; Step 2: System Setup, Environment &amp; Configuration Schema</w:t>
      </w:r>
    </w:p>
    <w:p>
      <w:r>
        <w:t>Cells 0 to 4 in Deep_Learning_Diabetes_Classifier.ipynb establish the global execution environment. To ensure deterministic reproducibility across random data splits, neural weight initialization, and MixUp augmentation, a rigorous seed_everything(42) routine is executed across Python's hash seed, NumPy, PyTorch CPU, and PyTorch CUDA backends.</w:t>
      </w:r>
    </w:p>
    <w:p>
      <w:r>
        <w:t>All experiment hyperparameters, filepaths, and clinical mappings are codified in a centralized Config object: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B365D"/>
            <w:tcMar>
              <w:top w:w="120" w:type="dxa"/>
              <w:bottom w:w="120" w:type="dxa"/>
              <w:left w:w="140" w:type="dxa"/>
              <w:right w:w="140" w:type="dxa"/>
            </w:tcMar>
          </w:tcPr>
          <w:p>
            <w:pPr>
              <w:jc w:val="left"/>
            </w:pPr>
            <w:r>
              <w:rPr>
                <w:b/>
                <w:color w:val="FFFFFF"/>
                <w:sz w:val="19"/>
              </w:rPr>
              <w:t>Config Parameter</w:t>
            </w:r>
          </w:p>
        </w:tc>
        <w:tc>
          <w:tcPr>
            <w:tcW w:type="dxa" w:w="2592"/>
            <w:shd w:fill="1B365D"/>
            <w:tcMar>
              <w:top w:w="120" w:type="dxa"/>
              <w:bottom w:w="120" w:type="dxa"/>
              <w:left w:w="140" w:type="dxa"/>
              <w:right w:w="140" w:type="dxa"/>
            </w:tcMar>
          </w:tcPr>
          <w:p>
            <w:pPr>
              <w:jc w:val="left"/>
            </w:pPr>
            <w:r>
              <w:rPr>
                <w:b/>
                <w:color w:val="FFFFFF"/>
                <w:sz w:val="19"/>
              </w:rPr>
              <w:t>Configured Value</w:t>
            </w:r>
          </w:p>
        </w:tc>
        <w:tc>
          <w:tcPr>
            <w:tcW w:type="dxa" w:w="3888"/>
            <w:shd w:fill="1B365D"/>
            <w:tcMar>
              <w:top w:w="120" w:type="dxa"/>
              <w:bottom w:w="120" w:type="dxa"/>
              <w:left w:w="140" w:type="dxa"/>
              <w:right w:w="140" w:type="dxa"/>
            </w:tcMar>
          </w:tcPr>
          <w:p>
            <w:pPr>
              <w:jc w:val="left"/>
            </w:pPr>
            <w:r>
              <w:rPr>
                <w:b/>
                <w:color w:val="FFFFFF"/>
                <w:sz w:val="19"/>
              </w:rPr>
              <w:t>Operational Rationale</w:t>
            </w:r>
          </w:p>
        </w:tc>
      </w:tr>
      <w:tr>
        <w:tc>
          <w:tcPr>
            <w:tcW w:type="dxa" w:w="2880"/>
            <w:shd w:fill="FFFFFF"/>
            <w:tcMar>
              <w:top w:w="90" w:type="dxa"/>
              <w:bottom w:w="90" w:type="dxa"/>
              <w:left w:w="140" w:type="dxa"/>
              <w:right w:w="140" w:type="dxa"/>
            </w:tcMar>
          </w:tcPr>
          <w:p>
            <w:pPr>
              <w:jc w:val="left"/>
            </w:pPr>
            <w:r>
              <w:rPr>
                <w:color w:val="222222"/>
                <w:sz w:val="18"/>
              </w:rPr>
              <w:t>DATA_PATH</w:t>
            </w:r>
          </w:p>
        </w:tc>
        <w:tc>
          <w:tcPr>
            <w:tcW w:type="dxa" w:w="2592"/>
            <w:shd w:fill="FFFFFF"/>
            <w:tcMar>
              <w:top w:w="90" w:type="dxa"/>
              <w:bottom w:w="90" w:type="dxa"/>
              <w:left w:w="140" w:type="dxa"/>
              <w:right w:w="140" w:type="dxa"/>
            </w:tcMar>
          </w:tcPr>
          <w:p>
            <w:pPr>
              <w:jc w:val="left"/>
            </w:pPr>
            <w:r>
              <w:rPr>
                <w:color w:val="222222"/>
                <w:sz w:val="18"/>
              </w:rPr>
              <w:t>cleaned_diabetes_data.csv</w:t>
            </w:r>
          </w:p>
        </w:tc>
        <w:tc>
          <w:tcPr>
            <w:tcW w:type="dxa" w:w="3888"/>
            <w:shd w:fill="FFFFFF"/>
            <w:tcMar>
              <w:top w:w="90" w:type="dxa"/>
              <w:bottom w:w="90" w:type="dxa"/>
              <w:left w:w="140" w:type="dxa"/>
              <w:right w:w="140" w:type="dxa"/>
            </w:tcMar>
          </w:tcPr>
          <w:p>
            <w:pPr>
              <w:jc w:val="left"/>
            </w:pPr>
            <w:r>
              <w:rPr>
                <w:color w:val="222222"/>
                <w:sz w:val="18"/>
              </w:rPr>
              <w:t>Path to the 1,898-row clinical registry</w:t>
            </w:r>
          </w:p>
        </w:tc>
      </w:tr>
      <w:tr>
        <w:tc>
          <w:tcPr>
            <w:tcW w:type="dxa" w:w="2880"/>
            <w:shd w:fill="F4F7FA"/>
            <w:tcMar>
              <w:top w:w="90" w:type="dxa"/>
              <w:bottom w:w="90" w:type="dxa"/>
              <w:left w:w="140" w:type="dxa"/>
              <w:right w:w="140" w:type="dxa"/>
            </w:tcMar>
          </w:tcPr>
          <w:p>
            <w:pPr>
              <w:jc w:val="left"/>
            </w:pPr>
            <w:r>
              <w:rPr>
                <w:color w:val="222222"/>
                <w:sz w:val="18"/>
              </w:rPr>
              <w:t>TARGET_COL</w:t>
            </w:r>
          </w:p>
        </w:tc>
        <w:tc>
          <w:tcPr>
            <w:tcW w:type="dxa" w:w="2592"/>
            <w:shd w:fill="F4F7FA"/>
            <w:tcMar>
              <w:top w:w="90" w:type="dxa"/>
              <w:bottom w:w="90" w:type="dxa"/>
              <w:left w:w="140" w:type="dxa"/>
              <w:right w:w="140" w:type="dxa"/>
            </w:tcMar>
          </w:tcPr>
          <w:p>
            <w:pPr>
              <w:jc w:val="left"/>
            </w:pPr>
            <w:r>
              <w:rPr>
                <w:color w:val="222222"/>
                <w:sz w:val="18"/>
              </w:rPr>
              <w:t>diabetic</w:t>
            </w:r>
          </w:p>
        </w:tc>
        <w:tc>
          <w:tcPr>
            <w:tcW w:type="dxa" w:w="3888"/>
            <w:shd w:fill="F4F7FA"/>
            <w:tcMar>
              <w:top w:w="90" w:type="dxa"/>
              <w:bottom w:w="90" w:type="dxa"/>
              <w:left w:w="140" w:type="dxa"/>
              <w:right w:w="140" w:type="dxa"/>
            </w:tcMar>
          </w:tcPr>
          <w:p>
            <w:pPr>
              <w:jc w:val="left"/>
            </w:pPr>
            <w:r>
              <w:rPr>
                <w:color w:val="222222"/>
                <w:sz w:val="18"/>
              </w:rPr>
              <w:t>Target outcome: Low (0), Medium (1), High (2)</w:t>
            </w:r>
          </w:p>
        </w:tc>
      </w:tr>
      <w:tr>
        <w:tc>
          <w:tcPr>
            <w:tcW w:type="dxa" w:w="2880"/>
            <w:shd w:fill="FFFFFF"/>
            <w:tcMar>
              <w:top w:w="90" w:type="dxa"/>
              <w:bottom w:w="90" w:type="dxa"/>
              <w:left w:w="140" w:type="dxa"/>
              <w:right w:w="140" w:type="dxa"/>
            </w:tcMar>
          </w:tcPr>
          <w:p>
            <w:pPr>
              <w:jc w:val="left"/>
            </w:pPr>
            <w:r>
              <w:rPr>
                <w:color w:val="222222"/>
                <w:sz w:val="18"/>
              </w:rPr>
              <w:t>HIDDEN_DIM</w:t>
            </w:r>
          </w:p>
        </w:tc>
        <w:tc>
          <w:tcPr>
            <w:tcW w:type="dxa" w:w="2592"/>
            <w:shd w:fill="FFFFFF"/>
            <w:tcMar>
              <w:top w:w="90" w:type="dxa"/>
              <w:bottom w:w="90" w:type="dxa"/>
              <w:left w:w="140" w:type="dxa"/>
              <w:right w:w="140" w:type="dxa"/>
            </w:tcMar>
          </w:tcPr>
          <w:p>
            <w:pPr>
              <w:jc w:val="left"/>
            </w:pPr>
            <w:r>
              <w:rPr>
                <w:color w:val="222222"/>
                <w:sz w:val="18"/>
              </w:rPr>
              <w:t>128</w:t>
            </w:r>
          </w:p>
        </w:tc>
        <w:tc>
          <w:tcPr>
            <w:tcW w:type="dxa" w:w="3888"/>
            <w:shd w:fill="FFFFFF"/>
            <w:tcMar>
              <w:top w:w="90" w:type="dxa"/>
              <w:bottom w:w="90" w:type="dxa"/>
              <w:left w:w="140" w:type="dxa"/>
              <w:right w:w="140" w:type="dxa"/>
            </w:tcMar>
          </w:tcPr>
          <w:p>
            <w:pPr>
              <w:jc w:val="left"/>
            </w:pPr>
            <w:r>
              <w:rPr>
                <w:color w:val="222222"/>
                <w:sz w:val="18"/>
              </w:rPr>
              <w:t>Dimensionality of latent manifold and residual blocks</w:t>
            </w:r>
          </w:p>
        </w:tc>
      </w:tr>
      <w:tr>
        <w:tc>
          <w:tcPr>
            <w:tcW w:type="dxa" w:w="2880"/>
            <w:shd w:fill="F4F7FA"/>
            <w:tcMar>
              <w:top w:w="90" w:type="dxa"/>
              <w:bottom w:w="90" w:type="dxa"/>
              <w:left w:w="140" w:type="dxa"/>
              <w:right w:w="140" w:type="dxa"/>
            </w:tcMar>
          </w:tcPr>
          <w:p>
            <w:pPr>
              <w:jc w:val="left"/>
            </w:pPr>
            <w:r>
              <w:rPr>
                <w:color w:val="222222"/>
                <w:sz w:val="18"/>
              </w:rPr>
              <w:t>BATCH_SIZE</w:t>
            </w:r>
          </w:p>
        </w:tc>
        <w:tc>
          <w:tcPr>
            <w:tcW w:type="dxa" w:w="2592"/>
            <w:shd w:fill="F4F7FA"/>
            <w:tcMar>
              <w:top w:w="90" w:type="dxa"/>
              <w:bottom w:w="90" w:type="dxa"/>
              <w:left w:w="140" w:type="dxa"/>
              <w:right w:w="140" w:type="dxa"/>
            </w:tcMar>
          </w:tcPr>
          <w:p>
            <w:pPr>
              <w:jc w:val="left"/>
            </w:pPr>
            <w:r>
              <w:rPr>
                <w:color w:val="222222"/>
                <w:sz w:val="18"/>
              </w:rPr>
              <w:t>32</w:t>
            </w:r>
          </w:p>
        </w:tc>
        <w:tc>
          <w:tcPr>
            <w:tcW w:type="dxa" w:w="3888"/>
            <w:shd w:fill="F4F7FA"/>
            <w:tcMar>
              <w:top w:w="90" w:type="dxa"/>
              <w:bottom w:w="90" w:type="dxa"/>
              <w:left w:w="140" w:type="dxa"/>
              <w:right w:w="140" w:type="dxa"/>
            </w:tcMar>
          </w:tcPr>
          <w:p>
            <w:pPr>
              <w:jc w:val="left"/>
            </w:pPr>
            <w:r>
              <w:rPr>
                <w:color w:val="222222"/>
                <w:sz w:val="18"/>
              </w:rPr>
              <w:t>Mini-batch size for DataLoader pipelines</w:t>
            </w:r>
          </w:p>
        </w:tc>
      </w:tr>
      <w:tr>
        <w:tc>
          <w:tcPr>
            <w:tcW w:type="dxa" w:w="2880"/>
            <w:shd w:fill="FFFFFF"/>
            <w:tcMar>
              <w:top w:w="90" w:type="dxa"/>
              <w:bottom w:w="90" w:type="dxa"/>
              <w:left w:w="140" w:type="dxa"/>
              <w:right w:w="140" w:type="dxa"/>
            </w:tcMar>
          </w:tcPr>
          <w:p>
            <w:pPr>
              <w:jc w:val="left"/>
            </w:pPr>
            <w:r>
              <w:rPr>
                <w:color w:val="222222"/>
                <w:sz w:val="18"/>
              </w:rPr>
              <w:t>EPOCHS</w:t>
            </w:r>
          </w:p>
        </w:tc>
        <w:tc>
          <w:tcPr>
            <w:tcW w:type="dxa" w:w="2592"/>
            <w:shd w:fill="FFFFFF"/>
            <w:tcMar>
              <w:top w:w="90" w:type="dxa"/>
              <w:bottom w:w="90" w:type="dxa"/>
              <w:left w:w="140" w:type="dxa"/>
              <w:right w:w="140" w:type="dxa"/>
            </w:tcMar>
          </w:tcPr>
          <w:p>
            <w:pPr>
              <w:jc w:val="left"/>
            </w:pPr>
            <w:r>
              <w:rPr>
                <w:color w:val="222222"/>
                <w:sz w:val="18"/>
              </w:rPr>
              <w:t>100</w:t>
            </w:r>
          </w:p>
        </w:tc>
        <w:tc>
          <w:tcPr>
            <w:tcW w:type="dxa" w:w="3888"/>
            <w:shd w:fill="FFFFFF"/>
            <w:tcMar>
              <w:top w:w="90" w:type="dxa"/>
              <w:bottom w:w="90" w:type="dxa"/>
              <w:left w:w="140" w:type="dxa"/>
              <w:right w:w="140" w:type="dxa"/>
            </w:tcMar>
          </w:tcPr>
          <w:p>
            <w:pPr>
              <w:jc w:val="left"/>
            </w:pPr>
            <w:r>
              <w:rPr>
                <w:color w:val="222222"/>
                <w:sz w:val="18"/>
              </w:rPr>
              <w:t>Maximum training epochs with cosine learning rate decay</w:t>
            </w:r>
          </w:p>
        </w:tc>
      </w:tr>
      <w:tr>
        <w:tc>
          <w:tcPr>
            <w:tcW w:type="dxa" w:w="2880"/>
            <w:shd w:fill="F4F7FA"/>
            <w:tcMar>
              <w:top w:w="90" w:type="dxa"/>
              <w:bottom w:w="90" w:type="dxa"/>
              <w:left w:w="140" w:type="dxa"/>
              <w:right w:w="140" w:type="dxa"/>
            </w:tcMar>
          </w:tcPr>
          <w:p>
            <w:pPr>
              <w:jc w:val="left"/>
            </w:pPr>
            <w:r>
              <w:rPr>
                <w:color w:val="222222"/>
                <w:sz w:val="18"/>
              </w:rPr>
              <w:t>LEARNING_RATE</w:t>
            </w:r>
          </w:p>
        </w:tc>
        <w:tc>
          <w:tcPr>
            <w:tcW w:type="dxa" w:w="2592"/>
            <w:shd w:fill="F4F7FA"/>
            <w:tcMar>
              <w:top w:w="90" w:type="dxa"/>
              <w:bottom w:w="90" w:type="dxa"/>
              <w:left w:w="140" w:type="dxa"/>
              <w:right w:w="140" w:type="dxa"/>
            </w:tcMar>
          </w:tcPr>
          <w:p>
            <w:pPr>
              <w:jc w:val="left"/>
            </w:pPr>
            <w:r>
              <w:rPr>
                <w:color w:val="222222"/>
                <w:sz w:val="18"/>
              </w:rPr>
              <w:t>3e-3 (0.003)</w:t>
            </w:r>
          </w:p>
        </w:tc>
        <w:tc>
          <w:tcPr>
            <w:tcW w:type="dxa" w:w="3888"/>
            <w:shd w:fill="F4F7FA"/>
            <w:tcMar>
              <w:top w:w="90" w:type="dxa"/>
              <w:bottom w:w="90" w:type="dxa"/>
              <w:left w:w="140" w:type="dxa"/>
              <w:right w:w="140" w:type="dxa"/>
            </w:tcMar>
          </w:tcPr>
          <w:p>
            <w:pPr>
              <w:jc w:val="left"/>
            </w:pPr>
            <w:r>
              <w:rPr>
                <w:color w:val="222222"/>
                <w:sz w:val="18"/>
              </w:rPr>
              <w:t>Initial peak learning rate for AdamW optimizer</w:t>
            </w:r>
          </w:p>
        </w:tc>
      </w:tr>
      <w:tr>
        <w:tc>
          <w:tcPr>
            <w:tcW w:type="dxa" w:w="2880"/>
            <w:shd w:fill="FFFFFF"/>
            <w:tcMar>
              <w:top w:w="90" w:type="dxa"/>
              <w:bottom w:w="90" w:type="dxa"/>
              <w:left w:w="140" w:type="dxa"/>
              <w:right w:w="140" w:type="dxa"/>
            </w:tcMar>
          </w:tcPr>
          <w:p>
            <w:pPr>
              <w:jc w:val="left"/>
            </w:pPr>
            <w:r>
              <w:rPr>
                <w:color w:val="222222"/>
                <w:sz w:val="18"/>
              </w:rPr>
              <w:t>WEIGHT_DECAY</w:t>
            </w:r>
          </w:p>
        </w:tc>
        <w:tc>
          <w:tcPr>
            <w:tcW w:type="dxa" w:w="2592"/>
            <w:shd w:fill="FFFFFF"/>
            <w:tcMar>
              <w:top w:w="90" w:type="dxa"/>
              <w:bottom w:w="90" w:type="dxa"/>
              <w:left w:w="140" w:type="dxa"/>
              <w:right w:w="140" w:type="dxa"/>
            </w:tcMar>
          </w:tcPr>
          <w:p>
            <w:pPr>
              <w:jc w:val="left"/>
            </w:pPr>
            <w:r>
              <w:rPr>
                <w:color w:val="222222"/>
                <w:sz w:val="18"/>
              </w:rPr>
              <w:t>1e-4 (0.0001)</w:t>
            </w:r>
          </w:p>
        </w:tc>
        <w:tc>
          <w:tcPr>
            <w:tcW w:type="dxa" w:w="3888"/>
            <w:shd w:fill="FFFFFF"/>
            <w:tcMar>
              <w:top w:w="90" w:type="dxa"/>
              <w:bottom w:w="90" w:type="dxa"/>
              <w:left w:w="140" w:type="dxa"/>
              <w:right w:w="140" w:type="dxa"/>
            </w:tcMar>
          </w:tcPr>
          <w:p>
            <w:pPr>
              <w:jc w:val="left"/>
            </w:pPr>
            <w:r>
              <w:rPr>
                <w:color w:val="222222"/>
                <w:sz w:val="18"/>
              </w:rPr>
              <w:t>Decoupled L2 regularization parameter</w:t>
            </w:r>
          </w:p>
        </w:tc>
      </w:tr>
      <w:tr>
        <w:tc>
          <w:tcPr>
            <w:tcW w:type="dxa" w:w="2880"/>
            <w:shd w:fill="F4F7FA"/>
            <w:tcMar>
              <w:top w:w="90" w:type="dxa"/>
              <w:bottom w:w="90" w:type="dxa"/>
              <w:left w:w="140" w:type="dxa"/>
              <w:right w:w="140" w:type="dxa"/>
            </w:tcMar>
          </w:tcPr>
          <w:p>
            <w:pPr>
              <w:jc w:val="left"/>
            </w:pPr>
            <w:r>
              <w:rPr>
                <w:color w:val="222222"/>
                <w:sz w:val="18"/>
              </w:rPr>
              <w:t>LABEL_SMOOTHING</w:t>
            </w:r>
          </w:p>
        </w:tc>
        <w:tc>
          <w:tcPr>
            <w:tcW w:type="dxa" w:w="2592"/>
            <w:shd w:fill="F4F7FA"/>
            <w:tcMar>
              <w:top w:w="90" w:type="dxa"/>
              <w:bottom w:w="90" w:type="dxa"/>
              <w:left w:w="140" w:type="dxa"/>
              <w:right w:w="140" w:type="dxa"/>
            </w:tcMar>
          </w:tcPr>
          <w:p>
            <w:pPr>
              <w:jc w:val="left"/>
            </w:pPr>
            <w:r>
              <w:rPr>
                <w:color w:val="222222"/>
                <w:sz w:val="18"/>
              </w:rPr>
              <w:t>0.03 (3%)</w:t>
            </w:r>
          </w:p>
        </w:tc>
        <w:tc>
          <w:tcPr>
            <w:tcW w:type="dxa" w:w="3888"/>
            <w:shd w:fill="F4F7FA"/>
            <w:tcMar>
              <w:top w:w="90" w:type="dxa"/>
              <w:bottom w:w="90" w:type="dxa"/>
              <w:left w:w="140" w:type="dxa"/>
              <w:right w:w="140" w:type="dxa"/>
            </w:tcMar>
          </w:tcPr>
          <w:p>
            <w:pPr>
              <w:jc w:val="left"/>
            </w:pPr>
            <w:r>
              <w:rPr>
                <w:color w:val="222222"/>
                <w:sz w:val="18"/>
              </w:rPr>
              <w:t>Soft target probability redistribution parameter</w:t>
            </w:r>
          </w:p>
        </w:tc>
      </w:tr>
      <w:tr>
        <w:tc>
          <w:tcPr>
            <w:tcW w:type="dxa" w:w="2880"/>
            <w:shd w:fill="FFFFFF"/>
            <w:tcMar>
              <w:top w:w="90" w:type="dxa"/>
              <w:bottom w:w="90" w:type="dxa"/>
              <w:left w:w="140" w:type="dxa"/>
              <w:right w:w="140" w:type="dxa"/>
            </w:tcMar>
          </w:tcPr>
          <w:p>
            <w:pPr>
              <w:jc w:val="left"/>
            </w:pPr>
            <w:r>
              <w:rPr>
                <w:color w:val="222222"/>
                <w:sz w:val="18"/>
              </w:rPr>
              <w:t>DROPOUT_RATE</w:t>
            </w:r>
          </w:p>
        </w:tc>
        <w:tc>
          <w:tcPr>
            <w:tcW w:type="dxa" w:w="2592"/>
            <w:shd w:fill="FFFFFF"/>
            <w:tcMar>
              <w:top w:w="90" w:type="dxa"/>
              <w:bottom w:w="90" w:type="dxa"/>
              <w:left w:w="140" w:type="dxa"/>
              <w:right w:w="140" w:type="dxa"/>
            </w:tcMar>
          </w:tcPr>
          <w:p>
            <w:pPr>
              <w:jc w:val="left"/>
            </w:pPr>
            <w:r>
              <w:rPr>
                <w:color w:val="222222"/>
                <w:sz w:val="18"/>
              </w:rPr>
              <w:t>0.20 / 0.15 / 0.10</w:t>
            </w:r>
          </w:p>
        </w:tc>
        <w:tc>
          <w:tcPr>
            <w:tcW w:type="dxa" w:w="3888"/>
            <w:shd w:fill="FFFFFF"/>
            <w:tcMar>
              <w:top w:w="90" w:type="dxa"/>
              <w:bottom w:w="90" w:type="dxa"/>
              <w:left w:w="140" w:type="dxa"/>
              <w:right w:w="140" w:type="dxa"/>
            </w:tcMar>
          </w:tcPr>
          <w:p>
            <w:pPr>
              <w:jc w:val="left"/>
            </w:pPr>
            <w:r>
              <w:rPr>
                <w:color w:val="222222"/>
                <w:sz w:val="18"/>
              </w:rPr>
              <w:t>Asymmetric dropout regularization across layers</w:t>
            </w:r>
          </w:p>
        </w:tc>
      </w:tr>
      <w:tr>
        <w:tc>
          <w:tcPr>
            <w:tcW w:type="dxa" w:w="2880"/>
            <w:shd w:fill="F4F7FA"/>
            <w:tcMar>
              <w:top w:w="90" w:type="dxa"/>
              <w:bottom w:w="90" w:type="dxa"/>
              <w:left w:w="140" w:type="dxa"/>
              <w:right w:w="140" w:type="dxa"/>
            </w:tcMar>
          </w:tcPr>
          <w:p>
            <w:pPr>
              <w:jc w:val="left"/>
            </w:pPr>
            <w:r>
              <w:rPr>
                <w:color w:val="222222"/>
                <w:sz w:val="18"/>
              </w:rPr>
              <w:t>MIXUP_ALPHA</w:t>
            </w:r>
          </w:p>
        </w:tc>
        <w:tc>
          <w:tcPr>
            <w:tcW w:type="dxa" w:w="2592"/>
            <w:shd w:fill="F4F7FA"/>
            <w:tcMar>
              <w:top w:w="90" w:type="dxa"/>
              <w:bottom w:w="90" w:type="dxa"/>
              <w:left w:w="140" w:type="dxa"/>
              <w:right w:w="140" w:type="dxa"/>
            </w:tcMar>
          </w:tcPr>
          <w:p>
            <w:pPr>
              <w:jc w:val="left"/>
            </w:pPr>
            <w:r>
              <w:rPr>
                <w:color w:val="222222"/>
                <w:sz w:val="18"/>
              </w:rPr>
              <w:t>0.20</w:t>
            </w:r>
          </w:p>
        </w:tc>
        <w:tc>
          <w:tcPr>
            <w:tcW w:type="dxa" w:w="3888"/>
            <w:shd w:fill="F4F7FA"/>
            <w:tcMar>
              <w:top w:w="90" w:type="dxa"/>
              <w:bottom w:w="90" w:type="dxa"/>
              <w:left w:w="140" w:type="dxa"/>
              <w:right w:w="140" w:type="dxa"/>
            </w:tcMar>
          </w:tcPr>
          <w:p>
            <w:pPr>
              <w:jc w:val="left"/>
            </w:pPr>
            <w:r>
              <w:rPr>
                <w:color w:val="222222"/>
                <w:sz w:val="18"/>
              </w:rPr>
              <w:t>Beta distribution shape parameter for MixUp augmentation</w:t>
            </w:r>
          </w:p>
        </w:tc>
      </w:tr>
      <w:tr>
        <w:tc>
          <w:tcPr>
            <w:tcW w:type="dxa" w:w="2880"/>
            <w:shd w:fill="FFFFFF"/>
            <w:tcMar>
              <w:top w:w="90" w:type="dxa"/>
              <w:bottom w:w="90" w:type="dxa"/>
              <w:left w:w="140" w:type="dxa"/>
              <w:right w:w="140" w:type="dxa"/>
            </w:tcMar>
          </w:tcPr>
          <w:p>
            <w:pPr>
              <w:jc w:val="left"/>
            </w:pPr>
            <w:r>
              <w:rPr>
                <w:color w:val="222222"/>
                <w:sz w:val="18"/>
              </w:rPr>
              <w:t>MIXUP_PROB</w:t>
            </w:r>
          </w:p>
        </w:tc>
        <w:tc>
          <w:tcPr>
            <w:tcW w:type="dxa" w:w="2592"/>
            <w:shd w:fill="FFFFFF"/>
            <w:tcMar>
              <w:top w:w="90" w:type="dxa"/>
              <w:bottom w:w="90" w:type="dxa"/>
              <w:left w:w="140" w:type="dxa"/>
              <w:right w:w="140" w:type="dxa"/>
            </w:tcMar>
          </w:tcPr>
          <w:p>
            <w:pPr>
              <w:jc w:val="left"/>
            </w:pPr>
            <w:r>
              <w:rPr>
                <w:color w:val="222222"/>
                <w:sz w:val="18"/>
              </w:rPr>
              <w:t>0.50 (50%)</w:t>
            </w:r>
          </w:p>
        </w:tc>
        <w:tc>
          <w:tcPr>
            <w:tcW w:type="dxa" w:w="3888"/>
            <w:shd w:fill="FFFFFF"/>
            <w:tcMar>
              <w:top w:w="90" w:type="dxa"/>
              <w:bottom w:w="90" w:type="dxa"/>
              <w:left w:w="140" w:type="dxa"/>
              <w:right w:w="140" w:type="dxa"/>
            </w:tcMar>
          </w:tcPr>
          <w:p>
            <w:pPr>
              <w:jc w:val="left"/>
            </w:pPr>
            <w:r>
              <w:rPr>
                <w:color w:val="222222"/>
                <w:sz w:val="18"/>
              </w:rPr>
              <w:t>Probability of applying MixUp per training mini-batch</w:t>
            </w:r>
          </w:p>
        </w:tc>
      </w:tr>
      <w:tr>
        <w:tc>
          <w:tcPr>
            <w:tcW w:type="dxa" w:w="2880"/>
            <w:shd w:fill="F4F7FA"/>
            <w:tcMar>
              <w:top w:w="90" w:type="dxa"/>
              <w:bottom w:w="90" w:type="dxa"/>
              <w:left w:w="140" w:type="dxa"/>
              <w:right w:w="140" w:type="dxa"/>
            </w:tcMar>
          </w:tcPr>
          <w:p>
            <w:pPr>
              <w:jc w:val="left"/>
            </w:pPr>
            <w:r>
              <w:rPr>
                <w:color w:val="222222"/>
                <w:sz w:val="18"/>
              </w:rPr>
              <w:t>DATA_SPLIT</w:t>
            </w:r>
          </w:p>
        </w:tc>
        <w:tc>
          <w:tcPr>
            <w:tcW w:type="dxa" w:w="2592"/>
            <w:shd w:fill="F4F7FA"/>
            <w:tcMar>
              <w:top w:w="90" w:type="dxa"/>
              <w:bottom w:w="90" w:type="dxa"/>
              <w:left w:w="140" w:type="dxa"/>
              <w:right w:w="140" w:type="dxa"/>
            </w:tcMar>
          </w:tcPr>
          <w:p>
            <w:pPr>
              <w:jc w:val="left"/>
            </w:pPr>
            <w:r>
              <w:rPr>
                <w:color w:val="222222"/>
                <w:sz w:val="18"/>
              </w:rPr>
              <w:t>70% / 15% / 15%</w:t>
            </w:r>
          </w:p>
        </w:tc>
        <w:tc>
          <w:tcPr>
            <w:tcW w:type="dxa" w:w="3888"/>
            <w:shd w:fill="F4F7FA"/>
            <w:tcMar>
              <w:top w:w="90" w:type="dxa"/>
              <w:bottom w:w="90" w:type="dxa"/>
              <w:left w:w="140" w:type="dxa"/>
              <w:right w:w="140" w:type="dxa"/>
            </w:tcMar>
          </w:tcPr>
          <w:p>
            <w:pPr>
              <w:jc w:val="left"/>
            </w:pPr>
            <w:r>
              <w:rPr>
                <w:color w:val="222222"/>
                <w:sz w:val="18"/>
              </w:rPr>
              <w:t>Stratified Train (1,328) / Val (285) / Test (285)</w:t>
            </w:r>
          </w:p>
        </w:tc>
      </w:tr>
    </w:tbl>
    <w:p/>
    <w:p>
      <w:pPr>
        <w:keepNext/>
        <w:spacing w:before="400" w:after="160"/>
      </w:pPr>
      <w:r>
        <w:rPr>
          <w:rFonts w:ascii="Arial" w:hAnsi="Arial"/>
          <w:b/>
          <w:color w:val="1B365D"/>
          <w:sz w:val="34"/>
        </w:rPr>
        <w:t>Step 3: Dataset Ingestion, Verification &amp; Baseline Clinical Profiling</w:t>
      </w:r>
    </w:p>
    <w:p>
      <w:r>
        <w:t>In Cells 5 and 6, cleaned_diabetes_data.csv is loaded into Pandas. The dataset contains 1,898 adult patient records across 9 raw clinical metrics and 1 multi-class ground truth target ('diabetic').</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1B365D"/>
            <w:tcMar>
              <w:top w:w="120" w:type="dxa"/>
              <w:bottom w:w="120" w:type="dxa"/>
              <w:left w:w="140" w:type="dxa"/>
              <w:right w:w="140" w:type="dxa"/>
            </w:tcMar>
          </w:tcPr>
          <w:p>
            <w:pPr>
              <w:jc w:val="left"/>
            </w:pPr>
            <w:r>
              <w:rPr>
                <w:b/>
                <w:color w:val="FFFFFF"/>
                <w:sz w:val="19"/>
              </w:rPr>
              <w:t>Feature Column</w:t>
            </w:r>
          </w:p>
        </w:tc>
        <w:tc>
          <w:tcPr>
            <w:tcW w:type="dxa" w:w="1296"/>
            <w:shd w:fill="1B365D"/>
            <w:tcMar>
              <w:top w:w="120" w:type="dxa"/>
              <w:bottom w:w="120" w:type="dxa"/>
              <w:left w:w="140" w:type="dxa"/>
              <w:right w:w="140" w:type="dxa"/>
            </w:tcMar>
          </w:tcPr>
          <w:p>
            <w:pPr>
              <w:jc w:val="left"/>
            </w:pPr>
            <w:r>
              <w:rPr>
                <w:b/>
                <w:color w:val="FFFFFF"/>
                <w:sz w:val="19"/>
              </w:rPr>
              <w:t>Data Type</w:t>
            </w:r>
          </w:p>
        </w:tc>
        <w:tc>
          <w:tcPr>
            <w:tcW w:type="dxa" w:w="2016"/>
            <w:shd w:fill="1B365D"/>
            <w:tcMar>
              <w:top w:w="120" w:type="dxa"/>
              <w:bottom w:w="120" w:type="dxa"/>
              <w:left w:w="140" w:type="dxa"/>
              <w:right w:w="140" w:type="dxa"/>
            </w:tcMar>
          </w:tcPr>
          <w:p>
            <w:pPr>
              <w:jc w:val="left"/>
            </w:pPr>
            <w:r>
              <w:rPr>
                <w:b/>
                <w:color w:val="FFFFFF"/>
                <w:sz w:val="19"/>
              </w:rPr>
              <w:t>Mean ± Std</w:t>
            </w:r>
          </w:p>
        </w:tc>
        <w:tc>
          <w:tcPr>
            <w:tcW w:type="dxa" w:w="2016"/>
            <w:shd w:fill="1B365D"/>
            <w:tcMar>
              <w:top w:w="120" w:type="dxa"/>
              <w:bottom w:w="120" w:type="dxa"/>
              <w:left w:w="140" w:type="dxa"/>
              <w:right w:w="140" w:type="dxa"/>
            </w:tcMar>
          </w:tcPr>
          <w:p>
            <w:pPr>
              <w:jc w:val="left"/>
            </w:pPr>
            <w:r>
              <w:rPr>
                <w:b/>
                <w:color w:val="FFFFFF"/>
                <w:sz w:val="19"/>
              </w:rPr>
              <w:t>Range / Values</w:t>
            </w:r>
          </w:p>
        </w:tc>
        <w:tc>
          <w:tcPr>
            <w:tcW w:type="dxa" w:w="2016"/>
            <w:shd w:fill="1B365D"/>
            <w:tcMar>
              <w:top w:w="120" w:type="dxa"/>
              <w:bottom w:w="120" w:type="dxa"/>
              <w:left w:w="140" w:type="dxa"/>
              <w:right w:w="140" w:type="dxa"/>
            </w:tcMar>
          </w:tcPr>
          <w:p>
            <w:pPr>
              <w:jc w:val="left"/>
            </w:pPr>
            <w:r>
              <w:rPr>
                <w:b/>
                <w:color w:val="FFFFFF"/>
                <w:sz w:val="19"/>
              </w:rPr>
              <w:t>Clinical Diagnostic Role</w:t>
            </w:r>
          </w:p>
        </w:tc>
      </w:tr>
      <w:tr>
        <w:tc>
          <w:tcPr>
            <w:tcW w:type="dxa" w:w="2016"/>
            <w:shd w:fill="FFFFFF"/>
            <w:tcMar>
              <w:top w:w="90" w:type="dxa"/>
              <w:bottom w:w="90" w:type="dxa"/>
              <w:left w:w="140" w:type="dxa"/>
              <w:right w:w="140" w:type="dxa"/>
            </w:tcMar>
          </w:tcPr>
          <w:p>
            <w:pPr>
              <w:jc w:val="left"/>
            </w:pPr>
            <w:r>
              <w:rPr>
                <w:color w:val="222222"/>
                <w:sz w:val="18"/>
              </w:rPr>
              <w:t>Age</w:t>
            </w:r>
          </w:p>
        </w:tc>
        <w:tc>
          <w:tcPr>
            <w:tcW w:type="dxa" w:w="1296"/>
            <w:shd w:fill="FFFFFF"/>
            <w:tcMar>
              <w:top w:w="90" w:type="dxa"/>
              <w:bottom w:w="90" w:type="dxa"/>
              <w:left w:w="140" w:type="dxa"/>
              <w:right w:w="140" w:type="dxa"/>
            </w:tcMar>
          </w:tcPr>
          <w:p>
            <w:pPr>
              <w:jc w:val="left"/>
            </w:pPr>
            <w:r>
              <w:rPr>
                <w:color w:val="222222"/>
                <w:sz w:val="18"/>
              </w:rPr>
              <w:t>int64</w:t>
            </w:r>
          </w:p>
        </w:tc>
        <w:tc>
          <w:tcPr>
            <w:tcW w:type="dxa" w:w="2016"/>
            <w:shd w:fill="FFFFFF"/>
            <w:tcMar>
              <w:top w:w="90" w:type="dxa"/>
              <w:bottom w:w="90" w:type="dxa"/>
              <w:left w:w="140" w:type="dxa"/>
              <w:right w:w="140" w:type="dxa"/>
            </w:tcMar>
          </w:tcPr>
          <w:p>
            <w:pPr>
              <w:jc w:val="left"/>
            </w:pPr>
            <w:r>
              <w:rPr>
                <w:color w:val="222222"/>
                <w:sz w:val="18"/>
              </w:rPr>
              <w:t>46.73 ± 13.67</w:t>
            </w:r>
          </w:p>
        </w:tc>
        <w:tc>
          <w:tcPr>
            <w:tcW w:type="dxa" w:w="2016"/>
            <w:shd w:fill="FFFFFF"/>
            <w:tcMar>
              <w:top w:w="90" w:type="dxa"/>
              <w:bottom w:w="90" w:type="dxa"/>
              <w:left w:w="140" w:type="dxa"/>
              <w:right w:w="140" w:type="dxa"/>
            </w:tcMar>
          </w:tcPr>
          <w:p>
            <w:pPr>
              <w:jc w:val="left"/>
            </w:pPr>
            <w:r>
              <w:rPr>
                <w:color w:val="222222"/>
                <w:sz w:val="18"/>
              </w:rPr>
              <w:t>21 – 80 years</w:t>
            </w:r>
          </w:p>
        </w:tc>
        <w:tc>
          <w:tcPr>
            <w:tcW w:type="dxa" w:w="2016"/>
            <w:shd w:fill="FFFFFF"/>
            <w:tcMar>
              <w:top w:w="90" w:type="dxa"/>
              <w:bottom w:w="90" w:type="dxa"/>
              <w:left w:w="140" w:type="dxa"/>
              <w:right w:w="140" w:type="dxa"/>
            </w:tcMar>
          </w:tcPr>
          <w:p>
            <w:pPr>
              <w:jc w:val="left"/>
            </w:pPr>
            <w:r>
              <w:rPr>
                <w:color w:val="222222"/>
                <w:sz w:val="18"/>
              </w:rPr>
              <w:t>Chronological aging risk biomarker</w:t>
            </w:r>
          </w:p>
        </w:tc>
      </w:tr>
      <w:tr>
        <w:tc>
          <w:tcPr>
            <w:tcW w:type="dxa" w:w="2016"/>
            <w:shd w:fill="F4F7FA"/>
            <w:tcMar>
              <w:top w:w="90" w:type="dxa"/>
              <w:bottom w:w="90" w:type="dxa"/>
              <w:left w:w="140" w:type="dxa"/>
              <w:right w:w="140" w:type="dxa"/>
            </w:tcMar>
          </w:tcPr>
          <w:p>
            <w:pPr>
              <w:jc w:val="left"/>
            </w:pPr>
            <w:r>
              <w:rPr>
                <w:color w:val="222222"/>
                <w:sz w:val="18"/>
              </w:rPr>
              <w:t>gender</w:t>
            </w:r>
          </w:p>
        </w:tc>
        <w:tc>
          <w:tcPr>
            <w:tcW w:type="dxa" w:w="1296"/>
            <w:shd w:fill="F4F7FA"/>
            <w:tcMar>
              <w:top w:w="90" w:type="dxa"/>
              <w:bottom w:w="90" w:type="dxa"/>
              <w:left w:w="140" w:type="dxa"/>
              <w:right w:w="140" w:type="dxa"/>
            </w:tcMar>
          </w:tcPr>
          <w:p>
            <w:pPr>
              <w:jc w:val="left"/>
            </w:pPr>
            <w:r>
              <w:rPr>
                <w:color w:val="222222"/>
                <w:sz w:val="18"/>
              </w:rPr>
              <w:t>int64</w:t>
            </w:r>
          </w:p>
        </w:tc>
        <w:tc>
          <w:tcPr>
            <w:tcW w:type="dxa" w:w="2016"/>
            <w:shd w:fill="F4F7FA"/>
            <w:tcMar>
              <w:top w:w="90" w:type="dxa"/>
              <w:bottom w:w="90" w:type="dxa"/>
              <w:left w:w="140" w:type="dxa"/>
              <w:right w:w="140" w:type="dxa"/>
            </w:tcMar>
          </w:tcPr>
          <w:p>
            <w:pPr>
              <w:jc w:val="left"/>
            </w:pPr>
            <w:r>
              <w:rPr>
                <w:color w:val="222222"/>
                <w:sz w:val="18"/>
              </w:rPr>
              <w:t>0.38 ± 0.48</w:t>
            </w:r>
          </w:p>
        </w:tc>
        <w:tc>
          <w:tcPr>
            <w:tcW w:type="dxa" w:w="2016"/>
            <w:shd w:fill="F4F7FA"/>
            <w:tcMar>
              <w:top w:w="90" w:type="dxa"/>
              <w:bottom w:w="90" w:type="dxa"/>
              <w:left w:w="140" w:type="dxa"/>
              <w:right w:w="140" w:type="dxa"/>
            </w:tcMar>
          </w:tcPr>
          <w:p>
            <w:pPr>
              <w:jc w:val="left"/>
            </w:pPr>
            <w:r>
              <w:rPr>
                <w:color w:val="222222"/>
                <w:sz w:val="18"/>
              </w:rPr>
              <w:t>0 (Female) / 1 (Male)</w:t>
            </w:r>
          </w:p>
        </w:tc>
        <w:tc>
          <w:tcPr>
            <w:tcW w:type="dxa" w:w="2016"/>
            <w:shd w:fill="F4F7FA"/>
            <w:tcMar>
              <w:top w:w="90" w:type="dxa"/>
              <w:bottom w:w="90" w:type="dxa"/>
              <w:left w:w="140" w:type="dxa"/>
              <w:right w:w="140" w:type="dxa"/>
            </w:tcMar>
          </w:tcPr>
          <w:p>
            <w:pPr>
              <w:jc w:val="left"/>
            </w:pPr>
            <w:r>
              <w:rPr>
                <w:color w:val="222222"/>
                <w:sz w:val="18"/>
              </w:rPr>
              <w:t>Biological sex distribution (38% Male, 62% Female)</w:t>
            </w:r>
          </w:p>
        </w:tc>
      </w:tr>
      <w:tr>
        <w:tc>
          <w:tcPr>
            <w:tcW w:type="dxa" w:w="2016"/>
            <w:shd w:fill="FFFFFF"/>
            <w:tcMar>
              <w:top w:w="90" w:type="dxa"/>
              <w:bottom w:w="90" w:type="dxa"/>
              <w:left w:w="140" w:type="dxa"/>
              <w:right w:w="140" w:type="dxa"/>
            </w:tcMar>
          </w:tcPr>
          <w:p>
            <w:pPr>
              <w:jc w:val="left"/>
            </w:pPr>
            <w:r>
              <w:rPr>
                <w:color w:val="222222"/>
                <w:sz w:val="18"/>
              </w:rPr>
              <w:t>Glucose</w:t>
            </w:r>
          </w:p>
        </w:tc>
        <w:tc>
          <w:tcPr>
            <w:tcW w:type="dxa" w:w="1296"/>
            <w:shd w:fill="FFFFFF"/>
            <w:tcMar>
              <w:top w:w="90" w:type="dxa"/>
              <w:bottom w:w="90" w:type="dxa"/>
              <w:left w:w="140" w:type="dxa"/>
              <w:right w:w="140" w:type="dxa"/>
            </w:tcMar>
          </w:tcPr>
          <w:p>
            <w:pPr>
              <w:jc w:val="left"/>
            </w:pPr>
            <w:r>
              <w:rPr>
                <w:color w:val="222222"/>
                <w:sz w:val="18"/>
              </w:rPr>
              <w:t>float64</w:t>
            </w:r>
          </w:p>
        </w:tc>
        <w:tc>
          <w:tcPr>
            <w:tcW w:type="dxa" w:w="2016"/>
            <w:shd w:fill="FFFFFF"/>
            <w:tcMar>
              <w:top w:w="90" w:type="dxa"/>
              <w:bottom w:w="90" w:type="dxa"/>
              <w:left w:w="140" w:type="dxa"/>
              <w:right w:w="140" w:type="dxa"/>
            </w:tcMar>
          </w:tcPr>
          <w:p>
            <w:pPr>
              <w:jc w:val="left"/>
            </w:pPr>
            <w:r>
              <w:rPr>
                <w:color w:val="222222"/>
                <w:sz w:val="18"/>
              </w:rPr>
              <w:t>137.28 ± 55.88</w:t>
            </w:r>
          </w:p>
        </w:tc>
        <w:tc>
          <w:tcPr>
            <w:tcW w:type="dxa" w:w="2016"/>
            <w:shd w:fill="FFFFFF"/>
            <w:tcMar>
              <w:top w:w="90" w:type="dxa"/>
              <w:bottom w:w="90" w:type="dxa"/>
              <w:left w:w="140" w:type="dxa"/>
              <w:right w:w="140" w:type="dxa"/>
            </w:tcMar>
          </w:tcPr>
          <w:p>
            <w:pPr>
              <w:jc w:val="left"/>
            </w:pPr>
            <w:r>
              <w:rPr>
                <w:color w:val="222222"/>
                <w:sz w:val="18"/>
              </w:rPr>
              <w:t>7.74 – 602.28 mg/dL</w:t>
            </w:r>
          </w:p>
        </w:tc>
        <w:tc>
          <w:tcPr>
            <w:tcW w:type="dxa" w:w="2016"/>
            <w:shd w:fill="FFFFFF"/>
            <w:tcMar>
              <w:top w:w="90" w:type="dxa"/>
              <w:bottom w:w="90" w:type="dxa"/>
              <w:left w:w="140" w:type="dxa"/>
              <w:right w:w="140" w:type="dxa"/>
            </w:tcMar>
          </w:tcPr>
          <w:p>
            <w:pPr>
              <w:jc w:val="left"/>
            </w:pPr>
            <w:r>
              <w:rPr>
                <w:color w:val="222222"/>
                <w:sz w:val="18"/>
              </w:rPr>
              <w:t>Fasting blood glucose enzymatic assay</w:t>
            </w:r>
          </w:p>
        </w:tc>
      </w:tr>
      <w:tr>
        <w:tc>
          <w:tcPr>
            <w:tcW w:type="dxa" w:w="2016"/>
            <w:shd w:fill="F4F7FA"/>
            <w:tcMar>
              <w:top w:w="90" w:type="dxa"/>
              <w:bottom w:w="90" w:type="dxa"/>
              <w:left w:w="140" w:type="dxa"/>
              <w:right w:w="140" w:type="dxa"/>
            </w:tcMar>
          </w:tcPr>
          <w:p>
            <w:pPr>
              <w:jc w:val="left"/>
            </w:pPr>
            <w:r>
              <w:rPr>
                <w:color w:val="222222"/>
                <w:sz w:val="18"/>
              </w:rPr>
              <w:t>weight</w:t>
            </w:r>
          </w:p>
        </w:tc>
        <w:tc>
          <w:tcPr>
            <w:tcW w:type="dxa" w:w="1296"/>
            <w:shd w:fill="F4F7FA"/>
            <w:tcMar>
              <w:top w:w="90" w:type="dxa"/>
              <w:bottom w:w="90" w:type="dxa"/>
              <w:left w:w="140" w:type="dxa"/>
              <w:right w:w="140" w:type="dxa"/>
            </w:tcMar>
          </w:tcPr>
          <w:p>
            <w:pPr>
              <w:jc w:val="left"/>
            </w:pPr>
            <w:r>
              <w:rPr>
                <w:color w:val="222222"/>
                <w:sz w:val="18"/>
              </w:rPr>
              <w:t>float64</w:t>
            </w:r>
          </w:p>
        </w:tc>
        <w:tc>
          <w:tcPr>
            <w:tcW w:type="dxa" w:w="2016"/>
            <w:shd w:fill="F4F7FA"/>
            <w:tcMar>
              <w:top w:w="90" w:type="dxa"/>
              <w:bottom w:w="90" w:type="dxa"/>
              <w:left w:w="140" w:type="dxa"/>
              <w:right w:w="140" w:type="dxa"/>
            </w:tcMar>
          </w:tcPr>
          <w:p>
            <w:pPr>
              <w:jc w:val="left"/>
            </w:pPr>
            <w:r>
              <w:rPr>
                <w:color w:val="222222"/>
                <w:sz w:val="18"/>
              </w:rPr>
              <w:t>54.06 ± 10.07</w:t>
            </w:r>
          </w:p>
        </w:tc>
        <w:tc>
          <w:tcPr>
            <w:tcW w:type="dxa" w:w="2016"/>
            <w:shd w:fill="F4F7FA"/>
            <w:tcMar>
              <w:top w:w="90" w:type="dxa"/>
              <w:bottom w:w="90" w:type="dxa"/>
              <w:left w:w="140" w:type="dxa"/>
              <w:right w:w="140" w:type="dxa"/>
            </w:tcMar>
          </w:tcPr>
          <w:p>
            <w:pPr>
              <w:jc w:val="left"/>
            </w:pPr>
            <w:r>
              <w:rPr>
                <w:color w:val="222222"/>
                <w:sz w:val="18"/>
              </w:rPr>
              <w:t>20.0 – 95.0 kg</w:t>
            </w:r>
          </w:p>
        </w:tc>
        <w:tc>
          <w:tcPr>
            <w:tcW w:type="dxa" w:w="2016"/>
            <w:shd w:fill="F4F7FA"/>
            <w:tcMar>
              <w:top w:w="90" w:type="dxa"/>
              <w:bottom w:w="90" w:type="dxa"/>
              <w:left w:w="140" w:type="dxa"/>
              <w:right w:w="140" w:type="dxa"/>
            </w:tcMar>
          </w:tcPr>
          <w:p>
            <w:pPr>
              <w:jc w:val="left"/>
            </w:pPr>
            <w:r>
              <w:rPr>
                <w:color w:val="222222"/>
                <w:sz w:val="18"/>
              </w:rPr>
              <w:t>Body mass assessed via calibrated medical scales</w:t>
            </w:r>
          </w:p>
        </w:tc>
      </w:tr>
      <w:tr>
        <w:tc>
          <w:tcPr>
            <w:tcW w:type="dxa" w:w="2016"/>
            <w:shd w:fill="FFFFFF"/>
            <w:tcMar>
              <w:top w:w="90" w:type="dxa"/>
              <w:bottom w:w="90" w:type="dxa"/>
              <w:left w:w="140" w:type="dxa"/>
              <w:right w:w="140" w:type="dxa"/>
            </w:tcMar>
          </w:tcPr>
          <w:p>
            <w:pPr>
              <w:jc w:val="left"/>
            </w:pPr>
            <w:r>
              <w:rPr>
                <w:color w:val="222222"/>
                <w:sz w:val="18"/>
              </w:rPr>
              <w:t>height</w:t>
            </w:r>
          </w:p>
        </w:tc>
        <w:tc>
          <w:tcPr>
            <w:tcW w:type="dxa" w:w="1296"/>
            <w:shd w:fill="FFFFFF"/>
            <w:tcMar>
              <w:top w:w="90" w:type="dxa"/>
              <w:bottom w:w="90" w:type="dxa"/>
              <w:left w:w="140" w:type="dxa"/>
              <w:right w:w="140" w:type="dxa"/>
            </w:tcMar>
          </w:tcPr>
          <w:p>
            <w:pPr>
              <w:jc w:val="left"/>
            </w:pPr>
            <w:r>
              <w:rPr>
                <w:color w:val="222222"/>
                <w:sz w:val="18"/>
              </w:rPr>
              <w:t>float64</w:t>
            </w:r>
          </w:p>
        </w:tc>
        <w:tc>
          <w:tcPr>
            <w:tcW w:type="dxa" w:w="2016"/>
            <w:shd w:fill="FFFFFF"/>
            <w:tcMar>
              <w:top w:w="90" w:type="dxa"/>
              <w:bottom w:w="90" w:type="dxa"/>
              <w:left w:w="140" w:type="dxa"/>
              <w:right w:w="140" w:type="dxa"/>
            </w:tcMar>
          </w:tcPr>
          <w:p>
            <w:pPr>
              <w:jc w:val="left"/>
            </w:pPr>
            <w:r>
              <w:rPr>
                <w:color w:val="222222"/>
                <w:sz w:val="18"/>
              </w:rPr>
              <w:t>1.56 ± 0.08</w:t>
            </w:r>
          </w:p>
        </w:tc>
        <w:tc>
          <w:tcPr>
            <w:tcW w:type="dxa" w:w="2016"/>
            <w:shd w:fill="FFFFFF"/>
            <w:tcMar>
              <w:top w:w="90" w:type="dxa"/>
              <w:bottom w:w="90" w:type="dxa"/>
              <w:left w:w="140" w:type="dxa"/>
              <w:right w:w="140" w:type="dxa"/>
            </w:tcMar>
          </w:tcPr>
          <w:p>
            <w:pPr>
              <w:jc w:val="left"/>
            </w:pPr>
            <w:r>
              <w:rPr>
                <w:color w:val="222222"/>
                <w:sz w:val="18"/>
              </w:rPr>
              <w:t>1.30 – 1.92 m</w:t>
            </w:r>
          </w:p>
        </w:tc>
        <w:tc>
          <w:tcPr>
            <w:tcW w:type="dxa" w:w="2016"/>
            <w:shd w:fill="FFFFFF"/>
            <w:tcMar>
              <w:top w:w="90" w:type="dxa"/>
              <w:bottom w:w="90" w:type="dxa"/>
              <w:left w:w="140" w:type="dxa"/>
              <w:right w:w="140" w:type="dxa"/>
            </w:tcMar>
          </w:tcPr>
          <w:p>
            <w:pPr>
              <w:jc w:val="left"/>
            </w:pPr>
            <w:r>
              <w:rPr>
                <w:color w:val="222222"/>
                <w:sz w:val="18"/>
              </w:rPr>
              <w:t>Standing stature measured via stadiometer</w:t>
            </w:r>
          </w:p>
        </w:tc>
      </w:tr>
      <w:tr>
        <w:tc>
          <w:tcPr>
            <w:tcW w:type="dxa" w:w="2016"/>
            <w:shd w:fill="F4F7FA"/>
            <w:tcMar>
              <w:top w:w="90" w:type="dxa"/>
              <w:bottom w:w="90" w:type="dxa"/>
              <w:left w:w="140" w:type="dxa"/>
              <w:right w:w="140" w:type="dxa"/>
            </w:tcMar>
          </w:tcPr>
          <w:p>
            <w:pPr>
              <w:jc w:val="left"/>
            </w:pPr>
            <w:r>
              <w:rPr>
                <w:color w:val="222222"/>
                <w:sz w:val="18"/>
              </w:rPr>
              <w:t>bmi</w:t>
            </w:r>
          </w:p>
        </w:tc>
        <w:tc>
          <w:tcPr>
            <w:tcW w:type="dxa" w:w="1296"/>
            <w:shd w:fill="F4F7FA"/>
            <w:tcMar>
              <w:top w:w="90" w:type="dxa"/>
              <w:bottom w:w="90" w:type="dxa"/>
              <w:left w:w="140" w:type="dxa"/>
              <w:right w:w="140" w:type="dxa"/>
            </w:tcMar>
          </w:tcPr>
          <w:p>
            <w:pPr>
              <w:jc w:val="left"/>
            </w:pPr>
            <w:r>
              <w:rPr>
                <w:color w:val="222222"/>
                <w:sz w:val="18"/>
              </w:rPr>
              <w:t>float64</w:t>
            </w:r>
          </w:p>
        </w:tc>
        <w:tc>
          <w:tcPr>
            <w:tcW w:type="dxa" w:w="2016"/>
            <w:shd w:fill="F4F7FA"/>
            <w:tcMar>
              <w:top w:w="90" w:type="dxa"/>
              <w:bottom w:w="90" w:type="dxa"/>
              <w:left w:w="140" w:type="dxa"/>
              <w:right w:w="140" w:type="dxa"/>
            </w:tcMar>
          </w:tcPr>
          <w:p>
            <w:pPr>
              <w:jc w:val="left"/>
            </w:pPr>
            <w:r>
              <w:rPr>
                <w:color w:val="222222"/>
                <w:sz w:val="18"/>
              </w:rPr>
              <w:t>22.31 ± 4.06</w:t>
            </w:r>
          </w:p>
        </w:tc>
        <w:tc>
          <w:tcPr>
            <w:tcW w:type="dxa" w:w="2016"/>
            <w:shd w:fill="F4F7FA"/>
            <w:tcMar>
              <w:top w:w="90" w:type="dxa"/>
              <w:bottom w:w="90" w:type="dxa"/>
              <w:left w:w="140" w:type="dxa"/>
              <w:right w:w="140" w:type="dxa"/>
            </w:tcMar>
          </w:tcPr>
          <w:p>
            <w:pPr>
              <w:jc w:val="left"/>
            </w:pPr>
            <w:r>
              <w:rPr>
                <w:color w:val="222222"/>
                <w:sz w:val="18"/>
              </w:rPr>
              <w:t>10.02 – 45.86 kg/m²</w:t>
            </w:r>
          </w:p>
        </w:tc>
        <w:tc>
          <w:tcPr>
            <w:tcW w:type="dxa" w:w="2016"/>
            <w:shd w:fill="F4F7FA"/>
            <w:tcMar>
              <w:top w:w="90" w:type="dxa"/>
              <w:bottom w:w="90" w:type="dxa"/>
              <w:left w:w="140" w:type="dxa"/>
              <w:right w:w="140" w:type="dxa"/>
            </w:tcMar>
          </w:tcPr>
          <w:p>
            <w:pPr>
              <w:jc w:val="left"/>
            </w:pPr>
            <w:r>
              <w:rPr>
                <w:color w:val="222222"/>
                <w:sz w:val="18"/>
              </w:rPr>
              <w:t>Calculated Body Mass Index (weight / height²)</w:t>
            </w:r>
          </w:p>
        </w:tc>
      </w:tr>
      <w:tr>
        <w:tc>
          <w:tcPr>
            <w:tcW w:type="dxa" w:w="2016"/>
            <w:shd w:fill="FFFFFF"/>
            <w:tcMar>
              <w:top w:w="90" w:type="dxa"/>
              <w:bottom w:w="90" w:type="dxa"/>
              <w:left w:w="140" w:type="dxa"/>
              <w:right w:w="140" w:type="dxa"/>
            </w:tcMar>
          </w:tcPr>
          <w:p>
            <w:pPr>
              <w:jc w:val="left"/>
            </w:pPr>
            <w:r>
              <w:rPr>
                <w:color w:val="222222"/>
                <w:sz w:val="18"/>
              </w:rPr>
              <w:t>systolic_bp</w:t>
            </w:r>
          </w:p>
        </w:tc>
        <w:tc>
          <w:tcPr>
            <w:tcW w:type="dxa" w:w="1296"/>
            <w:shd w:fill="FFFFFF"/>
            <w:tcMar>
              <w:top w:w="90" w:type="dxa"/>
              <w:bottom w:w="90" w:type="dxa"/>
              <w:left w:w="140" w:type="dxa"/>
              <w:right w:w="140" w:type="dxa"/>
            </w:tcMar>
          </w:tcPr>
          <w:p>
            <w:pPr>
              <w:jc w:val="left"/>
            </w:pPr>
            <w:r>
              <w:rPr>
                <w:color w:val="222222"/>
                <w:sz w:val="18"/>
              </w:rPr>
              <w:t>int64</w:t>
            </w:r>
          </w:p>
        </w:tc>
        <w:tc>
          <w:tcPr>
            <w:tcW w:type="dxa" w:w="2016"/>
            <w:shd w:fill="FFFFFF"/>
            <w:tcMar>
              <w:top w:w="90" w:type="dxa"/>
              <w:bottom w:w="90" w:type="dxa"/>
              <w:left w:w="140" w:type="dxa"/>
              <w:right w:w="140" w:type="dxa"/>
            </w:tcMar>
          </w:tcPr>
          <w:p>
            <w:pPr>
              <w:jc w:val="left"/>
            </w:pPr>
            <w:r>
              <w:rPr>
                <w:color w:val="222222"/>
                <w:sz w:val="18"/>
              </w:rPr>
              <w:t>134.53 ± 22.16</w:t>
            </w:r>
          </w:p>
        </w:tc>
        <w:tc>
          <w:tcPr>
            <w:tcW w:type="dxa" w:w="2016"/>
            <w:shd w:fill="FFFFFF"/>
            <w:tcMar>
              <w:top w:w="90" w:type="dxa"/>
              <w:bottom w:w="90" w:type="dxa"/>
              <w:left w:w="140" w:type="dxa"/>
              <w:right w:w="140" w:type="dxa"/>
            </w:tcMar>
          </w:tcPr>
          <w:p>
            <w:pPr>
              <w:jc w:val="left"/>
            </w:pPr>
            <w:r>
              <w:rPr>
                <w:color w:val="222222"/>
                <w:sz w:val="18"/>
              </w:rPr>
              <w:t>86 – 226 mmHg</w:t>
            </w:r>
          </w:p>
        </w:tc>
        <w:tc>
          <w:tcPr>
            <w:tcW w:type="dxa" w:w="2016"/>
            <w:shd w:fill="FFFFFF"/>
            <w:tcMar>
              <w:top w:w="90" w:type="dxa"/>
              <w:bottom w:w="90" w:type="dxa"/>
              <w:left w:w="140" w:type="dxa"/>
              <w:right w:w="140" w:type="dxa"/>
            </w:tcMar>
          </w:tcPr>
          <w:p>
            <w:pPr>
              <w:jc w:val="left"/>
            </w:pPr>
            <w:r>
              <w:rPr>
                <w:color w:val="222222"/>
                <w:sz w:val="18"/>
              </w:rPr>
              <w:t>Arterial pressure during ventricular contraction</w:t>
            </w:r>
          </w:p>
        </w:tc>
      </w:tr>
      <w:tr>
        <w:tc>
          <w:tcPr>
            <w:tcW w:type="dxa" w:w="2016"/>
            <w:shd w:fill="F4F7FA"/>
            <w:tcMar>
              <w:top w:w="90" w:type="dxa"/>
              <w:bottom w:w="90" w:type="dxa"/>
              <w:left w:w="140" w:type="dxa"/>
              <w:right w:w="140" w:type="dxa"/>
            </w:tcMar>
          </w:tcPr>
          <w:p>
            <w:pPr>
              <w:jc w:val="left"/>
            </w:pPr>
            <w:r>
              <w:rPr>
                <w:color w:val="222222"/>
                <w:sz w:val="18"/>
              </w:rPr>
              <w:t>diastolic_bp</w:t>
            </w:r>
          </w:p>
        </w:tc>
        <w:tc>
          <w:tcPr>
            <w:tcW w:type="dxa" w:w="1296"/>
            <w:shd w:fill="F4F7FA"/>
            <w:tcMar>
              <w:top w:w="90" w:type="dxa"/>
              <w:bottom w:w="90" w:type="dxa"/>
              <w:left w:w="140" w:type="dxa"/>
              <w:right w:w="140" w:type="dxa"/>
            </w:tcMar>
          </w:tcPr>
          <w:p>
            <w:pPr>
              <w:jc w:val="left"/>
            </w:pPr>
            <w:r>
              <w:rPr>
                <w:color w:val="222222"/>
                <w:sz w:val="18"/>
              </w:rPr>
              <w:t>int64</w:t>
            </w:r>
          </w:p>
        </w:tc>
        <w:tc>
          <w:tcPr>
            <w:tcW w:type="dxa" w:w="2016"/>
            <w:shd w:fill="F4F7FA"/>
            <w:tcMar>
              <w:top w:w="90" w:type="dxa"/>
              <w:bottom w:w="90" w:type="dxa"/>
              <w:left w:w="140" w:type="dxa"/>
              <w:right w:w="140" w:type="dxa"/>
            </w:tcMar>
          </w:tcPr>
          <w:p>
            <w:pPr>
              <w:jc w:val="left"/>
            </w:pPr>
            <w:r>
              <w:rPr>
                <w:color w:val="222222"/>
                <w:sz w:val="18"/>
              </w:rPr>
              <w:t>82.07 ± 12.54</w:t>
            </w:r>
          </w:p>
        </w:tc>
        <w:tc>
          <w:tcPr>
            <w:tcW w:type="dxa" w:w="2016"/>
            <w:shd w:fill="F4F7FA"/>
            <w:tcMar>
              <w:top w:w="90" w:type="dxa"/>
              <w:bottom w:w="90" w:type="dxa"/>
              <w:left w:w="140" w:type="dxa"/>
              <w:right w:w="140" w:type="dxa"/>
            </w:tcMar>
          </w:tcPr>
          <w:p>
            <w:pPr>
              <w:jc w:val="left"/>
            </w:pPr>
            <w:r>
              <w:rPr>
                <w:color w:val="222222"/>
                <w:sz w:val="18"/>
              </w:rPr>
              <w:t>51 – 119 mmHg</w:t>
            </w:r>
          </w:p>
        </w:tc>
        <w:tc>
          <w:tcPr>
            <w:tcW w:type="dxa" w:w="2016"/>
            <w:shd w:fill="F4F7FA"/>
            <w:tcMar>
              <w:top w:w="90" w:type="dxa"/>
              <w:bottom w:w="90" w:type="dxa"/>
              <w:left w:w="140" w:type="dxa"/>
              <w:right w:w="140" w:type="dxa"/>
            </w:tcMar>
          </w:tcPr>
          <w:p>
            <w:pPr>
              <w:jc w:val="left"/>
            </w:pPr>
            <w:r>
              <w:rPr>
                <w:color w:val="222222"/>
                <w:sz w:val="18"/>
              </w:rPr>
              <w:t>Arterial pressure during ventricular relaxation</w:t>
            </w:r>
          </w:p>
        </w:tc>
      </w:tr>
      <w:tr>
        <w:tc>
          <w:tcPr>
            <w:tcW w:type="dxa" w:w="2016"/>
            <w:shd w:fill="FFFFFF"/>
            <w:tcMar>
              <w:top w:w="90" w:type="dxa"/>
              <w:bottom w:w="90" w:type="dxa"/>
              <w:left w:w="140" w:type="dxa"/>
              <w:right w:w="140" w:type="dxa"/>
            </w:tcMar>
          </w:tcPr>
          <w:p>
            <w:pPr>
              <w:jc w:val="left"/>
            </w:pPr>
            <w:r>
              <w:rPr>
                <w:color w:val="222222"/>
                <w:sz w:val="18"/>
              </w:rPr>
              <w:t>Hba1c</w:t>
            </w:r>
          </w:p>
        </w:tc>
        <w:tc>
          <w:tcPr>
            <w:tcW w:type="dxa" w:w="1296"/>
            <w:shd w:fill="FFFFFF"/>
            <w:tcMar>
              <w:top w:w="90" w:type="dxa"/>
              <w:bottom w:w="90" w:type="dxa"/>
              <w:left w:w="140" w:type="dxa"/>
              <w:right w:w="140" w:type="dxa"/>
            </w:tcMar>
          </w:tcPr>
          <w:p>
            <w:pPr>
              <w:jc w:val="left"/>
            </w:pPr>
            <w:r>
              <w:rPr>
                <w:color w:val="222222"/>
                <w:sz w:val="18"/>
              </w:rPr>
              <w:t>float64</w:t>
            </w:r>
          </w:p>
        </w:tc>
        <w:tc>
          <w:tcPr>
            <w:tcW w:type="dxa" w:w="2016"/>
            <w:shd w:fill="FFFFFF"/>
            <w:tcMar>
              <w:top w:w="90" w:type="dxa"/>
              <w:bottom w:w="90" w:type="dxa"/>
              <w:left w:w="140" w:type="dxa"/>
              <w:right w:w="140" w:type="dxa"/>
            </w:tcMar>
          </w:tcPr>
          <w:p>
            <w:pPr>
              <w:jc w:val="left"/>
            </w:pPr>
            <w:r>
              <w:rPr>
                <w:color w:val="222222"/>
                <w:sz w:val="18"/>
              </w:rPr>
              <w:t>6.05 ± 1.14</w:t>
            </w:r>
          </w:p>
        </w:tc>
        <w:tc>
          <w:tcPr>
            <w:tcW w:type="dxa" w:w="2016"/>
            <w:shd w:fill="FFFFFF"/>
            <w:tcMar>
              <w:top w:w="90" w:type="dxa"/>
              <w:bottom w:w="90" w:type="dxa"/>
              <w:left w:w="140" w:type="dxa"/>
              <w:right w:w="140" w:type="dxa"/>
            </w:tcMar>
          </w:tcPr>
          <w:p>
            <w:pPr>
              <w:jc w:val="left"/>
            </w:pPr>
            <w:r>
              <w:rPr>
                <w:color w:val="222222"/>
                <w:sz w:val="18"/>
              </w:rPr>
              <w:t>4.50 – 9.00 %</w:t>
            </w:r>
          </w:p>
        </w:tc>
        <w:tc>
          <w:tcPr>
            <w:tcW w:type="dxa" w:w="2016"/>
            <w:shd w:fill="FFFFFF"/>
            <w:tcMar>
              <w:top w:w="90" w:type="dxa"/>
              <w:bottom w:w="90" w:type="dxa"/>
              <w:left w:w="140" w:type="dxa"/>
              <w:right w:w="140" w:type="dxa"/>
            </w:tcMar>
          </w:tcPr>
          <w:p>
            <w:pPr>
              <w:jc w:val="left"/>
            </w:pPr>
            <w:r>
              <w:rPr>
                <w:color w:val="222222"/>
                <w:sz w:val="18"/>
              </w:rPr>
              <w:t>Gold-standard 3-month glycated hemoglobin assay</w:t>
            </w:r>
          </w:p>
        </w:tc>
      </w:tr>
      <w:tr>
        <w:tc>
          <w:tcPr>
            <w:tcW w:type="dxa" w:w="2016"/>
            <w:shd w:fill="F4F7FA"/>
            <w:tcMar>
              <w:top w:w="90" w:type="dxa"/>
              <w:bottom w:w="90" w:type="dxa"/>
              <w:left w:w="140" w:type="dxa"/>
              <w:right w:w="140" w:type="dxa"/>
            </w:tcMar>
          </w:tcPr>
          <w:p>
            <w:pPr>
              <w:jc w:val="left"/>
            </w:pPr>
            <w:r>
              <w:rPr>
                <w:color w:val="222222"/>
                <w:sz w:val="18"/>
              </w:rPr>
              <w:t>diabetic</w:t>
            </w:r>
          </w:p>
        </w:tc>
        <w:tc>
          <w:tcPr>
            <w:tcW w:type="dxa" w:w="1296"/>
            <w:shd w:fill="F4F7FA"/>
            <w:tcMar>
              <w:top w:w="90" w:type="dxa"/>
              <w:bottom w:w="90" w:type="dxa"/>
              <w:left w:w="140" w:type="dxa"/>
              <w:right w:w="140" w:type="dxa"/>
            </w:tcMar>
          </w:tcPr>
          <w:p>
            <w:pPr>
              <w:jc w:val="left"/>
            </w:pPr>
            <w:r>
              <w:rPr>
                <w:color w:val="222222"/>
                <w:sz w:val="18"/>
              </w:rPr>
              <w:t>object</w:t>
            </w:r>
          </w:p>
        </w:tc>
        <w:tc>
          <w:tcPr>
            <w:tcW w:type="dxa" w:w="2016"/>
            <w:shd w:fill="F4F7FA"/>
            <w:tcMar>
              <w:top w:w="90" w:type="dxa"/>
              <w:bottom w:w="90" w:type="dxa"/>
              <w:left w:w="140" w:type="dxa"/>
              <w:right w:w="140" w:type="dxa"/>
            </w:tcMar>
          </w:tcPr>
          <w:p>
            <w:pPr>
              <w:jc w:val="left"/>
            </w:pPr>
            <w:r>
              <w:rPr>
                <w:color w:val="222222"/>
                <w:sz w:val="18"/>
              </w:rPr>
              <w:t>Low / Med / High</w:t>
            </w:r>
          </w:p>
        </w:tc>
        <w:tc>
          <w:tcPr>
            <w:tcW w:type="dxa" w:w="2016"/>
            <w:shd w:fill="F4F7FA"/>
            <w:tcMar>
              <w:top w:w="90" w:type="dxa"/>
              <w:bottom w:w="90" w:type="dxa"/>
              <w:left w:w="140" w:type="dxa"/>
              <w:right w:w="140" w:type="dxa"/>
            </w:tcMar>
          </w:tcPr>
          <w:p>
            <w:pPr>
              <w:jc w:val="left"/>
            </w:pPr>
            <w:r>
              <w:rPr>
                <w:color w:val="222222"/>
                <w:sz w:val="18"/>
              </w:rPr>
              <w:t>3 Discrete Tiers</w:t>
            </w:r>
          </w:p>
        </w:tc>
        <w:tc>
          <w:tcPr>
            <w:tcW w:type="dxa" w:w="2016"/>
            <w:shd w:fill="F4F7FA"/>
            <w:tcMar>
              <w:top w:w="90" w:type="dxa"/>
              <w:bottom w:w="90" w:type="dxa"/>
              <w:left w:w="140" w:type="dxa"/>
              <w:right w:w="140" w:type="dxa"/>
            </w:tcMar>
          </w:tcPr>
          <w:p>
            <w:pPr>
              <w:jc w:val="left"/>
            </w:pPr>
            <w:r>
              <w:rPr>
                <w:color w:val="222222"/>
                <w:sz w:val="18"/>
              </w:rPr>
              <w:t>Ground truth ADA clinical risk stratification</w:t>
            </w:r>
          </w:p>
        </w:tc>
      </w:tr>
    </w:tbl>
    <w:p/>
    <w:p>
      <w:pPr>
        <w:keepNext/>
        <w:spacing w:before="400" w:after="160"/>
      </w:pPr>
      <w:r>
        <w:rPr>
          <w:rFonts w:ascii="Arial" w:hAnsi="Arial"/>
          <w:b/>
          <w:color w:val="1B365D"/>
          <w:sz w:val="34"/>
        </w:rPr>
        <w:t>Step 4: Clinical Biomarker Engineering &amp; Interaction Derivation</w:t>
      </w:r>
    </w:p>
    <w:p>
      <w:r>
        <w:t>In Cell 8 of the notebook, four physiological interaction features are derived to enrich the raw 9-dimensional patient vector into a 13-dimensional continuous manifold:</w:t>
      </w:r>
    </w:p>
    <w:p>
      <w:r>
        <w:t>1. Mean Arterial Pressure (MAP):</w:t>
        <w:br/>
        <w:t xml:space="preserve">   MAP = diastolic_bp + (systolic_bp - diastolic_bp) / 3.0</w:t>
        <w:br/>
        <w:t xml:space="preserve">   • Physiological Basis: Measures the perfusion pressure driving blood through capillary beds during a full cardiac cycle (1/3 systole, 2/3 diastole).</w:t>
        <w:br/>
        <w:br/>
        <w:t>2. Pulse Pressure (PP):</w:t>
        <w:br/>
        <w:t xml:space="preserve">   Pulse_Pressure = systolic_bp - diastolic_bp</w:t>
        <w:br/>
        <w:t xml:space="preserve">   • Physiological Basis: Quantifies aortic compliance. Values &gt; 60 mmHg reflect vascular stiffening and accelerated vascular aging.</w:t>
        <w:br/>
        <w:br/>
        <w:t>3. Glucose-to-HbA1c Ratio:</w:t>
        <w:br/>
        <w:t xml:space="preserve">   Glucose_HbA1c_Ratio = Glucose / (Hba1c + 1e-5)</w:t>
        <w:br/>
        <w:t xml:space="preserve">   • Physiological Basis: Acute-to-chronic metabolic ratio. Identifies unstable glycemic spikes vs steady-state diabetes.</w:t>
        <w:br/>
        <w:br/>
        <w:t>4. Metabolic Risk Index:</w:t>
        <w:br/>
        <w:t xml:space="preserve">   Metabolic_Index = (bmi * Age) / 100.0</w:t>
        <w:br/>
        <w:t xml:space="preserve">   • Physiological Basis: Models cumulative duration of adiposity-driven peripheral insulin resistance.</w:t>
      </w:r>
    </w:p>
    <w:p>
      <w:pPr>
        <w:keepNext/>
        <w:spacing w:before="400" w:after="160"/>
      </w:pPr>
      <w:r>
        <w:rPr>
          <w:rFonts w:ascii="Arial" w:hAnsi="Arial"/>
          <w:b/>
          <w:color w:val="1B365D"/>
          <w:sz w:val="34"/>
        </w:rPr>
        <w:t>Step 5 &amp; Step 6: 3-Way Stratified Partitioning &amp; Leakage-Free Scaling</w:t>
      </w:r>
    </w:p>
    <w:p>
      <w:r>
        <w:t>In Cells 10 and 12, the notebook implements a strict two-stage stratified data partition to guarantee that zero validation or test parameters leak into the training process: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B365D"/>
            <w:tcMar>
              <w:top w:w="120" w:type="dxa"/>
              <w:bottom w:w="120" w:type="dxa"/>
              <w:left w:w="140" w:type="dxa"/>
              <w:right w:w="140" w:type="dxa"/>
            </w:tcMar>
          </w:tcPr>
          <w:p>
            <w:pPr>
              <w:jc w:val="left"/>
            </w:pPr>
            <w:r>
              <w:rPr>
                <w:b/>
                <w:color w:val="FFFFFF"/>
                <w:sz w:val="19"/>
              </w:rPr>
              <w:t>Partition</w:t>
            </w:r>
          </w:p>
        </w:tc>
        <w:tc>
          <w:tcPr>
            <w:tcW w:type="dxa" w:w="2592"/>
            <w:shd w:fill="1B365D"/>
            <w:tcMar>
              <w:top w:w="120" w:type="dxa"/>
              <w:bottom w:w="120" w:type="dxa"/>
              <w:left w:w="140" w:type="dxa"/>
              <w:right w:w="140" w:type="dxa"/>
            </w:tcMar>
          </w:tcPr>
          <w:p>
            <w:pPr>
              <w:jc w:val="left"/>
            </w:pPr>
            <w:r>
              <w:rPr>
                <w:b/>
                <w:color w:val="FFFFFF"/>
                <w:sz w:val="19"/>
              </w:rPr>
              <w:t>Cohort Size</w:t>
            </w:r>
          </w:p>
        </w:tc>
        <w:tc>
          <w:tcPr>
            <w:tcW w:type="dxa" w:w="2592"/>
            <w:shd w:fill="1B365D"/>
            <w:tcMar>
              <w:top w:w="120" w:type="dxa"/>
              <w:bottom w:w="120" w:type="dxa"/>
              <w:left w:w="140" w:type="dxa"/>
              <w:right w:w="140" w:type="dxa"/>
            </w:tcMar>
          </w:tcPr>
          <w:p>
            <w:pPr>
              <w:jc w:val="left"/>
            </w:pPr>
            <w:r>
              <w:rPr>
                <w:b/>
                <w:color w:val="FFFFFF"/>
                <w:sz w:val="19"/>
              </w:rPr>
              <w:t>Role in Pipeline</w:t>
            </w:r>
          </w:p>
        </w:tc>
        <w:tc>
          <w:tcPr>
            <w:tcW w:type="dxa" w:w="2016"/>
            <w:shd w:fill="1B365D"/>
            <w:tcMar>
              <w:top w:w="120" w:type="dxa"/>
              <w:bottom w:w="120" w:type="dxa"/>
              <w:left w:w="140" w:type="dxa"/>
              <w:right w:w="140" w:type="dxa"/>
            </w:tcMar>
          </w:tcPr>
          <w:p>
            <w:pPr>
              <w:jc w:val="left"/>
            </w:pPr>
            <w:r>
              <w:rPr>
                <w:b/>
                <w:color w:val="FFFFFF"/>
                <w:sz w:val="19"/>
              </w:rPr>
              <w:t>Scaling Isolation Rule</w:t>
            </w:r>
          </w:p>
        </w:tc>
      </w:tr>
      <w:tr>
        <w:tc>
          <w:tcPr>
            <w:tcW w:type="dxa" w:w="2160"/>
            <w:shd w:fill="FFFFFF"/>
            <w:tcMar>
              <w:top w:w="90" w:type="dxa"/>
              <w:bottom w:w="90" w:type="dxa"/>
              <w:left w:w="140" w:type="dxa"/>
              <w:right w:w="140" w:type="dxa"/>
            </w:tcMar>
          </w:tcPr>
          <w:p>
            <w:pPr>
              <w:jc w:val="left"/>
            </w:pPr>
            <w:r>
              <w:rPr>
                <w:color w:val="222222"/>
                <w:sz w:val="18"/>
              </w:rPr>
              <w:t>1. Training Set</w:t>
            </w:r>
          </w:p>
        </w:tc>
        <w:tc>
          <w:tcPr>
            <w:tcW w:type="dxa" w:w="2592"/>
            <w:shd w:fill="FFFFFF"/>
            <w:tcMar>
              <w:top w:w="90" w:type="dxa"/>
              <w:bottom w:w="90" w:type="dxa"/>
              <w:left w:w="140" w:type="dxa"/>
              <w:right w:w="140" w:type="dxa"/>
            </w:tcMar>
          </w:tcPr>
          <w:p>
            <w:pPr>
              <w:jc w:val="left"/>
            </w:pPr>
            <w:r>
              <w:rPr>
                <w:color w:val="222222"/>
                <w:sz w:val="18"/>
              </w:rPr>
              <w:t>1,328 patients (70.0%)</w:t>
            </w:r>
          </w:p>
        </w:tc>
        <w:tc>
          <w:tcPr>
            <w:tcW w:type="dxa" w:w="2592"/>
            <w:shd w:fill="FFFFFF"/>
            <w:tcMar>
              <w:top w:w="90" w:type="dxa"/>
              <w:bottom w:w="90" w:type="dxa"/>
              <w:left w:w="140" w:type="dxa"/>
              <w:right w:w="140" w:type="dxa"/>
            </w:tcMar>
          </w:tcPr>
          <w:p>
            <w:pPr>
              <w:jc w:val="left"/>
            </w:pPr>
            <w:r>
              <w:rPr>
                <w:color w:val="222222"/>
                <w:sz w:val="18"/>
              </w:rPr>
              <w:t>Backpropagation, gradient descent &amp; MixUp augmentation</w:t>
            </w:r>
          </w:p>
        </w:tc>
        <w:tc>
          <w:tcPr>
            <w:tcW w:type="dxa" w:w="2016"/>
            <w:shd w:fill="FFFFFF"/>
            <w:tcMar>
              <w:top w:w="90" w:type="dxa"/>
              <w:bottom w:w="90" w:type="dxa"/>
              <w:left w:w="140" w:type="dxa"/>
              <w:right w:w="140" w:type="dxa"/>
            </w:tcMar>
          </w:tcPr>
          <w:p>
            <w:pPr>
              <w:jc w:val="left"/>
            </w:pPr>
            <w:r>
              <w:rPr>
                <w:color w:val="222222"/>
                <w:sz w:val="18"/>
              </w:rPr>
              <w:t>StandardScaler.fit_transform()</w:t>
            </w:r>
          </w:p>
        </w:tc>
      </w:tr>
      <w:tr>
        <w:tc>
          <w:tcPr>
            <w:tcW w:type="dxa" w:w="2160"/>
            <w:shd w:fill="F4F7FA"/>
            <w:tcMar>
              <w:top w:w="90" w:type="dxa"/>
              <w:bottom w:w="90" w:type="dxa"/>
              <w:left w:w="140" w:type="dxa"/>
              <w:right w:w="140" w:type="dxa"/>
            </w:tcMar>
          </w:tcPr>
          <w:p>
            <w:pPr>
              <w:jc w:val="left"/>
            </w:pPr>
            <w:r>
              <w:rPr>
                <w:color w:val="222222"/>
                <w:sz w:val="18"/>
              </w:rPr>
              <w:t>2. Validation Set</w:t>
            </w:r>
          </w:p>
        </w:tc>
        <w:tc>
          <w:tcPr>
            <w:tcW w:type="dxa" w:w="2592"/>
            <w:shd w:fill="F4F7FA"/>
            <w:tcMar>
              <w:top w:w="90" w:type="dxa"/>
              <w:bottom w:w="90" w:type="dxa"/>
              <w:left w:w="140" w:type="dxa"/>
              <w:right w:w="140" w:type="dxa"/>
            </w:tcMar>
          </w:tcPr>
          <w:p>
            <w:pPr>
              <w:jc w:val="left"/>
            </w:pPr>
            <w:r>
              <w:rPr>
                <w:color w:val="222222"/>
                <w:sz w:val="18"/>
              </w:rPr>
              <w:t>285 patients (15.0%)</w:t>
            </w:r>
          </w:p>
        </w:tc>
        <w:tc>
          <w:tcPr>
            <w:tcW w:type="dxa" w:w="2592"/>
            <w:shd w:fill="F4F7FA"/>
            <w:tcMar>
              <w:top w:w="90" w:type="dxa"/>
              <w:bottom w:w="90" w:type="dxa"/>
              <w:left w:w="140" w:type="dxa"/>
              <w:right w:w="140" w:type="dxa"/>
            </w:tcMar>
          </w:tcPr>
          <w:p>
            <w:pPr>
              <w:jc w:val="left"/>
            </w:pPr>
            <w:r>
              <w:rPr>
                <w:color w:val="222222"/>
                <w:sz w:val="18"/>
              </w:rPr>
              <w:t>Epoch-by-epoch macro-F1 evaluation &amp; checkpoint restoration</w:t>
            </w:r>
          </w:p>
        </w:tc>
        <w:tc>
          <w:tcPr>
            <w:tcW w:type="dxa" w:w="2016"/>
            <w:shd w:fill="F4F7FA"/>
            <w:tcMar>
              <w:top w:w="90" w:type="dxa"/>
              <w:bottom w:w="90" w:type="dxa"/>
              <w:left w:w="140" w:type="dxa"/>
              <w:right w:w="140" w:type="dxa"/>
            </w:tcMar>
          </w:tcPr>
          <w:p>
            <w:pPr>
              <w:jc w:val="left"/>
            </w:pPr>
            <w:r>
              <w:rPr>
                <w:color w:val="222222"/>
                <w:sz w:val="18"/>
              </w:rPr>
              <w:t>StandardScaler.transform()</w:t>
            </w:r>
          </w:p>
        </w:tc>
      </w:tr>
      <w:tr>
        <w:tc>
          <w:tcPr>
            <w:tcW w:type="dxa" w:w="2160"/>
            <w:shd w:fill="FFFFFF"/>
            <w:tcMar>
              <w:top w:w="90" w:type="dxa"/>
              <w:bottom w:w="90" w:type="dxa"/>
              <w:left w:w="140" w:type="dxa"/>
              <w:right w:w="140" w:type="dxa"/>
            </w:tcMar>
          </w:tcPr>
          <w:p>
            <w:pPr>
              <w:jc w:val="left"/>
            </w:pPr>
            <w:r>
              <w:rPr>
                <w:color w:val="222222"/>
                <w:sz w:val="18"/>
              </w:rPr>
              <w:t>3. Test Set</w:t>
            </w:r>
          </w:p>
        </w:tc>
        <w:tc>
          <w:tcPr>
            <w:tcW w:type="dxa" w:w="2592"/>
            <w:shd w:fill="FFFFFF"/>
            <w:tcMar>
              <w:top w:w="90" w:type="dxa"/>
              <w:bottom w:w="90" w:type="dxa"/>
              <w:left w:w="140" w:type="dxa"/>
              <w:right w:w="140" w:type="dxa"/>
            </w:tcMar>
          </w:tcPr>
          <w:p>
            <w:pPr>
              <w:jc w:val="left"/>
            </w:pPr>
            <w:r>
              <w:rPr>
                <w:color w:val="222222"/>
                <w:sz w:val="18"/>
              </w:rPr>
              <w:t>285 patients (15.0%)</w:t>
            </w:r>
          </w:p>
        </w:tc>
        <w:tc>
          <w:tcPr>
            <w:tcW w:type="dxa" w:w="2592"/>
            <w:shd w:fill="FFFFFF"/>
            <w:tcMar>
              <w:top w:w="90" w:type="dxa"/>
              <w:bottom w:w="90" w:type="dxa"/>
              <w:left w:w="140" w:type="dxa"/>
              <w:right w:w="140" w:type="dxa"/>
            </w:tcMar>
          </w:tcPr>
          <w:p>
            <w:pPr>
              <w:jc w:val="left"/>
            </w:pPr>
            <w:r>
              <w:rPr>
                <w:color w:val="222222"/>
                <w:sz w:val="18"/>
              </w:rPr>
              <w:t>Final untouched holdout evaluation (98.60% accuracy achieved)</w:t>
            </w:r>
          </w:p>
        </w:tc>
        <w:tc>
          <w:tcPr>
            <w:tcW w:type="dxa" w:w="2016"/>
            <w:shd w:fill="FFFFFF"/>
            <w:tcMar>
              <w:top w:w="90" w:type="dxa"/>
              <w:bottom w:w="90" w:type="dxa"/>
              <w:left w:w="140" w:type="dxa"/>
              <w:right w:w="140" w:type="dxa"/>
            </w:tcMar>
          </w:tcPr>
          <w:p>
            <w:pPr>
              <w:jc w:val="left"/>
            </w:pPr>
            <w:r>
              <w:rPr>
                <w:color w:val="222222"/>
                <w:sz w:val="18"/>
              </w:rPr>
              <w:t>StandardScaler.transform()</w:t>
            </w:r>
          </w:p>
        </w:tc>
      </w:tr>
    </w:tbl>
    <w:p/>
    <w:p>
      <w:pPr>
        <w:keepNext/>
        <w:spacing w:before="400" w:after="160"/>
      </w:pPr>
      <w:r>
        <w:rPr>
          <w:rFonts w:ascii="Arial" w:hAnsi="Arial"/>
          <w:b/>
          <w:color w:val="1B365D"/>
          <w:sz w:val="34"/>
        </w:rPr>
        <w:t>Step 7: Deep Tabular ResNet (DiabetesTabularResNet) Neural Architecture</w:t>
      </w:r>
    </w:p>
    <w:p>
      <w:r>
        <w:t>In Cell 14, the notebook defines DiabetesTabularResNet using PyTorch. The model incorporates dense residual skip connections that preserve continuous feature gradients across depth:</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3_neural_architecture.png"/>
                    <pic:cNvPicPr/>
                  </pic:nvPicPr>
                  <pic:blipFill>
                    <a:blip r:embed="rId11"/>
                    <a:stretch>
                      <a:fillRect/>
                    </a:stretch>
                  </pic:blipFill>
                  <pic:spPr>
                    <a:xfrm>
                      <a:off x="0" y="0"/>
                      <a:ext cx="5669280" cy="3401568"/>
                    </a:xfrm>
                    <a:prstGeom prst="rect"/>
                  </pic:spPr>
                </pic:pic>
              </a:graphicData>
            </a:graphic>
          </wp:inline>
        </w:drawing>
      </w:r>
    </w:p>
    <w:p>
      <w:pPr>
        <w:spacing w:after="240"/>
        <w:jc w:val="center"/>
      </w:pPr>
      <w:r>
        <w:rPr>
          <w:i/>
          <w:color w:val="64748B"/>
          <w:sz w:val="18"/>
        </w:rPr>
        <w:t>Figure 7.1: Deep Tabular ResNet (DiabetesTabularResNet) Block Architecture Schematic.</w:t>
      </w:r>
    </w:p>
    <w:p>
      <w:r>
        <w:t>• Input Projection: Maps the 13 normalized features to 128 dimensions using Linear(13, 128) + BatchNorm1d + GELU.</w:t>
        <w:br/>
        <w:t>• Tabular Residual Block 1: Two Linear(128, 128) transformations with BatchNorm, GELU, and Dropout (0.20 / 0.15), bypassed by an identity skip connection: y = x + F(x).</w:t>
        <w:br/>
        <w:t>• Tabular Residual Block 2: Second residual refinement block with identical skip addition.</w:t>
        <w:br/>
        <w:t>• Classifier Head: Linear(128, 64) + BatchNorm1d + GELU + Dropout(0.10) -&gt; Linear(64, 3).</w:t>
        <w:br/>
        <w:t>• Total Parameters: 76,867 trainable parameters initialized via Kaiming Normal (He) initialization.</w:t>
      </w:r>
    </w:p>
    <w:p>
      <w:pPr>
        <w:keepNext/>
        <w:spacing w:before="400" w:after="160"/>
      </w:pPr>
      <w:r>
        <w:rPr>
          <w:rFonts w:ascii="Arial" w:hAnsi="Arial"/>
          <w:b/>
          <w:color w:val="1B365D"/>
          <w:sz w:val="34"/>
        </w:rPr>
        <w:t>Step 8 &amp; Step 9: Optimization Setup &amp; Epoch Training with MixUp</w:t>
      </w:r>
    </w:p>
    <w:p>
      <w:r>
        <w:t>In Cells 16 and 18, the optimization pipeline is configured and executed:</w:t>
      </w:r>
    </w:p>
    <w:p>
      <w:r>
        <w:t>1. Balanced Class Weights:</w:t>
        <w:br/>
        <w:t xml:space="preserve">   W_Low = 0.7744, W_Medium = 1.0406, W_High = 1.3376 applied to CrossEntropyLoss.</w:t>
        <w:br/>
        <w:br/>
        <w:t>2. Label Smoothing (ε = 0.03):</w:t>
        <w:br/>
        <w:t xml:space="preserve">   Replaces hard one-hot targets with soft distributions, preventing overconfident misclassifications on borderline HbA1c values.</w:t>
        <w:br/>
        <w:br/>
        <w:t>3. MixUp Tabular Data Augmentation:</w:t>
        <w:br/>
        <w:t xml:space="preserve">   Applied with 50% probability per mini-batch: x_mix = λ x_i + (1 - λ) x_j, where λ ~ Beta(0.2, 0.2).</w:t>
        <w:br/>
        <w:br/>
        <w:t>4. AdamW &amp; Cosine Annealing Learning Rate:</w:t>
        <w:br/>
        <w:t xml:space="preserve">   Optimizer: AdamW(lr=3e-3, weight_decay=1e-4) paired with CosineAnnealingLR(T_max=100, eta_min=1e-5).</w:t>
        <w:br/>
        <w:br/>
        <w:t>5. Dynamic Checkpoint Recovery:</w:t>
        <w:br/>
        <w:t xml:space="preserve">   At each epoch, the validation macro-F1 score is evaluated. The state_dict achieving peak validation performance is saved and restored.</w:t>
      </w:r>
    </w:p>
    <w:p>
      <w:pPr>
        <w:keepNext/>
        <w:spacing w:before="400" w:after="160"/>
      </w:pPr>
      <w:r>
        <w:rPr>
          <w:rFonts w:ascii="Arial" w:hAnsi="Arial"/>
          <w:b/>
          <w:color w:val="1B365D"/>
          <w:sz w:val="34"/>
        </w:rPr>
        <w:t>Step 10: Training Convergence &amp; Loss Diagnostics (Graph Results)</w:t>
      </w:r>
    </w:p>
    <w:p>
      <w:r>
        <w:t>Cell 20 visualizes the training convergence diagnostics across the 100 training epochs, plotting Training Loss vs Validation Loss, Training Accuracy vs Validation Accuracy, and the Cosine Annealing learning rate decay:</w:t>
      </w:r>
    </w:p>
    <w:p>
      <w:pPr>
        <w:spacing w:before="160" w:after="80"/>
        <w:jc w:val="center"/>
      </w:pPr>
      <w:r>
        <w:drawing>
          <wp:inline xmlns:a="http://schemas.openxmlformats.org/drawingml/2006/main" xmlns:pic="http://schemas.openxmlformats.org/drawingml/2006/picture">
            <wp:extent cx="5669280" cy="1732280"/>
            <wp:docPr id="2" name="Picture 2"/>
            <wp:cNvGraphicFramePr>
              <a:graphicFrameLocks noChangeAspect="1"/>
            </wp:cNvGraphicFramePr>
            <a:graphic>
              <a:graphicData uri="http://schemas.openxmlformats.org/drawingml/2006/picture">
                <pic:pic>
                  <pic:nvPicPr>
                    <pic:cNvPr id="0" name="nb_cell_20_img_1.png"/>
                    <pic:cNvPicPr/>
                  </pic:nvPicPr>
                  <pic:blipFill>
                    <a:blip r:embed="rId12"/>
                    <a:stretch>
                      <a:fillRect/>
                    </a:stretch>
                  </pic:blipFill>
                  <pic:spPr>
                    <a:xfrm>
                      <a:off x="0" y="0"/>
                      <a:ext cx="5669280" cy="1732280"/>
                    </a:xfrm>
                    <a:prstGeom prst="rect"/>
                  </pic:spPr>
                </pic:pic>
              </a:graphicData>
            </a:graphic>
          </wp:inline>
        </w:drawing>
      </w:r>
    </w:p>
    <w:p>
      <w:pPr>
        <w:spacing w:after="240"/>
        <w:jc w:val="center"/>
      </w:pPr>
      <w:r>
        <w:rPr>
          <w:i/>
          <w:color w:val="64748B"/>
          <w:sz w:val="18"/>
        </w:rPr>
        <w:t>Figure 10.1: Notebook Training Convergence Diagnostics — Loss Trajectory, Accuracy Curve &amp; Learning Rate Decay over 100 Epochs.</w:t>
      </w:r>
    </w:p>
    <w:p>
      <w:r>
        <w:t>Diagnostic Observations:</w:t>
        <w:br/>
        <w:t>• Loss Convergence: Training loss steadily declines from 0.7437 at Epoch 1 to &lt; 0.28, while validation loss stabilizes around 0.21, exhibiting zero divergence or overfitting.</w:t>
        <w:br/>
        <w:t>• Accuracy Trajectory: Validation accuracy rapidly surges from 91.58% at Epoch 1 to &gt; 98.5% within 30 epochs.</w:t>
        <w:br/>
        <w:t>• Learning Rate Annealing: Cosine schedule smoothly scales the learning rate from 3.00e-3 down to 1.00e-5, allowing fine-grained convergence in the final 20 epochs.</w:t>
      </w:r>
    </w:p>
    <w:p>
      <w:pPr>
        <w:keepNext/>
        <w:spacing w:before="400" w:after="160"/>
      </w:pPr>
      <w:r>
        <w:rPr>
          <w:rFonts w:ascii="Arial" w:hAnsi="Arial"/>
          <w:b/>
          <w:color w:val="1B365D"/>
          <w:sz w:val="34"/>
        </w:rPr>
        <w:t>Step 11: Out-of-Sample Test Evaluation &amp; Confusion Matrix (Graph Results)</w:t>
      </w:r>
    </w:p>
    <w:p>
      <w:r>
        <w:t>In Cell 22, the restored optimal checkpoint is evaluated on the untouched 285-patient test set, achieving 98.60% accuracy and 0.9843 Macro F1:</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880"/>
            <w:shd w:fill="1B365D"/>
            <w:tcMar>
              <w:top w:w="120" w:type="dxa"/>
              <w:bottom w:w="120" w:type="dxa"/>
              <w:left w:w="140" w:type="dxa"/>
              <w:right w:w="140" w:type="dxa"/>
            </w:tcMar>
          </w:tcPr>
          <w:p>
            <w:pPr>
              <w:jc w:val="left"/>
            </w:pPr>
            <w:r>
              <w:rPr>
                <w:b/>
                <w:color w:val="FFFFFF"/>
                <w:sz w:val="19"/>
              </w:rPr>
              <w:t>Class</w:t>
            </w:r>
          </w:p>
        </w:tc>
        <w:tc>
          <w:tcPr>
            <w:tcW w:type="dxa" w:w="1584"/>
            <w:shd w:fill="1B365D"/>
            <w:tcMar>
              <w:top w:w="120" w:type="dxa"/>
              <w:bottom w:w="120" w:type="dxa"/>
              <w:left w:w="140" w:type="dxa"/>
              <w:right w:w="140" w:type="dxa"/>
            </w:tcMar>
          </w:tcPr>
          <w:p>
            <w:pPr>
              <w:jc w:val="left"/>
            </w:pPr>
            <w:r>
              <w:rPr>
                <w:b/>
                <w:color w:val="FFFFFF"/>
                <w:sz w:val="19"/>
              </w:rPr>
              <w:t>Precision</w:t>
            </w:r>
          </w:p>
        </w:tc>
        <w:tc>
          <w:tcPr>
            <w:tcW w:type="dxa" w:w="1584"/>
            <w:shd w:fill="1B365D"/>
            <w:tcMar>
              <w:top w:w="120" w:type="dxa"/>
              <w:bottom w:w="120" w:type="dxa"/>
              <w:left w:w="140" w:type="dxa"/>
              <w:right w:w="140" w:type="dxa"/>
            </w:tcMar>
          </w:tcPr>
          <w:p>
            <w:pPr>
              <w:jc w:val="left"/>
            </w:pPr>
            <w:r>
              <w:rPr>
                <w:b/>
                <w:color w:val="FFFFFF"/>
                <w:sz w:val="19"/>
              </w:rPr>
              <w:t>Recall</w:t>
            </w:r>
          </w:p>
        </w:tc>
        <w:tc>
          <w:tcPr>
            <w:tcW w:type="dxa" w:w="1584"/>
            <w:shd w:fill="1B365D"/>
            <w:tcMar>
              <w:top w:w="120" w:type="dxa"/>
              <w:bottom w:w="120" w:type="dxa"/>
              <w:left w:w="140" w:type="dxa"/>
              <w:right w:w="140" w:type="dxa"/>
            </w:tcMar>
          </w:tcPr>
          <w:p>
            <w:pPr>
              <w:jc w:val="left"/>
            </w:pPr>
            <w:r>
              <w:rPr>
                <w:b/>
                <w:color w:val="FFFFFF"/>
                <w:sz w:val="19"/>
              </w:rPr>
              <w:t>F1-Score</w:t>
            </w:r>
          </w:p>
        </w:tc>
        <w:tc>
          <w:tcPr>
            <w:tcW w:type="dxa" w:w="1728"/>
            <w:shd w:fill="1B365D"/>
            <w:tcMar>
              <w:top w:w="120" w:type="dxa"/>
              <w:bottom w:w="120" w:type="dxa"/>
              <w:left w:w="140" w:type="dxa"/>
              <w:right w:w="140" w:type="dxa"/>
            </w:tcMar>
          </w:tcPr>
          <w:p>
            <w:pPr>
              <w:jc w:val="left"/>
            </w:pPr>
            <w:r>
              <w:rPr>
                <w:b/>
                <w:color w:val="FFFFFF"/>
                <w:sz w:val="19"/>
              </w:rPr>
              <w:t>Test Support</w:t>
            </w:r>
          </w:p>
        </w:tc>
      </w:tr>
      <w:tr>
        <w:tc>
          <w:tcPr>
            <w:tcW w:type="dxa" w:w="2880"/>
            <w:shd w:fill="FFFFFF"/>
            <w:tcMar>
              <w:top w:w="90" w:type="dxa"/>
              <w:bottom w:w="90" w:type="dxa"/>
              <w:left w:w="140" w:type="dxa"/>
              <w:right w:w="140" w:type="dxa"/>
            </w:tcMar>
          </w:tcPr>
          <w:p>
            <w:pPr>
              <w:jc w:val="left"/>
            </w:pPr>
            <w:r>
              <w:rPr>
                <w:color w:val="222222"/>
                <w:sz w:val="18"/>
              </w:rPr>
              <w:t>Low Risk (&lt; 5.7%)</w:t>
            </w:r>
          </w:p>
        </w:tc>
        <w:tc>
          <w:tcPr>
            <w:tcW w:type="dxa" w:w="1584"/>
            <w:shd w:fill="FFFFFF"/>
            <w:tcMar>
              <w:top w:w="90" w:type="dxa"/>
              <w:bottom w:w="90" w:type="dxa"/>
              <w:left w:w="140" w:type="dxa"/>
              <w:right w:w="140" w:type="dxa"/>
            </w:tcMar>
          </w:tcPr>
          <w:p>
            <w:pPr>
              <w:jc w:val="left"/>
            </w:pPr>
            <w:r>
              <w:rPr>
                <w:color w:val="222222"/>
                <w:sz w:val="18"/>
              </w:rPr>
              <w:t>1.0000 (100.0%)</w:t>
            </w:r>
          </w:p>
        </w:tc>
        <w:tc>
          <w:tcPr>
            <w:tcW w:type="dxa" w:w="1584"/>
            <w:shd w:fill="FFFFFF"/>
            <w:tcMar>
              <w:top w:w="90" w:type="dxa"/>
              <w:bottom w:w="90" w:type="dxa"/>
              <w:left w:w="140" w:type="dxa"/>
              <w:right w:w="140" w:type="dxa"/>
            </w:tcMar>
          </w:tcPr>
          <w:p>
            <w:pPr>
              <w:jc w:val="left"/>
            </w:pPr>
            <w:r>
              <w:rPr>
                <w:color w:val="222222"/>
                <w:sz w:val="18"/>
              </w:rPr>
              <w:t>0.9919 (99.2%)</w:t>
            </w:r>
          </w:p>
        </w:tc>
        <w:tc>
          <w:tcPr>
            <w:tcW w:type="dxa" w:w="1584"/>
            <w:shd w:fill="FFFFFF"/>
            <w:tcMar>
              <w:top w:w="90" w:type="dxa"/>
              <w:bottom w:w="90" w:type="dxa"/>
              <w:left w:w="140" w:type="dxa"/>
              <w:right w:w="140" w:type="dxa"/>
            </w:tcMar>
          </w:tcPr>
          <w:p>
            <w:pPr>
              <w:jc w:val="left"/>
            </w:pPr>
            <w:r>
              <w:rPr>
                <w:color w:val="222222"/>
                <w:sz w:val="18"/>
              </w:rPr>
              <w:t>0.9959 (99.6%)</w:t>
            </w:r>
          </w:p>
        </w:tc>
        <w:tc>
          <w:tcPr>
            <w:tcW w:type="dxa" w:w="1728"/>
            <w:shd w:fill="FFFFFF"/>
            <w:tcMar>
              <w:top w:w="90" w:type="dxa"/>
              <w:bottom w:w="90" w:type="dxa"/>
              <w:left w:w="140" w:type="dxa"/>
              <w:right w:w="140" w:type="dxa"/>
            </w:tcMar>
          </w:tcPr>
          <w:p>
            <w:pPr>
              <w:jc w:val="left"/>
            </w:pPr>
            <w:r>
              <w:rPr>
                <w:color w:val="222222"/>
                <w:sz w:val="18"/>
              </w:rPr>
              <w:t>123 patients</w:t>
            </w:r>
          </w:p>
        </w:tc>
      </w:tr>
      <w:tr>
        <w:tc>
          <w:tcPr>
            <w:tcW w:type="dxa" w:w="2880"/>
            <w:shd w:fill="F4F7FA"/>
            <w:tcMar>
              <w:top w:w="90" w:type="dxa"/>
              <w:bottom w:w="90" w:type="dxa"/>
              <w:left w:w="140" w:type="dxa"/>
              <w:right w:w="140" w:type="dxa"/>
            </w:tcMar>
          </w:tcPr>
          <w:p>
            <w:pPr>
              <w:jc w:val="left"/>
            </w:pPr>
            <w:r>
              <w:rPr>
                <w:color w:val="222222"/>
                <w:sz w:val="18"/>
              </w:rPr>
              <w:t>Medium Risk (5.7% – 6.4%)</w:t>
            </w:r>
          </w:p>
        </w:tc>
        <w:tc>
          <w:tcPr>
            <w:tcW w:type="dxa" w:w="1584"/>
            <w:shd w:fill="F4F7FA"/>
            <w:tcMar>
              <w:top w:w="90" w:type="dxa"/>
              <w:bottom w:w="90" w:type="dxa"/>
              <w:left w:w="140" w:type="dxa"/>
              <w:right w:w="140" w:type="dxa"/>
            </w:tcMar>
          </w:tcPr>
          <w:p>
            <w:pPr>
              <w:jc w:val="left"/>
            </w:pPr>
            <w:r>
              <w:rPr>
                <w:color w:val="222222"/>
                <w:sz w:val="18"/>
              </w:rPr>
              <w:t>0.9579 (95.8%)</w:t>
            </w:r>
          </w:p>
        </w:tc>
        <w:tc>
          <w:tcPr>
            <w:tcW w:type="dxa" w:w="1584"/>
            <w:shd w:fill="F4F7FA"/>
            <w:tcMar>
              <w:top w:w="90" w:type="dxa"/>
              <w:bottom w:w="90" w:type="dxa"/>
              <w:left w:w="140" w:type="dxa"/>
              <w:right w:w="140" w:type="dxa"/>
            </w:tcMar>
          </w:tcPr>
          <w:p>
            <w:pPr>
              <w:jc w:val="left"/>
            </w:pPr>
            <w:r>
              <w:rPr>
                <w:color w:val="222222"/>
                <w:sz w:val="18"/>
              </w:rPr>
              <w:t>1.0000 (100.0%)</w:t>
            </w:r>
          </w:p>
        </w:tc>
        <w:tc>
          <w:tcPr>
            <w:tcW w:type="dxa" w:w="1584"/>
            <w:shd w:fill="F4F7FA"/>
            <w:tcMar>
              <w:top w:w="90" w:type="dxa"/>
              <w:bottom w:w="90" w:type="dxa"/>
              <w:left w:w="140" w:type="dxa"/>
              <w:right w:w="140" w:type="dxa"/>
            </w:tcMar>
          </w:tcPr>
          <w:p>
            <w:pPr>
              <w:jc w:val="left"/>
            </w:pPr>
            <w:r>
              <w:rPr>
                <w:color w:val="222222"/>
                <w:sz w:val="18"/>
              </w:rPr>
              <w:t>0.9785 (97.9%)</w:t>
            </w:r>
          </w:p>
        </w:tc>
        <w:tc>
          <w:tcPr>
            <w:tcW w:type="dxa" w:w="1728"/>
            <w:shd w:fill="F4F7FA"/>
            <w:tcMar>
              <w:top w:w="90" w:type="dxa"/>
              <w:bottom w:w="90" w:type="dxa"/>
              <w:left w:w="140" w:type="dxa"/>
              <w:right w:w="140" w:type="dxa"/>
            </w:tcMar>
          </w:tcPr>
          <w:p>
            <w:pPr>
              <w:jc w:val="left"/>
            </w:pPr>
            <w:r>
              <w:rPr>
                <w:color w:val="222222"/>
                <w:sz w:val="18"/>
              </w:rPr>
              <w:t>91 patients</w:t>
            </w:r>
          </w:p>
        </w:tc>
      </w:tr>
      <w:tr>
        <w:tc>
          <w:tcPr>
            <w:tcW w:type="dxa" w:w="2880"/>
            <w:shd w:fill="FFFFFF"/>
            <w:tcMar>
              <w:top w:w="90" w:type="dxa"/>
              <w:bottom w:w="90" w:type="dxa"/>
              <w:left w:w="140" w:type="dxa"/>
              <w:right w:w="140" w:type="dxa"/>
            </w:tcMar>
          </w:tcPr>
          <w:p>
            <w:pPr>
              <w:jc w:val="left"/>
            </w:pPr>
            <w:r>
              <w:rPr>
                <w:color w:val="222222"/>
                <w:sz w:val="18"/>
              </w:rPr>
              <w:t>High Risk (≥ 6.5%)</w:t>
            </w:r>
          </w:p>
        </w:tc>
        <w:tc>
          <w:tcPr>
            <w:tcW w:type="dxa" w:w="1584"/>
            <w:shd w:fill="FFFFFF"/>
            <w:tcMar>
              <w:top w:w="90" w:type="dxa"/>
              <w:bottom w:w="90" w:type="dxa"/>
              <w:left w:w="140" w:type="dxa"/>
              <w:right w:w="140" w:type="dxa"/>
            </w:tcMar>
          </w:tcPr>
          <w:p>
            <w:pPr>
              <w:jc w:val="left"/>
            </w:pPr>
            <w:r>
              <w:rPr>
                <w:color w:val="222222"/>
                <w:sz w:val="18"/>
              </w:rPr>
              <w:t>1.0000 (100.0%)</w:t>
            </w:r>
          </w:p>
        </w:tc>
        <w:tc>
          <w:tcPr>
            <w:tcW w:type="dxa" w:w="1584"/>
            <w:shd w:fill="FFFFFF"/>
            <w:tcMar>
              <w:top w:w="90" w:type="dxa"/>
              <w:bottom w:w="90" w:type="dxa"/>
              <w:left w:w="140" w:type="dxa"/>
              <w:right w:w="140" w:type="dxa"/>
            </w:tcMar>
          </w:tcPr>
          <w:p>
            <w:pPr>
              <w:jc w:val="left"/>
            </w:pPr>
            <w:r>
              <w:rPr>
                <w:color w:val="222222"/>
                <w:sz w:val="18"/>
              </w:rPr>
              <w:t>0.9577 (95.8%)</w:t>
            </w:r>
          </w:p>
        </w:tc>
        <w:tc>
          <w:tcPr>
            <w:tcW w:type="dxa" w:w="1584"/>
            <w:shd w:fill="FFFFFF"/>
            <w:tcMar>
              <w:top w:w="90" w:type="dxa"/>
              <w:bottom w:w="90" w:type="dxa"/>
              <w:left w:w="140" w:type="dxa"/>
              <w:right w:w="140" w:type="dxa"/>
            </w:tcMar>
          </w:tcPr>
          <w:p>
            <w:pPr>
              <w:jc w:val="left"/>
            </w:pPr>
            <w:r>
              <w:rPr>
                <w:color w:val="222222"/>
                <w:sz w:val="18"/>
              </w:rPr>
              <w:t>0.9784 (97.8%)</w:t>
            </w:r>
          </w:p>
        </w:tc>
        <w:tc>
          <w:tcPr>
            <w:tcW w:type="dxa" w:w="1728"/>
            <w:shd w:fill="FFFFFF"/>
            <w:tcMar>
              <w:top w:w="90" w:type="dxa"/>
              <w:bottom w:w="90" w:type="dxa"/>
              <w:left w:w="140" w:type="dxa"/>
              <w:right w:w="140" w:type="dxa"/>
            </w:tcMar>
          </w:tcPr>
          <w:p>
            <w:pPr>
              <w:jc w:val="left"/>
            </w:pPr>
            <w:r>
              <w:rPr>
                <w:color w:val="222222"/>
                <w:sz w:val="18"/>
              </w:rPr>
              <w:t>71 patients</w:t>
            </w:r>
          </w:p>
        </w:tc>
      </w:tr>
      <w:tr>
        <w:tc>
          <w:tcPr>
            <w:tcW w:type="dxa" w:w="2880"/>
            <w:shd w:fill="F4F7FA"/>
            <w:tcMar>
              <w:top w:w="90" w:type="dxa"/>
              <w:bottom w:w="90" w:type="dxa"/>
              <w:left w:w="140" w:type="dxa"/>
              <w:right w:w="140" w:type="dxa"/>
            </w:tcMar>
          </w:tcPr>
          <w:p>
            <w:pPr>
              <w:jc w:val="left"/>
            </w:pPr>
            <w:r>
              <w:rPr>
                <w:color w:val="222222"/>
                <w:sz w:val="18"/>
              </w:rPr>
              <w:t>Macro Average</w:t>
            </w:r>
          </w:p>
        </w:tc>
        <w:tc>
          <w:tcPr>
            <w:tcW w:type="dxa" w:w="1584"/>
            <w:shd w:fill="F4F7FA"/>
            <w:tcMar>
              <w:top w:w="90" w:type="dxa"/>
              <w:bottom w:w="90" w:type="dxa"/>
              <w:left w:w="140" w:type="dxa"/>
              <w:right w:w="140" w:type="dxa"/>
            </w:tcMar>
          </w:tcPr>
          <w:p>
            <w:pPr>
              <w:jc w:val="left"/>
            </w:pPr>
            <w:r>
              <w:rPr>
                <w:color w:val="222222"/>
                <w:sz w:val="18"/>
              </w:rPr>
              <w:t>0.9859 (98.6%)</w:t>
            </w:r>
          </w:p>
        </w:tc>
        <w:tc>
          <w:tcPr>
            <w:tcW w:type="dxa" w:w="1584"/>
            <w:shd w:fill="F4F7FA"/>
            <w:tcMar>
              <w:top w:w="90" w:type="dxa"/>
              <w:bottom w:w="90" w:type="dxa"/>
              <w:left w:w="140" w:type="dxa"/>
              <w:right w:w="140" w:type="dxa"/>
            </w:tcMar>
          </w:tcPr>
          <w:p>
            <w:pPr>
              <w:jc w:val="left"/>
            </w:pPr>
            <w:r>
              <w:rPr>
                <w:color w:val="222222"/>
                <w:sz w:val="18"/>
              </w:rPr>
              <w:t>0.9832 (98.3%)</w:t>
            </w:r>
          </w:p>
        </w:tc>
        <w:tc>
          <w:tcPr>
            <w:tcW w:type="dxa" w:w="1584"/>
            <w:shd w:fill="F4F7FA"/>
            <w:tcMar>
              <w:top w:w="90" w:type="dxa"/>
              <w:bottom w:w="90" w:type="dxa"/>
              <w:left w:w="140" w:type="dxa"/>
              <w:right w:w="140" w:type="dxa"/>
            </w:tcMar>
          </w:tcPr>
          <w:p>
            <w:pPr>
              <w:jc w:val="left"/>
            </w:pPr>
            <w:r>
              <w:rPr>
                <w:color w:val="222222"/>
                <w:sz w:val="18"/>
              </w:rPr>
              <w:t>0.9843 (98.4%)</w:t>
            </w:r>
          </w:p>
        </w:tc>
        <w:tc>
          <w:tcPr>
            <w:tcW w:type="dxa" w:w="1728"/>
            <w:shd w:fill="F4F7FA"/>
            <w:tcMar>
              <w:top w:w="90" w:type="dxa"/>
              <w:bottom w:w="90" w:type="dxa"/>
              <w:left w:w="140" w:type="dxa"/>
              <w:right w:w="140" w:type="dxa"/>
            </w:tcMar>
          </w:tcPr>
          <w:p>
            <w:pPr>
              <w:jc w:val="left"/>
            </w:pPr>
            <w:r>
              <w:rPr>
                <w:color w:val="222222"/>
                <w:sz w:val="18"/>
              </w:rPr>
              <w:t>285 patients</w:t>
            </w:r>
          </w:p>
        </w:tc>
      </w:tr>
      <w:tr>
        <w:tc>
          <w:tcPr>
            <w:tcW w:type="dxa" w:w="2880"/>
            <w:shd w:fill="FFFFFF"/>
            <w:tcMar>
              <w:top w:w="90" w:type="dxa"/>
              <w:bottom w:w="90" w:type="dxa"/>
              <w:left w:w="140" w:type="dxa"/>
              <w:right w:w="140" w:type="dxa"/>
            </w:tcMar>
          </w:tcPr>
          <w:p>
            <w:pPr>
              <w:jc w:val="left"/>
            </w:pPr>
            <w:r>
              <w:rPr>
                <w:color w:val="222222"/>
                <w:sz w:val="18"/>
              </w:rPr>
              <w:t>Weighted Average</w:t>
            </w:r>
          </w:p>
        </w:tc>
        <w:tc>
          <w:tcPr>
            <w:tcW w:type="dxa" w:w="1584"/>
            <w:shd w:fill="FFFFFF"/>
            <w:tcMar>
              <w:top w:w="90" w:type="dxa"/>
              <w:bottom w:w="90" w:type="dxa"/>
              <w:left w:w="140" w:type="dxa"/>
              <w:right w:w="140" w:type="dxa"/>
            </w:tcMar>
          </w:tcPr>
          <w:p>
            <w:pPr>
              <w:jc w:val="left"/>
            </w:pPr>
            <w:r>
              <w:rPr>
                <w:color w:val="222222"/>
                <w:sz w:val="18"/>
              </w:rPr>
              <w:t>0.9866 (98.7%)</w:t>
            </w:r>
          </w:p>
        </w:tc>
        <w:tc>
          <w:tcPr>
            <w:tcW w:type="dxa" w:w="1584"/>
            <w:shd w:fill="FFFFFF"/>
            <w:tcMar>
              <w:top w:w="90" w:type="dxa"/>
              <w:bottom w:w="90" w:type="dxa"/>
              <w:left w:w="140" w:type="dxa"/>
              <w:right w:w="140" w:type="dxa"/>
            </w:tcMar>
          </w:tcPr>
          <w:p>
            <w:pPr>
              <w:jc w:val="left"/>
            </w:pPr>
            <w:r>
              <w:rPr>
                <w:color w:val="222222"/>
                <w:sz w:val="18"/>
              </w:rPr>
              <w:t>0.9860 (98.6%)</w:t>
            </w:r>
          </w:p>
        </w:tc>
        <w:tc>
          <w:tcPr>
            <w:tcW w:type="dxa" w:w="1584"/>
            <w:shd w:fill="FFFFFF"/>
            <w:tcMar>
              <w:top w:w="90" w:type="dxa"/>
              <w:bottom w:w="90" w:type="dxa"/>
              <w:left w:w="140" w:type="dxa"/>
              <w:right w:w="140" w:type="dxa"/>
            </w:tcMar>
          </w:tcPr>
          <w:p>
            <w:pPr>
              <w:jc w:val="left"/>
            </w:pPr>
            <w:r>
              <w:rPr>
                <w:color w:val="222222"/>
                <w:sz w:val="18"/>
              </w:rPr>
              <w:t>0.9860 (98.6%)</w:t>
            </w:r>
          </w:p>
        </w:tc>
        <w:tc>
          <w:tcPr>
            <w:tcW w:type="dxa" w:w="1728"/>
            <w:shd w:fill="FFFFFF"/>
            <w:tcMar>
              <w:top w:w="90" w:type="dxa"/>
              <w:bottom w:w="90" w:type="dxa"/>
              <w:left w:w="140" w:type="dxa"/>
              <w:right w:w="140" w:type="dxa"/>
            </w:tcMar>
          </w:tcPr>
          <w:p>
            <w:pPr>
              <w:jc w:val="left"/>
            </w:pPr>
            <w:r>
              <w:rPr>
                <w:color w:val="222222"/>
                <w:sz w:val="18"/>
              </w:rPr>
              <w:t>285 patients</w:t>
            </w:r>
          </w:p>
        </w:tc>
      </w:tr>
    </w:tbl>
    <w:p/>
    <w:p>
      <w:pPr>
        <w:spacing w:before="160" w:after="80"/>
        <w:jc w:val="center"/>
      </w:pPr>
      <w:r>
        <w:drawing>
          <wp:inline xmlns:a="http://schemas.openxmlformats.org/drawingml/2006/main" xmlns:pic="http://schemas.openxmlformats.org/drawingml/2006/picture">
            <wp:extent cx="5669280" cy="2035558"/>
            <wp:docPr id="3" name="Picture 3"/>
            <wp:cNvGraphicFramePr>
              <a:graphicFrameLocks noChangeAspect="1"/>
            </wp:cNvGraphicFramePr>
            <a:graphic>
              <a:graphicData uri="http://schemas.openxmlformats.org/drawingml/2006/picture">
                <pic:pic>
                  <pic:nvPicPr>
                    <pic:cNvPr id="0" name="nb_cell_22_img_1.png"/>
                    <pic:cNvPicPr/>
                  </pic:nvPicPr>
                  <pic:blipFill>
                    <a:blip r:embed="rId13"/>
                    <a:stretch>
                      <a:fillRect/>
                    </a:stretch>
                  </pic:blipFill>
                  <pic:spPr>
                    <a:xfrm>
                      <a:off x="0" y="0"/>
                      <a:ext cx="5669280" cy="2035558"/>
                    </a:xfrm>
                    <a:prstGeom prst="rect"/>
                  </pic:spPr>
                </pic:pic>
              </a:graphicData>
            </a:graphic>
          </wp:inline>
        </w:drawing>
      </w:r>
    </w:p>
    <w:p>
      <w:pPr>
        <w:spacing w:after="240"/>
        <w:jc w:val="center"/>
      </w:pPr>
      <w:r>
        <w:rPr>
          <w:i/>
          <w:color w:val="64748B"/>
          <w:sz w:val="18"/>
        </w:rPr>
        <w:t>Figure 11.1: Notebook Confusion Matrix Heatmap on Untouched Test Set (N = 285).</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36" w:space="0" w:color="990000"/>
              <w:top w:val="none"/>
              <w:bottom w:val="none"/>
              <w:right w:val="none"/>
            </w:tcBorders>
          </w:tcPr>
          <w:p>
            <w:pPr>
              <w:spacing w:after="40"/>
            </w:pPr>
            <w:r>
              <w:rPr>
                <w:b/>
                <w:color w:val="B91C1C"/>
                <w:sz w:val="20"/>
              </w:rPr>
              <w:t>⚠️ Clinical Safety Assurance</w:t>
              <w:br/>
            </w:r>
            <w:r>
              <w:rPr>
                <w:color w:val="222222"/>
                <w:sz w:val="19"/>
              </w:rPr>
              <w:t>Zero high-risk diabetic patients were misclassified as Low Risk (0/71 misses). The 3 borderline cases were classified as Medium Risk (Pre-diabetic), ensuring that every diabetic patient receives clinical follow-up.</w:t>
            </w:r>
          </w:p>
        </w:tc>
      </w:tr>
    </w:tbl>
    <w:p/>
    <w:p>
      <w:pPr>
        <w:keepNext/>
        <w:spacing w:before="400" w:after="160"/>
      </w:pPr>
      <w:r>
        <w:rPr>
          <w:rFonts w:ascii="Arial" w:hAnsi="Arial"/>
          <w:b/>
          <w:color w:val="1B365D"/>
          <w:sz w:val="34"/>
        </w:rPr>
        <w:t>Step 12: Multi-Class ROC &amp; Precision-Recall Curves (Graph Results)</w:t>
      </w:r>
    </w:p>
    <w:p>
      <w:r>
        <w:t>Cell 24 computes the One-vs-Rest (OvR) Receiver Operating Characteristic (ROC) and Precision-Recall curves across all three classes, yielding an overall Macro-Averaged ROC-AUC of 0.9994:</w:t>
      </w:r>
    </w:p>
    <w:p>
      <w:pPr>
        <w:spacing w:before="160" w:after="80"/>
        <w:jc w:val="center"/>
      </w:pPr>
      <w:r>
        <w:drawing>
          <wp:inline xmlns:a="http://schemas.openxmlformats.org/drawingml/2006/main" xmlns:pic="http://schemas.openxmlformats.org/drawingml/2006/picture">
            <wp:extent cx="5669280" cy="2231037"/>
            <wp:docPr id="4" name="Picture 4"/>
            <wp:cNvGraphicFramePr>
              <a:graphicFrameLocks noChangeAspect="1"/>
            </wp:cNvGraphicFramePr>
            <a:graphic>
              <a:graphicData uri="http://schemas.openxmlformats.org/drawingml/2006/picture">
                <pic:pic>
                  <pic:nvPicPr>
                    <pic:cNvPr id="0" name="nb_cell_24_img_1.png"/>
                    <pic:cNvPicPr/>
                  </pic:nvPicPr>
                  <pic:blipFill>
                    <a:blip r:embed="rId14"/>
                    <a:stretch>
                      <a:fillRect/>
                    </a:stretch>
                  </pic:blipFill>
                  <pic:spPr>
                    <a:xfrm>
                      <a:off x="0" y="0"/>
                      <a:ext cx="5669280" cy="2231037"/>
                    </a:xfrm>
                    <a:prstGeom prst="rect"/>
                  </pic:spPr>
                </pic:pic>
              </a:graphicData>
            </a:graphic>
          </wp:inline>
        </w:drawing>
      </w:r>
    </w:p>
    <w:p>
      <w:pPr>
        <w:spacing w:after="240"/>
        <w:jc w:val="center"/>
      </w:pPr>
      <w:r>
        <w:rPr>
          <w:i/>
          <w:color w:val="64748B"/>
          <w:sz w:val="18"/>
        </w:rPr>
        <w:t>Figure 12.1: Multi-Class One-vs-Rest ROC &amp; Precision-Recall Curves (Macro ROC-AUC = 0.9994).</w:t>
      </w:r>
    </w:p>
    <w:p>
      <w:pPr>
        <w:keepNext/>
        <w:spacing w:before="400" w:after="160"/>
      </w:pPr>
      <w:r>
        <w:rPr>
          <w:rFonts w:ascii="Arial" w:hAnsi="Arial"/>
          <w:b/>
          <w:color w:val="1B365D"/>
          <w:sz w:val="34"/>
        </w:rPr>
        <w:t>Step 13: 5-Fold Cross-Validation &amp; Multi-Model Benchmark Suite (Comparison)</w:t>
      </w:r>
    </w:p>
    <w:p>
      <w:r>
        <w:t>In Cell 26, the notebook benchmarks Deep Tabular ResNet against 4 standard tabular machine learning algorithms using 5-Fold Stratified Cross-Validation on the training data and holdout validation: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3024"/>
            <w:shd w:fill="1B365D"/>
            <w:tcMar>
              <w:top w:w="120" w:type="dxa"/>
              <w:bottom w:w="120" w:type="dxa"/>
              <w:left w:w="140" w:type="dxa"/>
              <w:right w:w="140" w:type="dxa"/>
            </w:tcMar>
          </w:tcPr>
          <w:p>
            <w:pPr>
              <w:jc w:val="left"/>
            </w:pPr>
            <w:r>
              <w:rPr>
                <w:b/>
                <w:color w:val="FFFFFF"/>
                <w:sz w:val="19"/>
              </w:rPr>
              <w:t>Model Architecture</w:t>
            </w:r>
          </w:p>
        </w:tc>
        <w:tc>
          <w:tcPr>
            <w:tcW w:type="dxa" w:w="2016"/>
            <w:shd w:fill="1B365D"/>
            <w:tcMar>
              <w:top w:w="120" w:type="dxa"/>
              <w:bottom w:w="120" w:type="dxa"/>
              <w:left w:w="140" w:type="dxa"/>
              <w:right w:w="140" w:type="dxa"/>
            </w:tcMar>
          </w:tcPr>
          <w:p>
            <w:pPr>
              <w:jc w:val="left"/>
            </w:pPr>
            <w:r>
              <w:rPr>
                <w:b/>
                <w:color w:val="FFFFFF"/>
                <w:sz w:val="19"/>
              </w:rPr>
              <w:t>5-Fold CV Macro F1</w:t>
            </w:r>
          </w:p>
        </w:tc>
        <w:tc>
          <w:tcPr>
            <w:tcW w:type="dxa" w:w="1296"/>
            <w:shd w:fill="1B365D"/>
            <w:tcMar>
              <w:top w:w="120" w:type="dxa"/>
              <w:bottom w:w="120" w:type="dxa"/>
              <w:left w:w="140" w:type="dxa"/>
              <w:right w:w="140" w:type="dxa"/>
            </w:tcMar>
          </w:tcPr>
          <w:p>
            <w:pPr>
              <w:jc w:val="left"/>
            </w:pPr>
            <w:r>
              <w:rPr>
                <w:b/>
                <w:color w:val="FFFFFF"/>
                <w:sz w:val="19"/>
              </w:rPr>
              <w:t>Val Accuracy</w:t>
            </w:r>
          </w:p>
        </w:tc>
        <w:tc>
          <w:tcPr>
            <w:tcW w:type="dxa" w:w="1296"/>
            <w:shd w:fill="1B365D"/>
            <w:tcMar>
              <w:top w:w="120" w:type="dxa"/>
              <w:bottom w:w="120" w:type="dxa"/>
              <w:left w:w="140" w:type="dxa"/>
              <w:right w:w="140" w:type="dxa"/>
            </w:tcMar>
          </w:tcPr>
          <w:p>
            <w:pPr>
              <w:jc w:val="left"/>
            </w:pPr>
            <w:r>
              <w:rPr>
                <w:b/>
                <w:color w:val="FFFFFF"/>
                <w:sz w:val="19"/>
              </w:rPr>
              <w:t>Val Precision</w:t>
            </w:r>
          </w:p>
        </w:tc>
        <w:tc>
          <w:tcPr>
            <w:tcW w:type="dxa" w:w="1296"/>
            <w:shd w:fill="1B365D"/>
            <w:tcMar>
              <w:top w:w="120" w:type="dxa"/>
              <w:bottom w:w="120" w:type="dxa"/>
              <w:left w:w="140" w:type="dxa"/>
              <w:right w:w="140" w:type="dxa"/>
            </w:tcMar>
          </w:tcPr>
          <w:p>
            <w:pPr>
              <w:jc w:val="left"/>
            </w:pPr>
            <w:r>
              <w:rPr>
                <w:b/>
                <w:color w:val="FFFFFF"/>
                <w:sz w:val="19"/>
              </w:rPr>
              <w:t>Val Macro F1</w:t>
            </w:r>
          </w:p>
        </w:tc>
        <w:tc>
          <w:tcPr>
            <w:tcW w:type="dxa" w:w="1440"/>
            <w:shd w:fill="1B365D"/>
            <w:tcMar>
              <w:top w:w="120" w:type="dxa"/>
              <w:bottom w:w="120" w:type="dxa"/>
              <w:left w:w="140" w:type="dxa"/>
              <w:right w:w="140" w:type="dxa"/>
            </w:tcMar>
          </w:tcPr>
          <w:p>
            <w:pPr>
              <w:jc w:val="left"/>
            </w:pPr>
            <w:r>
              <w:rPr>
                <w:b/>
                <w:color w:val="FFFFFF"/>
                <w:sz w:val="19"/>
              </w:rPr>
              <w:t>Val Macro ROC-AUC</w:t>
            </w:r>
          </w:p>
        </w:tc>
      </w:tr>
      <w:tr>
        <w:tc>
          <w:tcPr>
            <w:tcW w:type="dxa" w:w="3024"/>
            <w:shd w:fill="FFFFFF"/>
            <w:tcMar>
              <w:top w:w="90" w:type="dxa"/>
              <w:bottom w:w="90" w:type="dxa"/>
              <w:left w:w="140" w:type="dxa"/>
              <w:right w:w="140" w:type="dxa"/>
            </w:tcMar>
          </w:tcPr>
          <w:p>
            <w:pPr>
              <w:jc w:val="left"/>
            </w:pPr>
            <w:r>
              <w:rPr>
                <w:color w:val="222222"/>
                <w:sz w:val="18"/>
              </w:rPr>
              <w:t>Random Forest (300 Trees)</w:t>
            </w:r>
          </w:p>
        </w:tc>
        <w:tc>
          <w:tcPr>
            <w:tcW w:type="dxa" w:w="2016"/>
            <w:shd w:fill="FFFFFF"/>
            <w:tcMar>
              <w:top w:w="90" w:type="dxa"/>
              <w:bottom w:w="90" w:type="dxa"/>
              <w:left w:w="140" w:type="dxa"/>
              <w:right w:w="140" w:type="dxa"/>
            </w:tcMar>
          </w:tcPr>
          <w:p>
            <w:pPr>
              <w:jc w:val="left"/>
            </w:pPr>
            <w:r>
              <w:rPr>
                <w:color w:val="222222"/>
                <w:sz w:val="18"/>
              </w:rPr>
              <w:t>1.0000 ± 0.0000</w:t>
            </w:r>
          </w:p>
        </w:tc>
        <w:tc>
          <w:tcPr>
            <w:tcW w:type="dxa" w:w="1296"/>
            <w:shd w:fill="FFFFFF"/>
            <w:tcMar>
              <w:top w:w="90" w:type="dxa"/>
              <w:bottom w:w="90" w:type="dxa"/>
              <w:left w:w="140" w:type="dxa"/>
              <w:right w:w="140" w:type="dxa"/>
            </w:tcMar>
          </w:tcPr>
          <w:p>
            <w:pPr>
              <w:jc w:val="left"/>
            </w:pPr>
            <w:r>
              <w:rPr>
                <w:color w:val="222222"/>
                <w:sz w:val="18"/>
              </w:rPr>
              <w:t>100.00%</w:t>
            </w:r>
          </w:p>
        </w:tc>
        <w:tc>
          <w:tcPr>
            <w:tcW w:type="dxa" w:w="1296"/>
            <w:shd w:fill="FFFFFF"/>
            <w:tcMar>
              <w:top w:w="90" w:type="dxa"/>
              <w:bottom w:w="90" w:type="dxa"/>
              <w:left w:w="140" w:type="dxa"/>
              <w:right w:w="140" w:type="dxa"/>
            </w:tcMar>
          </w:tcPr>
          <w:p>
            <w:pPr>
              <w:jc w:val="left"/>
            </w:pPr>
            <w:r>
              <w:rPr>
                <w:color w:val="222222"/>
                <w:sz w:val="18"/>
              </w:rPr>
              <w:t>1.0000</w:t>
            </w:r>
          </w:p>
        </w:tc>
        <w:tc>
          <w:tcPr>
            <w:tcW w:type="dxa" w:w="1296"/>
            <w:shd w:fill="FFFFFF"/>
            <w:tcMar>
              <w:top w:w="90" w:type="dxa"/>
              <w:bottom w:w="90" w:type="dxa"/>
              <w:left w:w="140" w:type="dxa"/>
              <w:right w:w="140" w:type="dxa"/>
            </w:tcMar>
          </w:tcPr>
          <w:p>
            <w:pPr>
              <w:jc w:val="left"/>
            </w:pPr>
            <w:r>
              <w:rPr>
                <w:color w:val="222222"/>
                <w:sz w:val="18"/>
              </w:rPr>
              <w:t>1.0000</w:t>
            </w:r>
          </w:p>
        </w:tc>
        <w:tc>
          <w:tcPr>
            <w:tcW w:type="dxa" w:w="1440"/>
            <w:shd w:fill="FFFFFF"/>
            <w:tcMar>
              <w:top w:w="90" w:type="dxa"/>
              <w:bottom w:w="90" w:type="dxa"/>
              <w:left w:w="140" w:type="dxa"/>
              <w:right w:w="140" w:type="dxa"/>
            </w:tcMar>
          </w:tcPr>
          <w:p>
            <w:pPr>
              <w:jc w:val="left"/>
            </w:pPr>
            <w:r>
              <w:rPr>
                <w:color w:val="222222"/>
                <w:sz w:val="18"/>
              </w:rPr>
              <w:t>1.0000</w:t>
            </w:r>
          </w:p>
        </w:tc>
      </w:tr>
      <w:tr>
        <w:tc>
          <w:tcPr>
            <w:tcW w:type="dxa" w:w="3024"/>
            <w:shd w:fill="F4F7FA"/>
            <w:tcMar>
              <w:top w:w="90" w:type="dxa"/>
              <w:bottom w:w="90" w:type="dxa"/>
              <w:left w:w="140" w:type="dxa"/>
              <w:right w:w="140" w:type="dxa"/>
            </w:tcMar>
          </w:tcPr>
          <w:p>
            <w:pPr>
              <w:jc w:val="left"/>
            </w:pPr>
            <w:r>
              <w:rPr>
                <w:color w:val="222222"/>
                <w:sz w:val="18"/>
              </w:rPr>
              <w:t>Deep Tabular ResNet (Ours)</w:t>
            </w:r>
          </w:p>
        </w:tc>
        <w:tc>
          <w:tcPr>
            <w:tcW w:type="dxa" w:w="2016"/>
            <w:shd w:fill="F4F7FA"/>
            <w:tcMar>
              <w:top w:w="90" w:type="dxa"/>
              <w:bottom w:w="90" w:type="dxa"/>
              <w:left w:w="140" w:type="dxa"/>
              <w:right w:w="140" w:type="dxa"/>
            </w:tcMar>
          </w:tcPr>
          <w:p>
            <w:pPr>
              <w:jc w:val="left"/>
            </w:pPr>
            <w:r>
              <w:rPr>
                <w:color w:val="222222"/>
                <w:sz w:val="18"/>
              </w:rPr>
              <w:t>0.9895 ± 0.0040</w:t>
            </w:r>
          </w:p>
        </w:tc>
        <w:tc>
          <w:tcPr>
            <w:tcW w:type="dxa" w:w="1296"/>
            <w:shd w:fill="F4F7FA"/>
            <w:tcMar>
              <w:top w:w="90" w:type="dxa"/>
              <w:bottom w:w="90" w:type="dxa"/>
              <w:left w:w="140" w:type="dxa"/>
              <w:right w:w="140" w:type="dxa"/>
            </w:tcMar>
          </w:tcPr>
          <w:p>
            <w:pPr>
              <w:jc w:val="left"/>
            </w:pPr>
            <w:r>
              <w:rPr>
                <w:color w:val="222222"/>
                <w:sz w:val="18"/>
              </w:rPr>
              <w:t>98.95%</w:t>
            </w:r>
          </w:p>
        </w:tc>
        <w:tc>
          <w:tcPr>
            <w:tcW w:type="dxa" w:w="1296"/>
            <w:shd w:fill="F4F7FA"/>
            <w:tcMar>
              <w:top w:w="90" w:type="dxa"/>
              <w:bottom w:w="90" w:type="dxa"/>
              <w:left w:w="140" w:type="dxa"/>
              <w:right w:w="140" w:type="dxa"/>
            </w:tcMar>
          </w:tcPr>
          <w:p>
            <w:pPr>
              <w:jc w:val="left"/>
            </w:pPr>
            <w:r>
              <w:rPr>
                <w:color w:val="222222"/>
                <w:sz w:val="18"/>
              </w:rPr>
              <w:t>0.9895</w:t>
            </w:r>
          </w:p>
        </w:tc>
        <w:tc>
          <w:tcPr>
            <w:tcW w:type="dxa" w:w="1296"/>
            <w:shd w:fill="F4F7FA"/>
            <w:tcMar>
              <w:top w:w="90" w:type="dxa"/>
              <w:bottom w:w="90" w:type="dxa"/>
              <w:left w:w="140" w:type="dxa"/>
              <w:right w:w="140" w:type="dxa"/>
            </w:tcMar>
          </w:tcPr>
          <w:p>
            <w:pPr>
              <w:jc w:val="left"/>
            </w:pPr>
            <w:r>
              <w:rPr>
                <w:color w:val="222222"/>
                <w:sz w:val="18"/>
              </w:rPr>
              <w:t>0.9895</w:t>
            </w:r>
          </w:p>
        </w:tc>
        <w:tc>
          <w:tcPr>
            <w:tcW w:type="dxa" w:w="1440"/>
            <w:shd w:fill="F4F7FA"/>
            <w:tcMar>
              <w:top w:w="90" w:type="dxa"/>
              <w:bottom w:w="90" w:type="dxa"/>
              <w:left w:w="140" w:type="dxa"/>
              <w:right w:w="140" w:type="dxa"/>
            </w:tcMar>
          </w:tcPr>
          <w:p>
            <w:pPr>
              <w:jc w:val="left"/>
            </w:pPr>
            <w:r>
              <w:rPr>
                <w:color w:val="222222"/>
                <w:sz w:val="18"/>
              </w:rPr>
              <w:t>0.9994</w:t>
            </w:r>
          </w:p>
        </w:tc>
      </w:tr>
      <w:tr>
        <w:tc>
          <w:tcPr>
            <w:tcW w:type="dxa" w:w="3024"/>
            <w:shd w:fill="FFFFFF"/>
            <w:tcMar>
              <w:top w:w="90" w:type="dxa"/>
              <w:bottom w:w="90" w:type="dxa"/>
              <w:left w:w="140" w:type="dxa"/>
              <w:right w:w="140" w:type="dxa"/>
            </w:tcMar>
          </w:tcPr>
          <w:p>
            <w:pPr>
              <w:jc w:val="left"/>
            </w:pPr>
            <w:r>
              <w:rPr>
                <w:color w:val="222222"/>
                <w:sz w:val="18"/>
              </w:rPr>
              <w:t>Extra Trees (300 Trees)</w:t>
            </w:r>
          </w:p>
        </w:tc>
        <w:tc>
          <w:tcPr>
            <w:tcW w:type="dxa" w:w="2016"/>
            <w:shd w:fill="FFFFFF"/>
            <w:tcMar>
              <w:top w:w="90" w:type="dxa"/>
              <w:bottom w:w="90" w:type="dxa"/>
              <w:left w:w="140" w:type="dxa"/>
              <w:right w:w="140" w:type="dxa"/>
            </w:tcMar>
          </w:tcPr>
          <w:p>
            <w:pPr>
              <w:jc w:val="left"/>
            </w:pPr>
            <w:r>
              <w:rPr>
                <w:color w:val="222222"/>
                <w:sz w:val="18"/>
              </w:rPr>
              <w:t>0.9856 ± 0.0061</w:t>
            </w:r>
          </w:p>
        </w:tc>
        <w:tc>
          <w:tcPr>
            <w:tcW w:type="dxa" w:w="1296"/>
            <w:shd w:fill="FFFFFF"/>
            <w:tcMar>
              <w:top w:w="90" w:type="dxa"/>
              <w:bottom w:w="90" w:type="dxa"/>
              <w:left w:w="140" w:type="dxa"/>
              <w:right w:w="140" w:type="dxa"/>
            </w:tcMar>
          </w:tcPr>
          <w:p>
            <w:pPr>
              <w:jc w:val="left"/>
            </w:pPr>
            <w:r>
              <w:rPr>
                <w:color w:val="222222"/>
                <w:sz w:val="18"/>
              </w:rPr>
              <w:t>98.95%</w:t>
            </w:r>
          </w:p>
        </w:tc>
        <w:tc>
          <w:tcPr>
            <w:tcW w:type="dxa" w:w="1296"/>
            <w:shd w:fill="FFFFFF"/>
            <w:tcMar>
              <w:top w:w="90" w:type="dxa"/>
              <w:bottom w:w="90" w:type="dxa"/>
              <w:left w:w="140" w:type="dxa"/>
              <w:right w:w="140" w:type="dxa"/>
            </w:tcMar>
          </w:tcPr>
          <w:p>
            <w:pPr>
              <w:jc w:val="left"/>
            </w:pPr>
            <w:r>
              <w:rPr>
                <w:color w:val="222222"/>
                <w:sz w:val="18"/>
              </w:rPr>
              <w:t>0.9900</w:t>
            </w:r>
          </w:p>
        </w:tc>
        <w:tc>
          <w:tcPr>
            <w:tcW w:type="dxa" w:w="1296"/>
            <w:shd w:fill="FFFFFF"/>
            <w:tcMar>
              <w:top w:w="90" w:type="dxa"/>
              <w:bottom w:w="90" w:type="dxa"/>
              <w:left w:w="140" w:type="dxa"/>
              <w:right w:w="140" w:type="dxa"/>
            </w:tcMar>
          </w:tcPr>
          <w:p>
            <w:pPr>
              <w:jc w:val="left"/>
            </w:pPr>
            <w:r>
              <w:rPr>
                <w:color w:val="222222"/>
                <w:sz w:val="18"/>
              </w:rPr>
              <w:t>0.9895</w:t>
            </w:r>
          </w:p>
        </w:tc>
        <w:tc>
          <w:tcPr>
            <w:tcW w:type="dxa" w:w="1440"/>
            <w:shd w:fill="FFFFFF"/>
            <w:tcMar>
              <w:top w:w="90" w:type="dxa"/>
              <w:bottom w:w="90" w:type="dxa"/>
              <w:left w:w="140" w:type="dxa"/>
              <w:right w:w="140" w:type="dxa"/>
            </w:tcMar>
          </w:tcPr>
          <w:p>
            <w:pPr>
              <w:jc w:val="left"/>
            </w:pPr>
            <w:r>
              <w:rPr>
                <w:color w:val="222222"/>
                <w:sz w:val="18"/>
              </w:rPr>
              <w:t>0.9997</w:t>
            </w:r>
          </w:p>
        </w:tc>
      </w:tr>
      <w:tr>
        <w:tc>
          <w:tcPr>
            <w:tcW w:type="dxa" w:w="3024"/>
            <w:shd w:fill="F4F7FA"/>
            <w:tcMar>
              <w:top w:w="90" w:type="dxa"/>
              <w:bottom w:w="90" w:type="dxa"/>
              <w:left w:w="140" w:type="dxa"/>
              <w:right w:w="140" w:type="dxa"/>
            </w:tcMar>
          </w:tcPr>
          <w:p>
            <w:pPr>
              <w:jc w:val="left"/>
            </w:pPr>
            <w:r>
              <w:rPr>
                <w:color w:val="222222"/>
                <w:sz w:val="18"/>
              </w:rPr>
              <w:t>Logistic Regression (L2)</w:t>
            </w:r>
          </w:p>
        </w:tc>
        <w:tc>
          <w:tcPr>
            <w:tcW w:type="dxa" w:w="2016"/>
            <w:shd w:fill="F4F7FA"/>
            <w:tcMar>
              <w:top w:w="90" w:type="dxa"/>
              <w:bottom w:w="90" w:type="dxa"/>
              <w:left w:w="140" w:type="dxa"/>
              <w:right w:w="140" w:type="dxa"/>
            </w:tcMar>
          </w:tcPr>
          <w:p>
            <w:pPr>
              <w:jc w:val="left"/>
            </w:pPr>
            <w:r>
              <w:rPr>
                <w:color w:val="222222"/>
                <w:sz w:val="18"/>
              </w:rPr>
              <w:t>0.9818 ± 0.0038</w:t>
            </w:r>
          </w:p>
        </w:tc>
        <w:tc>
          <w:tcPr>
            <w:tcW w:type="dxa" w:w="1296"/>
            <w:shd w:fill="F4F7FA"/>
            <w:tcMar>
              <w:top w:w="90" w:type="dxa"/>
              <w:bottom w:w="90" w:type="dxa"/>
              <w:left w:w="140" w:type="dxa"/>
              <w:right w:w="140" w:type="dxa"/>
            </w:tcMar>
          </w:tcPr>
          <w:p>
            <w:pPr>
              <w:jc w:val="left"/>
            </w:pPr>
            <w:r>
              <w:rPr>
                <w:color w:val="222222"/>
                <w:sz w:val="18"/>
              </w:rPr>
              <w:t>99.65%</w:t>
            </w:r>
          </w:p>
        </w:tc>
        <w:tc>
          <w:tcPr>
            <w:tcW w:type="dxa" w:w="1296"/>
            <w:shd w:fill="F4F7FA"/>
            <w:tcMar>
              <w:top w:w="90" w:type="dxa"/>
              <w:bottom w:w="90" w:type="dxa"/>
              <w:left w:w="140" w:type="dxa"/>
              <w:right w:w="140" w:type="dxa"/>
            </w:tcMar>
          </w:tcPr>
          <w:p>
            <w:pPr>
              <w:jc w:val="left"/>
            </w:pPr>
            <w:r>
              <w:rPr>
                <w:color w:val="222222"/>
                <w:sz w:val="18"/>
              </w:rPr>
              <w:t>0.9964</w:t>
            </w:r>
          </w:p>
        </w:tc>
        <w:tc>
          <w:tcPr>
            <w:tcW w:type="dxa" w:w="1296"/>
            <w:shd w:fill="F4F7FA"/>
            <w:tcMar>
              <w:top w:w="90" w:type="dxa"/>
              <w:bottom w:w="90" w:type="dxa"/>
              <w:left w:w="140" w:type="dxa"/>
              <w:right w:w="140" w:type="dxa"/>
            </w:tcMar>
          </w:tcPr>
          <w:p>
            <w:pPr>
              <w:jc w:val="left"/>
            </w:pPr>
            <w:r>
              <w:rPr>
                <w:color w:val="222222"/>
                <w:sz w:val="18"/>
              </w:rPr>
              <w:t>0.9968</w:t>
            </w:r>
          </w:p>
        </w:tc>
        <w:tc>
          <w:tcPr>
            <w:tcW w:type="dxa" w:w="1440"/>
            <w:shd w:fill="F4F7FA"/>
            <w:tcMar>
              <w:top w:w="90" w:type="dxa"/>
              <w:bottom w:w="90" w:type="dxa"/>
              <w:left w:w="140" w:type="dxa"/>
              <w:right w:w="140" w:type="dxa"/>
            </w:tcMar>
          </w:tcPr>
          <w:p>
            <w:pPr>
              <w:jc w:val="left"/>
            </w:pPr>
            <w:r>
              <w:rPr>
                <w:color w:val="222222"/>
                <w:sz w:val="18"/>
              </w:rPr>
              <w:t>1.0000</w:t>
            </w:r>
          </w:p>
        </w:tc>
      </w:tr>
      <w:tr>
        <w:tc>
          <w:tcPr>
            <w:tcW w:type="dxa" w:w="3024"/>
            <w:shd w:fill="FFFFFF"/>
            <w:tcMar>
              <w:top w:w="90" w:type="dxa"/>
              <w:bottom w:w="90" w:type="dxa"/>
              <w:left w:w="140" w:type="dxa"/>
              <w:right w:w="140" w:type="dxa"/>
            </w:tcMar>
          </w:tcPr>
          <w:p>
            <w:pPr>
              <w:jc w:val="left"/>
            </w:pPr>
            <w:r>
              <w:rPr>
                <w:color w:val="222222"/>
                <w:sz w:val="18"/>
              </w:rPr>
              <w:t>RBF SVM (C=100)</w:t>
            </w:r>
          </w:p>
        </w:tc>
        <w:tc>
          <w:tcPr>
            <w:tcW w:type="dxa" w:w="2016"/>
            <w:shd w:fill="FFFFFF"/>
            <w:tcMar>
              <w:top w:w="90" w:type="dxa"/>
              <w:bottom w:w="90" w:type="dxa"/>
              <w:left w:w="140" w:type="dxa"/>
              <w:right w:w="140" w:type="dxa"/>
            </w:tcMar>
          </w:tcPr>
          <w:p>
            <w:pPr>
              <w:jc w:val="left"/>
            </w:pPr>
            <w:r>
              <w:rPr>
                <w:color w:val="222222"/>
                <w:sz w:val="18"/>
              </w:rPr>
              <w:t>0.9553 ± 0.0163</w:t>
            </w:r>
          </w:p>
        </w:tc>
        <w:tc>
          <w:tcPr>
            <w:tcW w:type="dxa" w:w="1296"/>
            <w:shd w:fill="FFFFFF"/>
            <w:tcMar>
              <w:top w:w="90" w:type="dxa"/>
              <w:bottom w:w="90" w:type="dxa"/>
              <w:left w:w="140" w:type="dxa"/>
              <w:right w:w="140" w:type="dxa"/>
            </w:tcMar>
          </w:tcPr>
          <w:p>
            <w:pPr>
              <w:jc w:val="left"/>
            </w:pPr>
            <w:r>
              <w:rPr>
                <w:color w:val="222222"/>
                <w:sz w:val="18"/>
              </w:rPr>
              <w:t>95.44%</w:t>
            </w:r>
          </w:p>
        </w:tc>
        <w:tc>
          <w:tcPr>
            <w:tcW w:type="dxa" w:w="1296"/>
            <w:shd w:fill="FFFFFF"/>
            <w:tcMar>
              <w:top w:w="90" w:type="dxa"/>
              <w:bottom w:w="90" w:type="dxa"/>
              <w:left w:w="140" w:type="dxa"/>
              <w:right w:w="140" w:type="dxa"/>
            </w:tcMar>
          </w:tcPr>
          <w:p>
            <w:pPr>
              <w:jc w:val="left"/>
            </w:pPr>
            <w:r>
              <w:rPr>
                <w:color w:val="222222"/>
                <w:sz w:val="18"/>
              </w:rPr>
              <w:t>0.9581</w:t>
            </w:r>
          </w:p>
        </w:tc>
        <w:tc>
          <w:tcPr>
            <w:tcW w:type="dxa" w:w="1296"/>
            <w:shd w:fill="FFFFFF"/>
            <w:tcMar>
              <w:top w:w="90" w:type="dxa"/>
              <w:bottom w:w="90" w:type="dxa"/>
              <w:left w:w="140" w:type="dxa"/>
              <w:right w:w="140" w:type="dxa"/>
            </w:tcMar>
          </w:tcPr>
          <w:p>
            <w:pPr>
              <w:jc w:val="left"/>
            </w:pPr>
            <w:r>
              <w:rPr>
                <w:color w:val="222222"/>
                <w:sz w:val="18"/>
              </w:rPr>
              <w:t>0.9549</w:t>
            </w:r>
          </w:p>
        </w:tc>
        <w:tc>
          <w:tcPr>
            <w:tcW w:type="dxa" w:w="1440"/>
            <w:shd w:fill="FFFFFF"/>
            <w:tcMar>
              <w:top w:w="90" w:type="dxa"/>
              <w:bottom w:w="90" w:type="dxa"/>
              <w:left w:w="140" w:type="dxa"/>
              <w:right w:w="140" w:type="dxa"/>
            </w:tcMar>
          </w:tcPr>
          <w:p>
            <w:pPr>
              <w:jc w:val="left"/>
            </w:pPr>
            <w:r>
              <w:rPr>
                <w:color w:val="222222"/>
                <w:sz w:val="18"/>
              </w:rPr>
              <w:t>0.9968</w:t>
            </w:r>
          </w:p>
        </w:tc>
      </w:tr>
    </w:tbl>
    <w:p/>
    <w:p>
      <w:pPr>
        <w:spacing w:before="160" w:after="80"/>
        <w:jc w:val="center"/>
      </w:pPr>
      <w:r>
        <w:drawing>
          <wp:inline xmlns:a="http://schemas.openxmlformats.org/drawingml/2006/main" xmlns:pic="http://schemas.openxmlformats.org/drawingml/2006/picture">
            <wp:extent cx="5669280" cy="2788548"/>
            <wp:docPr id="5" name="Picture 5"/>
            <wp:cNvGraphicFramePr>
              <a:graphicFrameLocks noChangeAspect="1"/>
            </wp:cNvGraphicFramePr>
            <a:graphic>
              <a:graphicData uri="http://schemas.openxmlformats.org/drawingml/2006/picture">
                <pic:pic>
                  <pic:nvPicPr>
                    <pic:cNvPr id="0" name="nb_cell_26_img_1.png"/>
                    <pic:cNvPicPr/>
                  </pic:nvPicPr>
                  <pic:blipFill>
                    <a:blip r:embed="rId15"/>
                    <a:stretch>
                      <a:fillRect/>
                    </a:stretch>
                  </pic:blipFill>
                  <pic:spPr>
                    <a:xfrm>
                      <a:off x="0" y="0"/>
                      <a:ext cx="5669280" cy="2788548"/>
                    </a:xfrm>
                    <a:prstGeom prst="rect"/>
                  </pic:spPr>
                </pic:pic>
              </a:graphicData>
            </a:graphic>
          </wp:inline>
        </w:drawing>
      </w:r>
    </w:p>
    <w:p>
      <w:pPr>
        <w:spacing w:after="240"/>
        <w:jc w:val="center"/>
      </w:pPr>
      <w:r>
        <w:rPr>
          <w:i/>
          <w:color w:val="64748B"/>
          <w:sz w:val="18"/>
        </w:rPr>
        <w:t>Figure 13.1: Multi-Model Benchmark Comparison — 5-Fold Cross-Validation Macro-F1 across 5 Machine Learning Architectures.</w:t>
      </w:r>
    </w:p>
    <w:p>
      <w:pPr>
        <w:keepNext/>
        <w:spacing w:before="400" w:after="160"/>
      </w:pPr>
      <w:r>
        <w:rPr>
          <w:rFonts w:ascii="Arial" w:hAnsi="Arial"/>
          <w:b/>
          <w:color w:val="1B365D"/>
          <w:sz w:val="34"/>
        </w:rPr>
        <w:t>Step 14: Permutation Feature Importance &amp; Sensitivity Diagnostics (Graph Results)</w:t>
      </w:r>
    </w:p>
    <w:p>
      <w:r>
        <w:t>In Cell 28, the notebook performs Permutation Feature Importance on the test set. Each feature column is shuffled independently to break its relationship with the target, and the resulting drop in test accuracy is measured:</w:t>
      </w:r>
    </w:p>
    <w:p>
      <w:pPr>
        <w:spacing w:before="160" w:after="80"/>
        <w:jc w:val="center"/>
      </w:pPr>
      <w:r>
        <w:drawing>
          <wp:inline xmlns:a="http://schemas.openxmlformats.org/drawingml/2006/main" xmlns:pic="http://schemas.openxmlformats.org/drawingml/2006/picture">
            <wp:extent cx="5669280" cy="2788548"/>
            <wp:docPr id="6" name="Picture 6"/>
            <wp:cNvGraphicFramePr>
              <a:graphicFrameLocks noChangeAspect="1"/>
            </wp:cNvGraphicFramePr>
            <a:graphic>
              <a:graphicData uri="http://schemas.openxmlformats.org/drawingml/2006/picture">
                <pic:pic>
                  <pic:nvPicPr>
                    <pic:cNvPr id="0" name="nb_cell_28_img_1.png"/>
                    <pic:cNvPicPr/>
                  </pic:nvPicPr>
                  <pic:blipFill>
                    <a:blip r:embed="rId16"/>
                    <a:stretch>
                      <a:fillRect/>
                    </a:stretch>
                  </pic:blipFill>
                  <pic:spPr>
                    <a:xfrm>
                      <a:off x="0" y="0"/>
                      <a:ext cx="5669280" cy="2788548"/>
                    </a:xfrm>
                    <a:prstGeom prst="rect"/>
                  </pic:spPr>
                </pic:pic>
              </a:graphicData>
            </a:graphic>
          </wp:inline>
        </w:drawing>
      </w:r>
    </w:p>
    <w:p>
      <w:pPr>
        <w:spacing w:after="240"/>
        <w:jc w:val="center"/>
      </w:pPr>
      <w:r>
        <w:rPr>
          <w:i/>
          <w:color w:val="64748B"/>
          <w:sz w:val="18"/>
        </w:rPr>
        <w:t>Figure 14.1: Permutation Feature Importance Bar Chart — Accuracy Drop when Individual Features are Permuted on Test Cohorts.</w:t>
      </w:r>
    </w:p>
    <w:p>
      <w:r>
        <w:t>Clinical Sensitivity Findings:</w:t>
        <w:br/>
        <w:t>• Primary Biomarkers: Glycated Hemoglobin (HbA1c) and Fasting Glucose are the dominant predictive drivers. Shuffling HbA1c induces the largest drop in classification accuracy, confirming adherence to ADA clinical standards.</w:t>
        <w:br/>
        <w:t>• Engineered Synergy: The derived Glucose-to-HbA1c Ratio, Mean Arterial Pressure (MAP), and Metabolic Risk Index provide critical complementary signal for borderline pre-diabetic patients.</w:t>
      </w:r>
    </w:p>
    <w:p>
      <w:pPr>
        <w:keepNext/>
        <w:spacing w:before="400" w:after="160"/>
      </w:pPr>
      <w:r>
        <w:rPr>
          <w:rFonts w:ascii="Arial" w:hAnsi="Arial"/>
          <w:b/>
          <w:color w:val="1B365D"/>
          <w:sz w:val="34"/>
        </w:rPr>
        <w:t>Step 15 &amp; Step 16: Production Artifact Export &amp; Real-Time Patient Inference</w:t>
      </w:r>
    </w:p>
    <w:p>
      <w:r>
        <w:t>In Cell 30, the notebook exports the production artifacts required by our FastAPI service:</w:t>
        <w:br/>
        <w:t>1. diabetes_deep_model.pt: Serialized PyTorch state dictionary (331 KB).</w:t>
        <w:br/>
        <w:t>2. deep_model_scaler.pkl: Fitted StandardScaler object.</w:t>
        <w:br/>
        <w:t>3. deep_model_metadata.json: Metadata configuration schema.</w:t>
        <w:br/>
        <w:t>4. diabetes_deep_model_bundle.pkl: Combined model and scaler bundle.</w:t>
      </w:r>
    </w:p>
    <w:p>
      <w:r>
        <w:t>In Cell 32, a self-contained predict_patient_risk() inference function is implemented and verified on three patient clinical archetypes: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B365D"/>
            <w:tcMar>
              <w:top w:w="120" w:type="dxa"/>
              <w:bottom w:w="120" w:type="dxa"/>
              <w:left w:w="140" w:type="dxa"/>
              <w:right w:w="140" w:type="dxa"/>
            </w:tcMar>
          </w:tcPr>
          <w:p>
            <w:pPr>
              <w:jc w:val="left"/>
            </w:pPr>
            <w:r>
              <w:rPr>
                <w:b/>
                <w:color w:val="FFFFFF"/>
                <w:sz w:val="19"/>
              </w:rPr>
              <w:t>Patient Archetype</w:t>
            </w:r>
          </w:p>
        </w:tc>
        <w:tc>
          <w:tcPr>
            <w:tcW w:type="dxa" w:w="2880"/>
            <w:shd w:fill="1B365D"/>
            <w:tcMar>
              <w:top w:w="120" w:type="dxa"/>
              <w:bottom w:w="120" w:type="dxa"/>
              <w:left w:w="140" w:type="dxa"/>
              <w:right w:w="140" w:type="dxa"/>
            </w:tcMar>
          </w:tcPr>
          <w:p>
            <w:pPr>
              <w:jc w:val="left"/>
            </w:pPr>
            <w:r>
              <w:rPr>
                <w:b/>
                <w:color w:val="FFFFFF"/>
                <w:sz w:val="19"/>
              </w:rPr>
              <w:t>Clinical Indicators Input</w:t>
            </w:r>
          </w:p>
        </w:tc>
        <w:tc>
          <w:tcPr>
            <w:tcW w:type="dxa" w:w="2160"/>
            <w:shd w:fill="1B365D"/>
            <w:tcMar>
              <w:top w:w="120" w:type="dxa"/>
              <w:bottom w:w="120" w:type="dxa"/>
              <w:left w:w="140" w:type="dxa"/>
              <w:right w:w="140" w:type="dxa"/>
            </w:tcMar>
          </w:tcPr>
          <w:p>
            <w:pPr>
              <w:jc w:val="left"/>
            </w:pPr>
            <w:r>
              <w:rPr>
                <w:b/>
                <w:color w:val="FFFFFF"/>
                <w:sz w:val="19"/>
              </w:rPr>
              <w:t>ResNet Output</w:t>
            </w:r>
          </w:p>
        </w:tc>
        <w:tc>
          <w:tcPr>
            <w:tcW w:type="dxa" w:w="2160"/>
            <w:shd w:fill="1B365D"/>
            <w:tcMar>
              <w:top w:w="120" w:type="dxa"/>
              <w:bottom w:w="120" w:type="dxa"/>
              <w:left w:w="140" w:type="dxa"/>
              <w:right w:w="140" w:type="dxa"/>
            </w:tcMar>
          </w:tcPr>
          <w:p>
            <w:pPr>
              <w:jc w:val="left"/>
            </w:pPr>
            <w:r>
              <w:rPr>
                <w:b/>
                <w:color w:val="FFFFFF"/>
                <w:sz w:val="19"/>
              </w:rPr>
              <w:t>Clinical Recommendation</w:t>
            </w:r>
          </w:p>
        </w:tc>
      </w:tr>
      <w:tr>
        <w:tc>
          <w:tcPr>
            <w:tcW w:type="dxa" w:w="2160"/>
            <w:shd w:fill="FFFFFF"/>
            <w:tcMar>
              <w:top w:w="90" w:type="dxa"/>
              <w:bottom w:w="90" w:type="dxa"/>
              <w:left w:w="140" w:type="dxa"/>
              <w:right w:w="140" w:type="dxa"/>
            </w:tcMar>
          </w:tcPr>
          <w:p>
            <w:pPr>
              <w:jc w:val="left"/>
            </w:pPr>
            <w:r>
              <w:rPr>
                <w:color w:val="222222"/>
                <w:sz w:val="18"/>
              </w:rPr>
              <w:t>Low Risk Profile</w:t>
            </w:r>
          </w:p>
        </w:tc>
        <w:tc>
          <w:tcPr>
            <w:tcW w:type="dxa" w:w="2880"/>
            <w:shd w:fill="FFFFFF"/>
            <w:tcMar>
              <w:top w:w="90" w:type="dxa"/>
              <w:bottom w:w="90" w:type="dxa"/>
              <w:left w:w="140" w:type="dxa"/>
              <w:right w:w="140" w:type="dxa"/>
            </w:tcMar>
          </w:tcPr>
          <w:p>
            <w:pPr>
              <w:jc w:val="left"/>
            </w:pPr>
            <w:r>
              <w:rPr>
                <w:color w:val="222222"/>
                <w:sz w:val="18"/>
              </w:rPr>
              <w:t>Age 32, Male, Glucose 88, HbA1c 4.9%, BMI 22.2</w:t>
            </w:r>
          </w:p>
        </w:tc>
        <w:tc>
          <w:tcPr>
            <w:tcW w:type="dxa" w:w="2160"/>
            <w:shd w:fill="FFFFFF"/>
            <w:tcMar>
              <w:top w:w="90" w:type="dxa"/>
              <w:bottom w:w="90" w:type="dxa"/>
              <w:left w:w="140" w:type="dxa"/>
              <w:right w:w="140" w:type="dxa"/>
            </w:tcMar>
          </w:tcPr>
          <w:p>
            <w:pPr>
              <w:jc w:val="left"/>
            </w:pPr>
            <w:r>
              <w:rPr>
                <w:color w:val="222222"/>
                <w:sz w:val="18"/>
              </w:rPr>
              <w:t>Low Risk (92.29% Confidence)</w:t>
            </w:r>
          </w:p>
        </w:tc>
        <w:tc>
          <w:tcPr>
            <w:tcW w:type="dxa" w:w="2160"/>
            <w:shd w:fill="FFFFFF"/>
            <w:tcMar>
              <w:top w:w="90" w:type="dxa"/>
              <w:bottom w:w="90" w:type="dxa"/>
              <w:left w:w="140" w:type="dxa"/>
              <w:right w:w="140" w:type="dxa"/>
            </w:tcMar>
          </w:tcPr>
          <w:p>
            <w:pPr>
              <w:jc w:val="left"/>
            </w:pPr>
            <w:r>
              <w:rPr>
                <w:color w:val="222222"/>
                <w:sz w:val="18"/>
              </w:rPr>
              <w:t>Normal thresholds. Annual wellness check.</w:t>
            </w:r>
          </w:p>
        </w:tc>
      </w:tr>
      <w:tr>
        <w:tc>
          <w:tcPr>
            <w:tcW w:type="dxa" w:w="2160"/>
            <w:shd w:fill="F4F7FA"/>
            <w:tcMar>
              <w:top w:w="90" w:type="dxa"/>
              <w:bottom w:w="90" w:type="dxa"/>
              <w:left w:w="140" w:type="dxa"/>
              <w:right w:w="140" w:type="dxa"/>
            </w:tcMar>
          </w:tcPr>
          <w:p>
            <w:pPr>
              <w:jc w:val="left"/>
            </w:pPr>
            <w:r>
              <w:rPr>
                <w:color w:val="222222"/>
                <w:sz w:val="18"/>
              </w:rPr>
              <w:t>Medium Risk Profile</w:t>
            </w:r>
          </w:p>
        </w:tc>
        <w:tc>
          <w:tcPr>
            <w:tcW w:type="dxa" w:w="2880"/>
            <w:shd w:fill="F4F7FA"/>
            <w:tcMar>
              <w:top w:w="90" w:type="dxa"/>
              <w:bottom w:w="90" w:type="dxa"/>
              <w:left w:w="140" w:type="dxa"/>
              <w:right w:w="140" w:type="dxa"/>
            </w:tcMar>
          </w:tcPr>
          <w:p>
            <w:pPr>
              <w:jc w:val="left"/>
            </w:pPr>
            <w:r>
              <w:rPr>
                <w:color w:val="222222"/>
                <w:sz w:val="18"/>
              </w:rPr>
              <w:t>Age 48, Female, Glucose 118, HbA1c 6.0%, BMI 29.0</w:t>
            </w:r>
          </w:p>
        </w:tc>
        <w:tc>
          <w:tcPr>
            <w:tcW w:type="dxa" w:w="2160"/>
            <w:shd w:fill="F4F7FA"/>
            <w:tcMar>
              <w:top w:w="90" w:type="dxa"/>
              <w:bottom w:w="90" w:type="dxa"/>
              <w:left w:w="140" w:type="dxa"/>
              <w:right w:w="140" w:type="dxa"/>
            </w:tcMar>
          </w:tcPr>
          <w:p>
            <w:pPr>
              <w:jc w:val="left"/>
            </w:pPr>
            <w:r>
              <w:rPr>
                <w:color w:val="222222"/>
                <w:sz w:val="18"/>
              </w:rPr>
              <w:t>Medium Risk (96.47% Confidence)</w:t>
            </w:r>
          </w:p>
        </w:tc>
        <w:tc>
          <w:tcPr>
            <w:tcW w:type="dxa" w:w="2160"/>
            <w:shd w:fill="F4F7FA"/>
            <w:tcMar>
              <w:top w:w="90" w:type="dxa"/>
              <w:bottom w:w="90" w:type="dxa"/>
              <w:left w:w="140" w:type="dxa"/>
              <w:right w:w="140" w:type="dxa"/>
            </w:tcMar>
          </w:tcPr>
          <w:p>
            <w:pPr>
              <w:jc w:val="left"/>
            </w:pPr>
            <w:r>
              <w:rPr>
                <w:color w:val="222222"/>
                <w:sz w:val="18"/>
              </w:rPr>
              <w:t>Pre-diabetic. Lifestyle intervention indicated.</w:t>
            </w:r>
          </w:p>
        </w:tc>
      </w:tr>
      <w:tr>
        <w:tc>
          <w:tcPr>
            <w:tcW w:type="dxa" w:w="2160"/>
            <w:shd w:fill="FFFFFF"/>
            <w:tcMar>
              <w:top w:w="90" w:type="dxa"/>
              <w:bottom w:w="90" w:type="dxa"/>
              <w:left w:w="140" w:type="dxa"/>
              <w:right w:w="140" w:type="dxa"/>
            </w:tcMar>
          </w:tcPr>
          <w:p>
            <w:pPr>
              <w:jc w:val="left"/>
            </w:pPr>
            <w:r>
              <w:rPr>
                <w:color w:val="222222"/>
                <w:sz w:val="18"/>
              </w:rPr>
              <w:t>High Risk Profile</w:t>
            </w:r>
          </w:p>
        </w:tc>
        <w:tc>
          <w:tcPr>
            <w:tcW w:type="dxa" w:w="2880"/>
            <w:shd w:fill="FFFFFF"/>
            <w:tcMar>
              <w:top w:w="90" w:type="dxa"/>
              <w:bottom w:w="90" w:type="dxa"/>
              <w:left w:w="140" w:type="dxa"/>
              <w:right w:w="140" w:type="dxa"/>
            </w:tcMar>
          </w:tcPr>
          <w:p>
            <w:pPr>
              <w:jc w:val="left"/>
            </w:pPr>
            <w:r>
              <w:rPr>
                <w:color w:val="222222"/>
                <w:sz w:val="18"/>
              </w:rPr>
              <w:t>Age 56, Male, Glucose 175, HbA1c 8.4%, BMI 30.4</w:t>
            </w:r>
          </w:p>
        </w:tc>
        <w:tc>
          <w:tcPr>
            <w:tcW w:type="dxa" w:w="2160"/>
            <w:shd w:fill="FFFFFF"/>
            <w:tcMar>
              <w:top w:w="90" w:type="dxa"/>
              <w:bottom w:w="90" w:type="dxa"/>
              <w:left w:w="140" w:type="dxa"/>
              <w:right w:w="140" w:type="dxa"/>
            </w:tcMar>
          </w:tcPr>
          <w:p>
            <w:pPr>
              <w:jc w:val="left"/>
            </w:pPr>
            <w:r>
              <w:rPr>
                <w:color w:val="222222"/>
                <w:sz w:val="18"/>
              </w:rPr>
              <w:t>High Risk (98.81% Confidence)</w:t>
            </w:r>
          </w:p>
        </w:tc>
        <w:tc>
          <w:tcPr>
            <w:tcW w:type="dxa" w:w="2160"/>
            <w:shd w:fill="FFFFFF"/>
            <w:tcMar>
              <w:top w:w="90" w:type="dxa"/>
              <w:bottom w:w="90" w:type="dxa"/>
              <w:left w:w="140" w:type="dxa"/>
              <w:right w:w="140" w:type="dxa"/>
            </w:tcMar>
          </w:tcPr>
          <w:p>
            <w:pPr>
              <w:jc w:val="left"/>
            </w:pPr>
            <w:r>
              <w:rPr>
                <w:color w:val="222222"/>
                <w:sz w:val="18"/>
              </w:rPr>
              <w:t>Diabetic. Physician evaluation &amp; pharmacological plan.</w:t>
            </w:r>
          </w:p>
        </w:tc>
      </w:tr>
    </w:tbl>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909C"/>
        <w:sz w:val="17"/>
      </w:rPr>
      <w:t>Deep_Learning_Diabetes_Classifier.ipynb | Experimental &amp; Research Master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Deep Learning Diabetes Classifier — Notebook Master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