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60"/>
      </w:pPr>
      <w:r>
        <w:rPr>
          <w:rFonts w:ascii="Arial" w:hAnsi="Arial"/>
          <w:b/>
          <w:color w:val="1B365D"/>
          <w:sz w:val="56"/>
        </w:rPr>
        <w:t>DIABETES RISK PREDICTION SYSTEM</w:t>
      </w:r>
    </w:p>
    <w:p>
      <w:pPr>
        <w:spacing w:after="480"/>
      </w:pPr>
      <w:r>
        <w:rPr>
          <w:i/>
          <w:color w:val="2B547E"/>
          <w:sz w:val="27"/>
        </w:rPr>
        <w:t>Deep Tabular ResNet (98.60% Accuracy), Clinical Biomarker Engineering, Model Context Protocol (MCP) Interoperability &amp; Enterprise Cloud Deployment</w:t>
      </w:r>
    </w:p>
    <w:tbl>
      <w:tblPr>
        <w:tblW w:type="auto" w:w="0"/>
        <w:tblLook w:firstColumn="1" w:firstRow="1" w:lastColumn="0" w:lastRow="0" w:noHBand="0" w:noVBand="1" w:val="04A0"/>
      </w:tblPr>
      <w:tblGrid>
        <w:gridCol w:w="9360"/>
      </w:tblGrid>
      <w:tr>
        <w:tc>
          <w:tcPr>
            <w:tcW w:type="dxa" w:w="9360"/>
            <w:shd w:fill="1B365D"/>
            <w:tcMar>
              <w:top w:w="20" w:type="dxa"/>
              <w:bottom w:w="20" w:type="dxa"/>
              <w:left w:w="20" w:type="dxa"/>
              <w:right w:w="20" w:type="dxa"/>
            </w:tcMar>
          </w:tcPr>
          <w:p/>
        </w:tc>
      </w:tr>
    </w:tbl>
    <w:p/>
    <w:p>
      <w:pPr>
        <w:spacing w:before="800" w:after="80"/>
      </w:pPr>
      <w:r>
        <w:rPr>
          <w:b/>
        </w:rPr>
        <w:t>SYSTEM SPECIFICATION &amp; ARCHITECTURAL SUMMARY</w:t>
        <w:br/>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312"/>
            <w:shd w:fill="1B365D"/>
            <w:tcMar>
              <w:top w:w="120" w:type="dxa"/>
              <w:bottom w:w="120" w:type="dxa"/>
              <w:left w:w="140" w:type="dxa"/>
              <w:right w:w="140" w:type="dxa"/>
            </w:tcMar>
          </w:tcPr>
          <w:p>
            <w:pPr>
              <w:jc w:val="left"/>
            </w:pPr>
            <w:r>
              <w:rPr>
                <w:b/>
                <w:color w:val="FFFFFF"/>
                <w:sz w:val="19"/>
              </w:rPr>
              <w:t>Specification Parameter</w:t>
            </w:r>
          </w:p>
        </w:tc>
        <w:tc>
          <w:tcPr>
            <w:tcW w:type="dxa" w:w="6048"/>
            <w:shd w:fill="1B365D"/>
            <w:tcMar>
              <w:top w:w="120" w:type="dxa"/>
              <w:bottom w:w="120" w:type="dxa"/>
              <w:left w:w="140" w:type="dxa"/>
              <w:right w:w="140" w:type="dxa"/>
            </w:tcMar>
          </w:tcPr>
          <w:p>
            <w:pPr>
              <w:jc w:val="left"/>
            </w:pPr>
            <w:r>
              <w:rPr>
                <w:b/>
                <w:color w:val="FFFFFF"/>
                <w:sz w:val="19"/>
              </w:rPr>
              <w:t>Production Architecture Detail</w:t>
            </w:r>
          </w:p>
        </w:tc>
      </w:tr>
      <w:tr>
        <w:tc>
          <w:tcPr>
            <w:tcW w:type="dxa" w:w="3312"/>
            <w:shd w:fill="FFFFFF"/>
            <w:tcMar>
              <w:top w:w="90" w:type="dxa"/>
              <w:bottom w:w="90" w:type="dxa"/>
              <w:left w:w="140" w:type="dxa"/>
              <w:right w:w="140" w:type="dxa"/>
            </w:tcMar>
          </w:tcPr>
          <w:p>
            <w:pPr>
              <w:jc w:val="left"/>
            </w:pPr>
            <w:r>
              <w:rPr>
                <w:color w:val="222222"/>
                <w:sz w:val="18"/>
              </w:rPr>
              <w:t>Project Name</w:t>
            </w:r>
          </w:p>
        </w:tc>
        <w:tc>
          <w:tcPr>
            <w:tcW w:type="dxa" w:w="6048"/>
            <w:shd w:fill="FFFFFF"/>
            <w:tcMar>
              <w:top w:w="90" w:type="dxa"/>
              <w:bottom w:w="90" w:type="dxa"/>
              <w:left w:w="140" w:type="dxa"/>
              <w:right w:w="140" w:type="dxa"/>
            </w:tcMar>
          </w:tcPr>
          <w:p>
            <w:pPr>
              <w:jc w:val="left"/>
            </w:pPr>
            <w:r>
              <w:rPr>
                <w:color w:val="222222"/>
                <w:sz w:val="18"/>
              </w:rPr>
              <w:t>Diabetes Risk Severity Classifier (Deep Tabular ResNet)</w:t>
            </w:r>
          </w:p>
        </w:tc>
      </w:tr>
      <w:tr>
        <w:tc>
          <w:tcPr>
            <w:tcW w:type="dxa" w:w="3312"/>
            <w:shd w:fill="F4F7FA"/>
            <w:tcMar>
              <w:top w:w="90" w:type="dxa"/>
              <w:bottom w:w="90" w:type="dxa"/>
              <w:left w:w="140" w:type="dxa"/>
              <w:right w:w="140" w:type="dxa"/>
            </w:tcMar>
          </w:tcPr>
          <w:p>
            <w:pPr>
              <w:jc w:val="left"/>
            </w:pPr>
            <w:r>
              <w:rPr>
                <w:color w:val="222222"/>
                <w:sz w:val="18"/>
              </w:rPr>
              <w:t>Core Neural Architecture</w:t>
            </w:r>
          </w:p>
        </w:tc>
        <w:tc>
          <w:tcPr>
            <w:tcW w:type="dxa" w:w="6048"/>
            <w:shd w:fill="F4F7FA"/>
            <w:tcMar>
              <w:top w:w="90" w:type="dxa"/>
              <w:bottom w:w="90" w:type="dxa"/>
              <w:left w:w="140" w:type="dxa"/>
              <w:right w:w="140" w:type="dxa"/>
            </w:tcMar>
          </w:tcPr>
          <w:p>
            <w:pPr>
              <w:jc w:val="left"/>
            </w:pPr>
            <w:r>
              <w:rPr>
                <w:color w:val="222222"/>
                <w:sz w:val="18"/>
              </w:rPr>
              <w:t>Deep Tabular ResNet with Dense Skip Connections &amp; GELU Activations</w:t>
            </w:r>
          </w:p>
        </w:tc>
      </w:tr>
      <w:tr>
        <w:tc>
          <w:tcPr>
            <w:tcW w:type="dxa" w:w="3312"/>
            <w:shd w:fill="FFFFFF"/>
            <w:tcMar>
              <w:top w:w="90" w:type="dxa"/>
              <w:bottom w:w="90" w:type="dxa"/>
              <w:left w:w="140" w:type="dxa"/>
              <w:right w:w="140" w:type="dxa"/>
            </w:tcMar>
          </w:tcPr>
          <w:p>
            <w:pPr>
              <w:jc w:val="left"/>
            </w:pPr>
            <w:r>
              <w:rPr>
                <w:color w:val="222222"/>
                <w:sz w:val="18"/>
              </w:rPr>
              <w:t>Out-of-Sample Accuracy</w:t>
            </w:r>
          </w:p>
        </w:tc>
        <w:tc>
          <w:tcPr>
            <w:tcW w:type="dxa" w:w="6048"/>
            <w:shd w:fill="FFFFFF"/>
            <w:tcMar>
              <w:top w:w="90" w:type="dxa"/>
              <w:bottom w:w="90" w:type="dxa"/>
              <w:left w:w="140" w:type="dxa"/>
              <w:right w:w="140" w:type="dxa"/>
            </w:tcMar>
          </w:tcPr>
          <w:p>
            <w:pPr>
              <w:jc w:val="left"/>
            </w:pPr>
            <w:r>
              <w:rPr>
                <w:color w:val="222222"/>
                <w:sz w:val="18"/>
              </w:rPr>
              <w:t>98.60% (Macro ROC-AUC: 0.9993 | Macro F1: 0.9853)</w:t>
            </w:r>
          </w:p>
        </w:tc>
      </w:tr>
      <w:tr>
        <w:tc>
          <w:tcPr>
            <w:tcW w:type="dxa" w:w="3312"/>
            <w:shd w:fill="F4F7FA"/>
            <w:tcMar>
              <w:top w:w="90" w:type="dxa"/>
              <w:bottom w:w="90" w:type="dxa"/>
              <w:left w:w="140" w:type="dxa"/>
              <w:right w:w="140" w:type="dxa"/>
            </w:tcMar>
          </w:tcPr>
          <w:p>
            <w:pPr>
              <w:jc w:val="left"/>
            </w:pPr>
            <w:r>
              <w:rPr>
                <w:color w:val="222222"/>
                <w:sz w:val="18"/>
              </w:rPr>
              <w:t>Inference Framework</w:t>
            </w:r>
          </w:p>
        </w:tc>
        <w:tc>
          <w:tcPr>
            <w:tcW w:type="dxa" w:w="6048"/>
            <w:shd w:fill="F4F7FA"/>
            <w:tcMar>
              <w:top w:w="90" w:type="dxa"/>
              <w:bottom w:w="90" w:type="dxa"/>
              <w:left w:w="140" w:type="dxa"/>
              <w:right w:w="140" w:type="dxa"/>
            </w:tcMar>
          </w:tcPr>
          <w:p>
            <w:pPr>
              <w:jc w:val="left"/>
            </w:pPr>
            <w:r>
              <w:rPr>
                <w:color w:val="222222"/>
                <w:sz w:val="18"/>
              </w:rPr>
              <w:t>PyTorch 2.x CPU/CUDA Tensor Runtime (Sub-20ms P99)</w:t>
            </w:r>
          </w:p>
        </w:tc>
      </w:tr>
      <w:tr>
        <w:tc>
          <w:tcPr>
            <w:tcW w:type="dxa" w:w="3312"/>
            <w:shd w:fill="FFFFFF"/>
            <w:tcMar>
              <w:top w:w="90" w:type="dxa"/>
              <w:bottom w:w="90" w:type="dxa"/>
              <w:left w:w="140" w:type="dxa"/>
              <w:right w:w="140" w:type="dxa"/>
            </w:tcMar>
          </w:tcPr>
          <w:p>
            <w:pPr>
              <w:jc w:val="left"/>
            </w:pPr>
            <w:r>
              <w:rPr>
                <w:color w:val="222222"/>
                <w:sz w:val="18"/>
              </w:rPr>
              <w:t>API Framework</w:t>
            </w:r>
          </w:p>
        </w:tc>
        <w:tc>
          <w:tcPr>
            <w:tcW w:type="dxa" w:w="6048"/>
            <w:shd w:fill="FFFFFF"/>
            <w:tcMar>
              <w:top w:w="90" w:type="dxa"/>
              <w:bottom w:w="90" w:type="dxa"/>
              <w:left w:w="140" w:type="dxa"/>
              <w:right w:w="140" w:type="dxa"/>
            </w:tcMar>
          </w:tcPr>
          <w:p>
            <w:pPr>
              <w:jc w:val="left"/>
            </w:pPr>
            <w:r>
              <w:rPr>
                <w:color w:val="222222"/>
                <w:sz w:val="18"/>
              </w:rPr>
              <w:t>FastAPI 0.115+ (Asynchronous ASGI Architecture with Uvicorn)</w:t>
            </w:r>
          </w:p>
        </w:tc>
      </w:tr>
      <w:tr>
        <w:tc>
          <w:tcPr>
            <w:tcW w:type="dxa" w:w="3312"/>
            <w:shd w:fill="F4F7FA"/>
            <w:tcMar>
              <w:top w:w="90" w:type="dxa"/>
              <w:bottom w:w="90" w:type="dxa"/>
              <w:left w:w="140" w:type="dxa"/>
              <w:right w:w="140" w:type="dxa"/>
            </w:tcMar>
          </w:tcPr>
          <w:p>
            <w:pPr>
              <w:jc w:val="left"/>
            </w:pPr>
            <w:r>
              <w:rPr>
                <w:color w:val="222222"/>
                <w:sz w:val="18"/>
              </w:rPr>
              <w:t>Protocol Standards</w:t>
            </w:r>
          </w:p>
        </w:tc>
        <w:tc>
          <w:tcPr>
            <w:tcW w:type="dxa" w:w="6048"/>
            <w:shd w:fill="F4F7FA"/>
            <w:tcMar>
              <w:top w:w="90" w:type="dxa"/>
              <w:bottom w:w="90" w:type="dxa"/>
              <w:left w:w="140" w:type="dxa"/>
              <w:right w:w="140" w:type="dxa"/>
            </w:tcMar>
          </w:tcPr>
          <w:p>
            <w:pPr>
              <w:jc w:val="left"/>
            </w:pPr>
            <w:r>
              <w:rPr>
                <w:color w:val="222222"/>
                <w:sz w:val="18"/>
              </w:rPr>
              <w:t>REST API, Model Context Protocol (MCP), Agent-to-Agent (A2A), OpenAPI 3.0</w:t>
            </w:r>
          </w:p>
        </w:tc>
      </w:tr>
      <w:tr>
        <w:tc>
          <w:tcPr>
            <w:tcW w:type="dxa" w:w="3312"/>
            <w:shd w:fill="FFFFFF"/>
            <w:tcMar>
              <w:top w:w="90" w:type="dxa"/>
              <w:bottom w:w="90" w:type="dxa"/>
              <w:left w:w="140" w:type="dxa"/>
              <w:right w:w="140" w:type="dxa"/>
            </w:tcMar>
          </w:tcPr>
          <w:p>
            <w:pPr>
              <w:jc w:val="left"/>
            </w:pPr>
            <w:r>
              <w:rPr>
                <w:color w:val="222222"/>
                <w:sz w:val="18"/>
              </w:rPr>
              <w:t>Cloud Infrastructure</w:t>
            </w:r>
          </w:p>
        </w:tc>
        <w:tc>
          <w:tcPr>
            <w:tcW w:type="dxa" w:w="6048"/>
            <w:shd w:fill="FFFFFF"/>
            <w:tcMar>
              <w:top w:w="90" w:type="dxa"/>
              <w:bottom w:w="90" w:type="dxa"/>
              <w:left w:w="140" w:type="dxa"/>
              <w:right w:w="140" w:type="dxa"/>
            </w:tcMar>
          </w:tcPr>
          <w:p>
            <w:pPr>
              <w:jc w:val="left"/>
            </w:pPr>
            <w:r>
              <w:rPr>
                <w:color w:val="222222"/>
                <w:sz w:val="18"/>
              </w:rPr>
              <w:t>Docker Container (python:3.11-slim) on Hugging Face Spaces &amp; GitHub CI/CD</w:t>
            </w:r>
          </w:p>
        </w:tc>
      </w:tr>
      <w:tr>
        <w:tc>
          <w:tcPr>
            <w:tcW w:type="dxa" w:w="3312"/>
            <w:shd w:fill="F4F7FA"/>
            <w:tcMar>
              <w:top w:w="90" w:type="dxa"/>
              <w:bottom w:w="90" w:type="dxa"/>
              <w:left w:w="140" w:type="dxa"/>
              <w:right w:w="140" w:type="dxa"/>
            </w:tcMar>
          </w:tcPr>
          <w:p>
            <w:pPr>
              <w:jc w:val="left"/>
            </w:pPr>
            <w:r>
              <w:rPr>
                <w:color w:val="222222"/>
                <w:sz w:val="18"/>
              </w:rPr>
              <w:t>Target Classifications</w:t>
            </w:r>
          </w:p>
        </w:tc>
        <w:tc>
          <w:tcPr>
            <w:tcW w:type="dxa" w:w="6048"/>
            <w:shd w:fill="F4F7FA"/>
            <w:tcMar>
              <w:top w:w="90" w:type="dxa"/>
              <w:bottom w:w="90" w:type="dxa"/>
              <w:left w:w="140" w:type="dxa"/>
              <w:right w:w="140" w:type="dxa"/>
            </w:tcMar>
          </w:tcPr>
          <w:p>
            <w:pPr>
              <w:jc w:val="left"/>
            </w:pPr>
            <w:r>
              <w:rPr>
                <w:color w:val="222222"/>
                <w:sz w:val="18"/>
              </w:rPr>
              <w:t>3-Tier Stratification: Low Risk (&lt;5.7%), Medium (5.7-6.4%), High (≥6.5%)</w:t>
            </w:r>
          </w:p>
        </w:tc>
      </w:tr>
      <w:tr>
        <w:tc>
          <w:tcPr>
            <w:tcW w:type="dxa" w:w="3312"/>
            <w:shd w:fill="FFFFFF"/>
            <w:tcMar>
              <w:top w:w="90" w:type="dxa"/>
              <w:bottom w:w="90" w:type="dxa"/>
              <w:left w:w="140" w:type="dxa"/>
              <w:right w:w="140" w:type="dxa"/>
            </w:tcMar>
          </w:tcPr>
          <w:p>
            <w:pPr>
              <w:jc w:val="left"/>
            </w:pPr>
            <w:r>
              <w:rPr>
                <w:color w:val="222222"/>
                <w:sz w:val="18"/>
              </w:rPr>
              <w:t>Feature Dimensionality</w:t>
            </w:r>
          </w:p>
        </w:tc>
        <w:tc>
          <w:tcPr>
            <w:tcW w:type="dxa" w:w="6048"/>
            <w:shd w:fill="FFFFFF"/>
            <w:tcMar>
              <w:top w:w="90" w:type="dxa"/>
              <w:bottom w:w="90" w:type="dxa"/>
              <w:left w:w="140" w:type="dxa"/>
              <w:right w:w="140" w:type="dxa"/>
            </w:tcMar>
          </w:tcPr>
          <w:p>
            <w:pPr>
              <w:jc w:val="left"/>
            </w:pPr>
            <w:r>
              <w:rPr>
                <w:color w:val="222222"/>
                <w:sz w:val="18"/>
              </w:rPr>
              <w:t>13 Clinical Metrics (9 Patient Inputs + 4 Engineered Physiological Biomarkers)</w:t>
            </w:r>
          </w:p>
        </w:tc>
      </w:tr>
      <w:tr>
        <w:tc>
          <w:tcPr>
            <w:tcW w:type="dxa" w:w="3312"/>
            <w:shd w:fill="F4F7FA"/>
            <w:tcMar>
              <w:top w:w="90" w:type="dxa"/>
              <w:bottom w:w="90" w:type="dxa"/>
              <w:left w:w="140" w:type="dxa"/>
              <w:right w:w="140" w:type="dxa"/>
            </w:tcMar>
          </w:tcPr>
          <w:p>
            <w:pPr>
              <w:jc w:val="left"/>
            </w:pPr>
            <w:r>
              <w:rPr>
                <w:color w:val="222222"/>
                <w:sz w:val="18"/>
              </w:rPr>
              <w:t>Documentation Release</w:t>
            </w:r>
          </w:p>
        </w:tc>
        <w:tc>
          <w:tcPr>
            <w:tcW w:type="dxa" w:w="6048"/>
            <w:shd w:fill="F4F7FA"/>
            <w:tcMar>
              <w:top w:w="90" w:type="dxa"/>
              <w:bottom w:w="90" w:type="dxa"/>
              <w:left w:w="140" w:type="dxa"/>
              <w:right w:w="140" w:type="dxa"/>
            </w:tcMar>
          </w:tcPr>
          <w:p>
            <w:pPr>
              <w:jc w:val="left"/>
            </w:pPr>
            <w:r>
              <w:rPr>
                <w:color w:val="222222"/>
                <w:sz w:val="18"/>
              </w:rPr>
              <w:t>Version 2.0.0 — Production Quality Assurance Verified</w:t>
            </w:r>
          </w:p>
        </w:tc>
      </w:tr>
    </w:tbl>
    <w:p/>
    <w:p>
      <w:r>
        <w:br w:type="page"/>
      </w:r>
    </w:p>
    <w:p>
      <w:pPr>
        <w:keepNext/>
        <w:spacing w:before="360" w:after="160"/>
      </w:pPr>
      <w:r>
        <w:rPr>
          <w:rFonts w:ascii="Arial" w:hAnsi="Arial"/>
          <w:b/>
          <w:color w:val="1B365D"/>
          <w:sz w:val="36"/>
        </w:rPr>
        <w:t>Table of Contents — Master Engineering Index</w:t>
      </w:r>
    </w:p>
    <w:tbl>
      <w:tblPr>
        <w:tblW w:type="auto" w:w="0"/>
        <w:jc w:val="center"/>
        <w:tblLook w:firstColumn="1" w:firstRow="1" w:lastColumn="0" w:lastRow="0" w:noHBand="0" w:noVBand="1" w:val="04A0"/>
      </w:tblPr>
      <w:tblGrid>
        <w:gridCol w:w="4680"/>
        <w:gridCol w:w="4680"/>
      </w:tblGrid>
      <w:tr>
        <w:tc>
          <w:tcPr>
            <w:tcW w:type="dxa" w:w="2160"/>
            <w:tcMar>
              <w:top w:w="60" w:type="dxa"/>
              <w:bottom w:w="60" w:type="dxa"/>
              <w:left w:w="80" w:type="dxa"/>
              <w:right w:w="80" w:type="dxa"/>
            </w:tcMar>
          </w:tcPr>
          <w:p>
            <w:r>
              <w:rPr>
                <w:b/>
                <w:color w:val="1B365D"/>
              </w:rPr>
              <w:t>Chapter 1</w:t>
            </w:r>
          </w:p>
        </w:tc>
        <w:tc>
          <w:tcPr>
            <w:tcW w:type="dxa" w:w="7200"/>
            <w:tcMar>
              <w:top w:w="60" w:type="dxa"/>
              <w:bottom w:w="60" w:type="dxa"/>
              <w:left w:w="80" w:type="dxa"/>
              <w:right w:w="80" w:type="dxa"/>
            </w:tcMar>
          </w:tcPr>
          <w:p>
            <w:r>
              <w:t>Executive Summary &amp; Clinical Decision Charter</w:t>
            </w:r>
          </w:p>
        </w:tc>
      </w:tr>
      <w:tr>
        <w:tc>
          <w:tcPr>
            <w:tcW w:type="dxa" w:w="2160"/>
            <w:tcMar>
              <w:top w:w="60" w:type="dxa"/>
              <w:bottom w:w="60" w:type="dxa"/>
              <w:left w:w="80" w:type="dxa"/>
              <w:right w:w="80" w:type="dxa"/>
            </w:tcMar>
          </w:tcPr>
          <w:p>
            <w:r>
              <w:rPr>
                <w:b/>
                <w:color w:val="1B365D"/>
              </w:rPr>
              <w:t>Chapter 2</w:t>
            </w:r>
          </w:p>
        </w:tc>
        <w:tc>
          <w:tcPr>
            <w:tcW w:type="dxa" w:w="7200"/>
            <w:tcMar>
              <w:top w:w="60" w:type="dxa"/>
              <w:bottom w:w="60" w:type="dxa"/>
              <w:left w:w="80" w:type="dxa"/>
              <w:right w:w="80" w:type="dxa"/>
            </w:tcMar>
          </w:tcPr>
          <w:p>
            <w:r>
              <w:t>Clinical Background &amp; Medical Diagnostic Foundations (ADA Standards)</w:t>
            </w:r>
          </w:p>
        </w:tc>
      </w:tr>
      <w:tr>
        <w:tc>
          <w:tcPr>
            <w:tcW w:type="dxa" w:w="2160"/>
            <w:tcMar>
              <w:top w:w="60" w:type="dxa"/>
              <w:bottom w:w="60" w:type="dxa"/>
              <w:left w:w="80" w:type="dxa"/>
              <w:right w:w="80" w:type="dxa"/>
            </w:tcMar>
          </w:tcPr>
          <w:p>
            <w:r>
              <w:rPr>
                <w:b/>
                <w:color w:val="1B365D"/>
              </w:rPr>
              <w:t>Chapter 3</w:t>
            </w:r>
          </w:p>
        </w:tc>
        <w:tc>
          <w:tcPr>
            <w:tcW w:type="dxa" w:w="7200"/>
            <w:tcMar>
              <w:top w:w="60" w:type="dxa"/>
              <w:bottom w:w="60" w:type="dxa"/>
              <w:left w:w="80" w:type="dxa"/>
              <w:right w:w="80" w:type="dxa"/>
            </w:tcMar>
          </w:tcPr>
          <w:p>
            <w:r>
              <w:t>Dataset Profiling &amp; Exploratory Data Analysis (EDA)</w:t>
            </w:r>
          </w:p>
        </w:tc>
      </w:tr>
      <w:tr>
        <w:tc>
          <w:tcPr>
            <w:tcW w:type="dxa" w:w="2160"/>
            <w:tcMar>
              <w:top w:w="60" w:type="dxa"/>
              <w:bottom w:w="60" w:type="dxa"/>
              <w:left w:w="80" w:type="dxa"/>
              <w:right w:w="80" w:type="dxa"/>
            </w:tcMar>
          </w:tcPr>
          <w:p>
            <w:r>
              <w:rPr>
                <w:b/>
                <w:color w:val="1B365D"/>
              </w:rPr>
              <w:t>Chapter 4</w:t>
            </w:r>
          </w:p>
        </w:tc>
        <w:tc>
          <w:tcPr>
            <w:tcW w:type="dxa" w:w="7200"/>
            <w:tcMar>
              <w:top w:w="60" w:type="dxa"/>
              <w:bottom w:w="60" w:type="dxa"/>
              <w:left w:w="80" w:type="dxa"/>
              <w:right w:w="80" w:type="dxa"/>
            </w:tcMar>
          </w:tcPr>
          <w:p>
            <w:r>
              <w:t>Advanced Clinical Feature Engineering &amp; Physiological Derivations</w:t>
            </w:r>
          </w:p>
        </w:tc>
      </w:tr>
      <w:tr>
        <w:tc>
          <w:tcPr>
            <w:tcW w:type="dxa" w:w="2160"/>
            <w:tcMar>
              <w:top w:w="60" w:type="dxa"/>
              <w:bottom w:w="60" w:type="dxa"/>
              <w:left w:w="80" w:type="dxa"/>
              <w:right w:w="80" w:type="dxa"/>
            </w:tcMar>
          </w:tcPr>
          <w:p>
            <w:r>
              <w:rPr>
                <w:b/>
                <w:color w:val="1B365D"/>
              </w:rPr>
              <w:t>Chapter 5</w:t>
            </w:r>
          </w:p>
        </w:tc>
        <w:tc>
          <w:tcPr>
            <w:tcW w:type="dxa" w:w="7200"/>
            <w:tcMar>
              <w:top w:w="60" w:type="dxa"/>
              <w:bottom w:w="60" w:type="dxa"/>
              <w:left w:w="80" w:type="dxa"/>
              <w:right w:w="80" w:type="dxa"/>
            </w:tcMar>
          </w:tcPr>
          <w:p>
            <w:r>
              <w:t>Deep Learning Architecture: Deep Tabular ResNet</w:t>
            </w:r>
          </w:p>
        </w:tc>
      </w:tr>
      <w:tr>
        <w:tc>
          <w:tcPr>
            <w:tcW w:type="dxa" w:w="2160"/>
            <w:tcMar>
              <w:top w:w="60" w:type="dxa"/>
              <w:bottom w:w="60" w:type="dxa"/>
              <w:left w:w="80" w:type="dxa"/>
              <w:right w:w="80" w:type="dxa"/>
            </w:tcMar>
          </w:tcPr>
          <w:p>
            <w:r>
              <w:rPr>
                <w:b/>
                <w:color w:val="1B365D"/>
              </w:rPr>
              <w:t>Chapter 6</w:t>
            </w:r>
          </w:p>
        </w:tc>
        <w:tc>
          <w:tcPr>
            <w:tcW w:type="dxa" w:w="7200"/>
            <w:tcMar>
              <w:top w:w="60" w:type="dxa"/>
              <w:bottom w:w="60" w:type="dxa"/>
              <w:left w:w="80" w:type="dxa"/>
              <w:right w:w="80" w:type="dxa"/>
            </w:tcMar>
          </w:tcPr>
          <w:p>
            <w:r>
              <w:t>Training Methodology, Loss Formulations &amp; Regularization Strategies</w:t>
            </w:r>
          </w:p>
        </w:tc>
      </w:tr>
      <w:tr>
        <w:tc>
          <w:tcPr>
            <w:tcW w:type="dxa" w:w="2160"/>
            <w:tcMar>
              <w:top w:w="60" w:type="dxa"/>
              <w:bottom w:w="60" w:type="dxa"/>
              <w:left w:w="80" w:type="dxa"/>
              <w:right w:w="80" w:type="dxa"/>
            </w:tcMar>
          </w:tcPr>
          <w:p>
            <w:r>
              <w:rPr>
                <w:b/>
                <w:color w:val="1B365D"/>
              </w:rPr>
              <w:t>Chapter 7</w:t>
            </w:r>
          </w:p>
        </w:tc>
        <w:tc>
          <w:tcPr>
            <w:tcW w:type="dxa" w:w="7200"/>
            <w:tcMar>
              <w:top w:w="60" w:type="dxa"/>
              <w:bottom w:w="60" w:type="dxa"/>
              <w:left w:w="80" w:type="dxa"/>
              <w:right w:w="80" w:type="dxa"/>
            </w:tcMar>
          </w:tcPr>
          <w:p>
            <w:r>
              <w:t>Model Evaluation, Multi-Class Benchmarks &amp; Validation Metrics</w:t>
            </w:r>
          </w:p>
        </w:tc>
      </w:tr>
      <w:tr>
        <w:tc>
          <w:tcPr>
            <w:tcW w:type="dxa" w:w="2160"/>
            <w:tcMar>
              <w:top w:w="60" w:type="dxa"/>
              <w:bottom w:w="60" w:type="dxa"/>
              <w:left w:w="80" w:type="dxa"/>
              <w:right w:w="80" w:type="dxa"/>
            </w:tcMar>
          </w:tcPr>
          <w:p>
            <w:r>
              <w:rPr>
                <w:b/>
                <w:color w:val="1B365D"/>
              </w:rPr>
              <w:t>Chapter 8</w:t>
            </w:r>
          </w:p>
        </w:tc>
        <w:tc>
          <w:tcPr>
            <w:tcW w:type="dxa" w:w="7200"/>
            <w:tcMar>
              <w:top w:w="60" w:type="dxa"/>
              <w:bottom w:w="60" w:type="dxa"/>
              <w:left w:w="80" w:type="dxa"/>
              <w:right w:w="80" w:type="dxa"/>
            </w:tcMar>
          </w:tcPr>
          <w:p>
            <w:r>
              <w:t>Production REST API Design &amp; Asynchronous Architecture</w:t>
            </w:r>
          </w:p>
        </w:tc>
      </w:tr>
      <w:tr>
        <w:tc>
          <w:tcPr>
            <w:tcW w:type="dxa" w:w="2160"/>
            <w:tcMar>
              <w:top w:w="60" w:type="dxa"/>
              <w:bottom w:w="60" w:type="dxa"/>
              <w:left w:w="80" w:type="dxa"/>
              <w:right w:w="80" w:type="dxa"/>
            </w:tcMar>
          </w:tcPr>
          <w:p>
            <w:r>
              <w:rPr>
                <w:b/>
                <w:color w:val="1B365D"/>
              </w:rPr>
              <w:t>Chapter 9</w:t>
            </w:r>
          </w:p>
        </w:tc>
        <w:tc>
          <w:tcPr>
            <w:tcW w:type="dxa" w:w="7200"/>
            <w:tcMar>
              <w:top w:w="60" w:type="dxa"/>
              <w:bottom w:w="60" w:type="dxa"/>
              <w:left w:w="80" w:type="dxa"/>
              <w:right w:w="80" w:type="dxa"/>
            </w:tcMar>
          </w:tcPr>
          <w:p>
            <w:r>
              <w:t>AI Agent Interoperability: Model Context Protocol (MCP) &amp; A2A</w:t>
            </w:r>
          </w:p>
        </w:tc>
      </w:tr>
      <w:tr>
        <w:tc>
          <w:tcPr>
            <w:tcW w:type="dxa" w:w="2160"/>
            <w:tcMar>
              <w:top w:w="60" w:type="dxa"/>
              <w:bottom w:w="60" w:type="dxa"/>
              <w:left w:w="80" w:type="dxa"/>
              <w:right w:w="80" w:type="dxa"/>
            </w:tcMar>
          </w:tcPr>
          <w:p>
            <w:r>
              <w:rPr>
                <w:b/>
                <w:color w:val="1B365D"/>
              </w:rPr>
              <w:t>Chapter 10</w:t>
            </w:r>
          </w:p>
        </w:tc>
        <w:tc>
          <w:tcPr>
            <w:tcW w:type="dxa" w:w="7200"/>
            <w:tcMar>
              <w:top w:w="60" w:type="dxa"/>
              <w:bottom w:w="60" w:type="dxa"/>
              <w:left w:w="80" w:type="dxa"/>
              <w:right w:w="80" w:type="dxa"/>
            </w:tcMar>
          </w:tcPr>
          <w:p>
            <w:r>
              <w:t>Interactive Web Dashboard &amp; Frontend Developer Integration</w:t>
            </w:r>
          </w:p>
        </w:tc>
      </w:tr>
      <w:tr>
        <w:tc>
          <w:tcPr>
            <w:tcW w:type="dxa" w:w="2160"/>
            <w:tcMar>
              <w:top w:w="60" w:type="dxa"/>
              <w:bottom w:w="60" w:type="dxa"/>
              <w:left w:w="80" w:type="dxa"/>
              <w:right w:w="80" w:type="dxa"/>
            </w:tcMar>
          </w:tcPr>
          <w:p>
            <w:r>
              <w:rPr>
                <w:b/>
                <w:color w:val="1B365D"/>
              </w:rPr>
              <w:t>Chapter 11</w:t>
            </w:r>
          </w:p>
        </w:tc>
        <w:tc>
          <w:tcPr>
            <w:tcW w:type="dxa" w:w="7200"/>
            <w:tcMar>
              <w:top w:w="60" w:type="dxa"/>
              <w:bottom w:w="60" w:type="dxa"/>
              <w:left w:w="80" w:type="dxa"/>
              <w:right w:w="80" w:type="dxa"/>
            </w:tcMar>
          </w:tcPr>
          <w:p>
            <w:r>
              <w:t>Containerization, Dockerfile &amp; Cloud Deployment Topology</w:t>
            </w:r>
          </w:p>
        </w:tc>
      </w:tr>
      <w:tr>
        <w:tc>
          <w:tcPr>
            <w:tcW w:type="dxa" w:w="2160"/>
            <w:tcMar>
              <w:top w:w="60" w:type="dxa"/>
              <w:bottom w:w="60" w:type="dxa"/>
              <w:left w:w="80" w:type="dxa"/>
              <w:right w:w="80" w:type="dxa"/>
            </w:tcMar>
          </w:tcPr>
          <w:p>
            <w:r>
              <w:rPr>
                <w:b/>
                <w:color w:val="1B365D"/>
              </w:rPr>
              <w:t>Chapter 12</w:t>
            </w:r>
          </w:p>
        </w:tc>
        <w:tc>
          <w:tcPr>
            <w:tcW w:type="dxa" w:w="7200"/>
            <w:tcMar>
              <w:top w:w="60" w:type="dxa"/>
              <w:bottom w:w="60" w:type="dxa"/>
              <w:left w:w="80" w:type="dxa"/>
              <w:right w:w="80" w:type="dxa"/>
            </w:tcMar>
          </w:tcPr>
          <w:p>
            <w:r>
              <w:t>Input Validation, Normalization &amp; Zero-Crash Resilience Architecture</w:t>
            </w:r>
          </w:p>
        </w:tc>
      </w:tr>
      <w:tr>
        <w:tc>
          <w:tcPr>
            <w:tcW w:type="dxa" w:w="2160"/>
            <w:tcMar>
              <w:top w:w="60" w:type="dxa"/>
              <w:bottom w:w="60" w:type="dxa"/>
              <w:left w:w="80" w:type="dxa"/>
              <w:right w:w="80" w:type="dxa"/>
            </w:tcMar>
          </w:tcPr>
          <w:p>
            <w:r>
              <w:rPr>
                <w:b/>
                <w:color w:val="1B365D"/>
              </w:rPr>
              <w:t>Chapter 13</w:t>
            </w:r>
          </w:p>
        </w:tc>
        <w:tc>
          <w:tcPr>
            <w:tcW w:type="dxa" w:w="7200"/>
            <w:tcMar>
              <w:top w:w="60" w:type="dxa"/>
              <w:bottom w:w="60" w:type="dxa"/>
              <w:left w:w="80" w:type="dxa"/>
              <w:right w:w="80" w:type="dxa"/>
            </w:tcMar>
          </w:tcPr>
          <w:p>
            <w:r>
              <w:t>Comprehensive API Reference &amp; Payload Specifications</w:t>
            </w:r>
          </w:p>
        </w:tc>
      </w:tr>
      <w:tr>
        <w:tc>
          <w:tcPr>
            <w:tcW w:type="dxa" w:w="2160"/>
            <w:tcMar>
              <w:top w:w="60" w:type="dxa"/>
              <w:bottom w:w="60" w:type="dxa"/>
              <w:left w:w="80" w:type="dxa"/>
              <w:right w:w="80" w:type="dxa"/>
            </w:tcMar>
          </w:tcPr>
          <w:p>
            <w:r>
              <w:rPr>
                <w:b/>
                <w:color w:val="1B365D"/>
              </w:rPr>
              <w:t>Chapter 14</w:t>
            </w:r>
          </w:p>
        </w:tc>
        <w:tc>
          <w:tcPr>
            <w:tcW w:type="dxa" w:w="7200"/>
            <w:tcMar>
              <w:top w:w="60" w:type="dxa"/>
              <w:bottom w:w="60" w:type="dxa"/>
              <w:left w:w="80" w:type="dxa"/>
              <w:right w:w="80" w:type="dxa"/>
            </w:tcMar>
          </w:tcPr>
          <w:p>
            <w:r>
              <w:t>Quality Assurance, Automated Testing &amp; Verification Suite</w:t>
            </w:r>
          </w:p>
        </w:tc>
      </w:tr>
      <w:tr>
        <w:tc>
          <w:tcPr>
            <w:tcW w:type="dxa" w:w="2160"/>
            <w:tcMar>
              <w:top w:w="60" w:type="dxa"/>
              <w:bottom w:w="60" w:type="dxa"/>
              <w:left w:w="80" w:type="dxa"/>
              <w:right w:w="80" w:type="dxa"/>
            </w:tcMar>
          </w:tcPr>
          <w:p>
            <w:r>
              <w:rPr>
                <w:b/>
                <w:color w:val="1B365D"/>
              </w:rPr>
              <w:t>Chapter 15</w:t>
            </w:r>
          </w:p>
        </w:tc>
        <w:tc>
          <w:tcPr>
            <w:tcW w:type="dxa" w:w="7200"/>
            <w:tcMar>
              <w:top w:w="60" w:type="dxa"/>
              <w:bottom w:w="60" w:type="dxa"/>
              <w:left w:w="80" w:type="dxa"/>
              <w:right w:w="80" w:type="dxa"/>
            </w:tcMar>
          </w:tcPr>
          <w:p>
            <w:r>
              <w:t>Operational Maintenance, Logging &amp; Troubleshooting Runbook</w:t>
            </w:r>
          </w:p>
        </w:tc>
      </w:tr>
      <w:tr>
        <w:tc>
          <w:tcPr>
            <w:tcW w:type="dxa" w:w="2160"/>
            <w:tcMar>
              <w:top w:w="60" w:type="dxa"/>
              <w:bottom w:w="60" w:type="dxa"/>
              <w:left w:w="80" w:type="dxa"/>
              <w:right w:w="80" w:type="dxa"/>
            </w:tcMar>
          </w:tcPr>
          <w:p>
            <w:r>
              <w:rPr>
                <w:b/>
                <w:color w:val="1B365D"/>
              </w:rPr>
              <w:t>Chapter 16</w:t>
            </w:r>
          </w:p>
        </w:tc>
        <w:tc>
          <w:tcPr>
            <w:tcW w:type="dxa" w:w="7200"/>
            <w:tcMar>
              <w:top w:w="60" w:type="dxa"/>
              <w:bottom w:w="60" w:type="dxa"/>
              <w:left w:w="80" w:type="dxa"/>
              <w:right w:w="80" w:type="dxa"/>
            </w:tcMar>
          </w:tcPr>
          <w:p>
            <w:r>
              <w:t>Future Strategic Roadmap, Explainable AI (XAI) &amp; Regulatory Compliance</w:t>
            </w:r>
          </w:p>
        </w:tc>
      </w:tr>
    </w:tbl>
    <w:p>
      <w:r>
        <w:br w:type="page"/>
      </w:r>
    </w:p>
    <w:p>
      <w:pPr>
        <w:keepNext/>
        <w:spacing w:before="360" w:after="160"/>
      </w:pPr>
      <w:r>
        <w:rPr>
          <w:rFonts w:ascii="Arial" w:hAnsi="Arial"/>
          <w:b/>
          <w:color w:val="1B365D"/>
          <w:sz w:val="36"/>
        </w:rPr>
        <w:t>Chapter 1: Executive Summary &amp; Clinical Decision Charter</w:t>
      </w:r>
    </w:p>
    <w:p>
      <w:r>
        <w:t>Type 2 Diabetes Mellitus (T2DM) has emerged as one of the most critical chronic global public health challenges, affecting over 537 million adults globally according to the International Diabetes Federation (IDF). A substantial percentage of individuals remain undiagnosed during the asymptomatic pre-diabetic phase, leading to irreversible microvascular and macrovascular complications including diabetic nephropathy, retinopathy, neuropathy, and premature cardiovascular disease. Early, accurate stratification between normal, pre-diabetic, and diabetic states is essential to trigger targeted clinical lifestyle interventions and pharmacological therapy before end-organ deterioration occurs.</w:t>
      </w:r>
    </w:p>
    <w:p>
      <w:r>
        <w:t>This project delivers an enterprise-grade, high-reliability clinical artificial intelligence system capable of stratifying patients into Low Risk, Medium Risk (Pre-diabetic), and High Risk (Diabetic) severity tiers with an out-of-sample accuracy of 98.60% and a Macro ROC-AUC of 0.9993. Built on a state-of-the-art Deep Tabular ResNet architecture implemented in PyTorch, the model outperforms traditional clinical scoring algorithms and shallow machine learning baselines (Random Forests, Support Vector Machines, and Gradient Boosting) by leveraging deep latent manifold projections, skip-connection residual learning, and domain-specific clinical biomarker engineering.</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200" w:type="dxa"/>
            </w:tcMar>
            <w:tcBorders>
              <w:left w:val="single" w:sz="36" w:space="0" w:color="2563EB"/>
              <w:top w:val="none"/>
              <w:bottom w:val="none"/>
              <w:right w:val="none"/>
            </w:tcBorders>
          </w:tcPr>
          <w:p>
            <w:pPr>
              <w:spacing w:after="40"/>
            </w:pPr>
            <w:r>
              <w:rPr>
                <w:b/>
                <w:color w:val="2563EB"/>
                <w:sz w:val="20"/>
              </w:rPr>
              <w:t>📌 Executive Performance Highlight</w:t>
              <w:br/>
            </w:r>
            <w:r>
              <w:rPr>
                <w:color w:val="222222"/>
                <w:sz w:val="19"/>
              </w:rPr>
              <w:t>On an independent, out-of-sample test partition of 285 patient cohorts, the Deep Tabular ResNet achieved 281 correct classifications (98.60% accuracy). Zero high-risk diabetic cases were misclassified as low risk, establishing exceptional clinical diagnostic safety and zero false reassurance.</w:t>
            </w:r>
          </w:p>
        </w:tc>
      </w:tr>
    </w:tbl>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B365D"/>
            <w:tcMar>
              <w:top w:w="120" w:type="dxa"/>
              <w:bottom w:w="120" w:type="dxa"/>
              <w:left w:w="140" w:type="dxa"/>
              <w:right w:w="140" w:type="dxa"/>
            </w:tcMar>
          </w:tcPr>
          <w:p>
            <w:pPr>
              <w:jc w:val="left"/>
            </w:pPr>
            <w:r>
              <w:rPr>
                <w:b/>
                <w:color w:val="FFFFFF"/>
                <w:sz w:val="19"/>
              </w:rPr>
              <w:t>Key Performance Indicator</w:t>
            </w:r>
          </w:p>
        </w:tc>
        <w:tc>
          <w:tcPr>
            <w:tcW w:type="dxa" w:w="2016"/>
            <w:shd w:fill="1B365D"/>
            <w:tcMar>
              <w:top w:w="120" w:type="dxa"/>
              <w:bottom w:w="120" w:type="dxa"/>
              <w:left w:w="140" w:type="dxa"/>
              <w:right w:w="140" w:type="dxa"/>
            </w:tcMar>
          </w:tcPr>
          <w:p>
            <w:pPr>
              <w:jc w:val="left"/>
            </w:pPr>
            <w:r>
              <w:rPr>
                <w:b/>
                <w:color w:val="FFFFFF"/>
                <w:sz w:val="19"/>
              </w:rPr>
              <w:t>Measurement</w:t>
            </w:r>
          </w:p>
        </w:tc>
        <w:tc>
          <w:tcPr>
            <w:tcW w:type="dxa" w:w="4464"/>
            <w:shd w:fill="1B365D"/>
            <w:tcMar>
              <w:top w:w="120" w:type="dxa"/>
              <w:bottom w:w="120" w:type="dxa"/>
              <w:left w:w="140" w:type="dxa"/>
              <w:right w:w="140" w:type="dxa"/>
            </w:tcMar>
          </w:tcPr>
          <w:p>
            <w:pPr>
              <w:jc w:val="left"/>
            </w:pPr>
            <w:r>
              <w:rPr>
                <w:b/>
                <w:color w:val="FFFFFF"/>
                <w:sz w:val="19"/>
              </w:rPr>
              <w:t>Clinical &amp; Technical Significance</w:t>
            </w:r>
          </w:p>
        </w:tc>
      </w:tr>
      <w:tr>
        <w:tc>
          <w:tcPr>
            <w:tcW w:type="dxa" w:w="2880"/>
            <w:shd w:fill="FFFFFF"/>
            <w:tcMar>
              <w:top w:w="90" w:type="dxa"/>
              <w:bottom w:w="90" w:type="dxa"/>
              <w:left w:w="140" w:type="dxa"/>
              <w:right w:w="140" w:type="dxa"/>
            </w:tcMar>
          </w:tcPr>
          <w:p>
            <w:pPr>
              <w:jc w:val="left"/>
            </w:pPr>
            <w:r>
              <w:rPr>
                <w:color w:val="222222"/>
                <w:sz w:val="18"/>
              </w:rPr>
              <w:t>Test Accuracy</w:t>
            </w:r>
          </w:p>
        </w:tc>
        <w:tc>
          <w:tcPr>
            <w:tcW w:type="dxa" w:w="2016"/>
            <w:shd w:fill="FFFFFF"/>
            <w:tcMar>
              <w:top w:w="90" w:type="dxa"/>
              <w:bottom w:w="90" w:type="dxa"/>
              <w:left w:w="140" w:type="dxa"/>
              <w:right w:w="140" w:type="dxa"/>
            </w:tcMar>
          </w:tcPr>
          <w:p>
            <w:pPr>
              <w:jc w:val="left"/>
            </w:pPr>
            <w:r>
              <w:rPr>
                <w:color w:val="222222"/>
                <w:sz w:val="18"/>
              </w:rPr>
              <w:t>98.60%</w:t>
            </w:r>
          </w:p>
        </w:tc>
        <w:tc>
          <w:tcPr>
            <w:tcW w:type="dxa" w:w="4464"/>
            <w:shd w:fill="FFFFFF"/>
            <w:tcMar>
              <w:top w:w="90" w:type="dxa"/>
              <w:bottom w:w="90" w:type="dxa"/>
              <w:left w:w="140" w:type="dxa"/>
              <w:right w:w="140" w:type="dxa"/>
            </w:tcMar>
          </w:tcPr>
          <w:p>
            <w:pPr>
              <w:jc w:val="left"/>
            </w:pPr>
            <w:r>
              <w:rPr>
                <w:color w:val="222222"/>
                <w:sz w:val="18"/>
              </w:rPr>
              <w:t>281 / 285 correct predictions on unseen holdout cohorts</w:t>
            </w:r>
          </w:p>
        </w:tc>
      </w:tr>
      <w:tr>
        <w:tc>
          <w:tcPr>
            <w:tcW w:type="dxa" w:w="2880"/>
            <w:shd w:fill="F4F7FA"/>
            <w:tcMar>
              <w:top w:w="90" w:type="dxa"/>
              <w:bottom w:w="90" w:type="dxa"/>
              <w:left w:w="140" w:type="dxa"/>
              <w:right w:w="140" w:type="dxa"/>
            </w:tcMar>
          </w:tcPr>
          <w:p>
            <w:pPr>
              <w:jc w:val="left"/>
            </w:pPr>
            <w:r>
              <w:rPr>
                <w:color w:val="222222"/>
                <w:sz w:val="18"/>
              </w:rPr>
              <w:t>Macro ROC-AUC</w:t>
            </w:r>
          </w:p>
        </w:tc>
        <w:tc>
          <w:tcPr>
            <w:tcW w:type="dxa" w:w="2016"/>
            <w:shd w:fill="F4F7FA"/>
            <w:tcMar>
              <w:top w:w="90" w:type="dxa"/>
              <w:bottom w:w="90" w:type="dxa"/>
              <w:left w:w="140" w:type="dxa"/>
              <w:right w:w="140" w:type="dxa"/>
            </w:tcMar>
          </w:tcPr>
          <w:p>
            <w:pPr>
              <w:jc w:val="left"/>
            </w:pPr>
            <w:r>
              <w:rPr>
                <w:color w:val="222222"/>
                <w:sz w:val="18"/>
              </w:rPr>
              <w:t>0.9993</w:t>
            </w:r>
          </w:p>
        </w:tc>
        <w:tc>
          <w:tcPr>
            <w:tcW w:type="dxa" w:w="4464"/>
            <w:shd w:fill="F4F7FA"/>
            <w:tcMar>
              <w:top w:w="90" w:type="dxa"/>
              <w:bottom w:w="90" w:type="dxa"/>
              <w:left w:w="140" w:type="dxa"/>
              <w:right w:w="140" w:type="dxa"/>
            </w:tcMar>
          </w:tcPr>
          <w:p>
            <w:pPr>
              <w:jc w:val="left"/>
            </w:pPr>
            <w:r>
              <w:rPr>
                <w:color w:val="222222"/>
                <w:sz w:val="18"/>
              </w:rPr>
              <w:t>Exceptional class discriminability across Low, Medium, and High</w:t>
            </w:r>
          </w:p>
        </w:tc>
      </w:tr>
      <w:tr>
        <w:tc>
          <w:tcPr>
            <w:tcW w:type="dxa" w:w="2880"/>
            <w:shd w:fill="FFFFFF"/>
            <w:tcMar>
              <w:top w:w="90" w:type="dxa"/>
              <w:bottom w:w="90" w:type="dxa"/>
              <w:left w:w="140" w:type="dxa"/>
              <w:right w:w="140" w:type="dxa"/>
            </w:tcMar>
          </w:tcPr>
          <w:p>
            <w:pPr>
              <w:jc w:val="left"/>
            </w:pPr>
            <w:r>
              <w:rPr>
                <w:color w:val="222222"/>
                <w:sz w:val="18"/>
              </w:rPr>
              <w:t>Macro F1-Score</w:t>
            </w:r>
          </w:p>
        </w:tc>
        <w:tc>
          <w:tcPr>
            <w:tcW w:type="dxa" w:w="2016"/>
            <w:shd w:fill="FFFFFF"/>
            <w:tcMar>
              <w:top w:w="90" w:type="dxa"/>
              <w:bottom w:w="90" w:type="dxa"/>
              <w:left w:w="140" w:type="dxa"/>
              <w:right w:w="140" w:type="dxa"/>
            </w:tcMar>
          </w:tcPr>
          <w:p>
            <w:pPr>
              <w:jc w:val="left"/>
            </w:pPr>
            <w:r>
              <w:rPr>
                <w:color w:val="222222"/>
                <w:sz w:val="18"/>
              </w:rPr>
              <w:t>0.9853</w:t>
            </w:r>
          </w:p>
        </w:tc>
        <w:tc>
          <w:tcPr>
            <w:tcW w:type="dxa" w:w="4464"/>
            <w:shd w:fill="FFFFFF"/>
            <w:tcMar>
              <w:top w:w="90" w:type="dxa"/>
              <w:bottom w:w="90" w:type="dxa"/>
              <w:left w:w="140" w:type="dxa"/>
              <w:right w:w="140" w:type="dxa"/>
            </w:tcMar>
          </w:tcPr>
          <w:p>
            <w:pPr>
              <w:jc w:val="left"/>
            </w:pPr>
            <w:r>
              <w:rPr>
                <w:color w:val="222222"/>
                <w:sz w:val="18"/>
              </w:rPr>
              <w:t>Harmonic mean of precision and sensitivity across all classes</w:t>
            </w:r>
          </w:p>
        </w:tc>
      </w:tr>
      <w:tr>
        <w:tc>
          <w:tcPr>
            <w:tcW w:type="dxa" w:w="2880"/>
            <w:shd w:fill="F4F7FA"/>
            <w:tcMar>
              <w:top w:w="90" w:type="dxa"/>
              <w:bottom w:w="90" w:type="dxa"/>
              <w:left w:w="140" w:type="dxa"/>
              <w:right w:w="140" w:type="dxa"/>
            </w:tcMar>
          </w:tcPr>
          <w:p>
            <w:pPr>
              <w:jc w:val="left"/>
            </w:pPr>
            <w:r>
              <w:rPr>
                <w:color w:val="222222"/>
                <w:sz w:val="18"/>
              </w:rPr>
              <w:t>High-Risk Recall</w:t>
            </w:r>
          </w:p>
        </w:tc>
        <w:tc>
          <w:tcPr>
            <w:tcW w:type="dxa" w:w="2016"/>
            <w:shd w:fill="F4F7FA"/>
            <w:tcMar>
              <w:top w:w="90" w:type="dxa"/>
              <w:bottom w:w="90" w:type="dxa"/>
              <w:left w:w="140" w:type="dxa"/>
              <w:right w:w="140" w:type="dxa"/>
            </w:tcMar>
          </w:tcPr>
          <w:p>
            <w:pPr>
              <w:jc w:val="left"/>
            </w:pPr>
            <w:r>
              <w:rPr>
                <w:color w:val="222222"/>
                <w:sz w:val="18"/>
              </w:rPr>
              <w:t>97.18%</w:t>
            </w:r>
          </w:p>
        </w:tc>
        <w:tc>
          <w:tcPr>
            <w:tcW w:type="dxa" w:w="4464"/>
            <w:shd w:fill="F4F7FA"/>
            <w:tcMar>
              <w:top w:w="90" w:type="dxa"/>
              <w:bottom w:w="90" w:type="dxa"/>
              <w:left w:w="140" w:type="dxa"/>
              <w:right w:w="140" w:type="dxa"/>
            </w:tcMar>
          </w:tcPr>
          <w:p>
            <w:pPr>
              <w:jc w:val="left"/>
            </w:pPr>
            <w:r>
              <w:rPr>
                <w:color w:val="222222"/>
                <w:sz w:val="18"/>
              </w:rPr>
              <w:t>69 / 71 diabetic patients detected (2 placed in Medium / Pre-diabetic)</w:t>
            </w:r>
          </w:p>
        </w:tc>
      </w:tr>
      <w:tr>
        <w:tc>
          <w:tcPr>
            <w:tcW w:type="dxa" w:w="2880"/>
            <w:shd w:fill="FFFFFF"/>
            <w:tcMar>
              <w:top w:w="90" w:type="dxa"/>
              <w:bottom w:w="90" w:type="dxa"/>
              <w:left w:w="140" w:type="dxa"/>
              <w:right w:w="140" w:type="dxa"/>
            </w:tcMar>
          </w:tcPr>
          <w:p>
            <w:pPr>
              <w:jc w:val="left"/>
            </w:pPr>
            <w:r>
              <w:rPr>
                <w:color w:val="222222"/>
                <w:sz w:val="18"/>
              </w:rPr>
              <w:t>Low-Risk Precision</w:t>
            </w:r>
          </w:p>
        </w:tc>
        <w:tc>
          <w:tcPr>
            <w:tcW w:type="dxa" w:w="2016"/>
            <w:shd w:fill="FFFFFF"/>
            <w:tcMar>
              <w:top w:w="90" w:type="dxa"/>
              <w:bottom w:w="90" w:type="dxa"/>
              <w:left w:w="140" w:type="dxa"/>
              <w:right w:w="140" w:type="dxa"/>
            </w:tcMar>
          </w:tcPr>
          <w:p>
            <w:pPr>
              <w:jc w:val="left"/>
            </w:pPr>
            <w:r>
              <w:rPr>
                <w:color w:val="222222"/>
                <w:sz w:val="18"/>
              </w:rPr>
              <w:t>99.19%</w:t>
            </w:r>
          </w:p>
        </w:tc>
        <w:tc>
          <w:tcPr>
            <w:tcW w:type="dxa" w:w="4464"/>
            <w:shd w:fill="FFFFFF"/>
            <w:tcMar>
              <w:top w:w="90" w:type="dxa"/>
              <w:bottom w:w="90" w:type="dxa"/>
              <w:left w:w="140" w:type="dxa"/>
              <w:right w:w="140" w:type="dxa"/>
            </w:tcMar>
          </w:tcPr>
          <w:p>
            <w:pPr>
              <w:jc w:val="left"/>
            </w:pPr>
            <w:r>
              <w:rPr>
                <w:color w:val="222222"/>
                <w:sz w:val="18"/>
              </w:rPr>
              <w:t>122 / 123 Low-risk predictions completely verified</w:t>
            </w:r>
          </w:p>
        </w:tc>
      </w:tr>
      <w:tr>
        <w:tc>
          <w:tcPr>
            <w:tcW w:type="dxa" w:w="2880"/>
            <w:shd w:fill="F4F7FA"/>
            <w:tcMar>
              <w:top w:w="90" w:type="dxa"/>
              <w:bottom w:w="90" w:type="dxa"/>
              <w:left w:w="140" w:type="dxa"/>
              <w:right w:w="140" w:type="dxa"/>
            </w:tcMar>
          </w:tcPr>
          <w:p>
            <w:pPr>
              <w:jc w:val="left"/>
            </w:pPr>
            <w:r>
              <w:rPr>
                <w:color w:val="222222"/>
                <w:sz w:val="18"/>
              </w:rPr>
              <w:t>P99 Inference Latency</w:t>
            </w:r>
          </w:p>
        </w:tc>
        <w:tc>
          <w:tcPr>
            <w:tcW w:type="dxa" w:w="2016"/>
            <w:shd w:fill="F4F7FA"/>
            <w:tcMar>
              <w:top w:w="90" w:type="dxa"/>
              <w:bottom w:w="90" w:type="dxa"/>
              <w:left w:w="140" w:type="dxa"/>
              <w:right w:w="140" w:type="dxa"/>
            </w:tcMar>
          </w:tcPr>
          <w:p>
            <w:pPr>
              <w:jc w:val="left"/>
            </w:pPr>
            <w:r>
              <w:rPr>
                <w:color w:val="222222"/>
                <w:sz w:val="18"/>
              </w:rPr>
              <w:t>&lt; 18 ms</w:t>
            </w:r>
          </w:p>
        </w:tc>
        <w:tc>
          <w:tcPr>
            <w:tcW w:type="dxa" w:w="4464"/>
            <w:shd w:fill="F4F7FA"/>
            <w:tcMar>
              <w:top w:w="90" w:type="dxa"/>
              <w:bottom w:w="90" w:type="dxa"/>
              <w:left w:w="140" w:type="dxa"/>
              <w:right w:w="140" w:type="dxa"/>
            </w:tcMar>
          </w:tcPr>
          <w:p>
            <w:pPr>
              <w:jc w:val="left"/>
            </w:pPr>
            <w:r>
              <w:rPr>
                <w:color w:val="222222"/>
                <w:sz w:val="18"/>
              </w:rPr>
              <w:t>High-throughput CPU execution optimized for microservices</w:t>
            </w:r>
          </w:p>
        </w:tc>
      </w:tr>
      <w:tr>
        <w:tc>
          <w:tcPr>
            <w:tcW w:type="dxa" w:w="2880"/>
            <w:shd w:fill="FFFFFF"/>
            <w:tcMar>
              <w:top w:w="90" w:type="dxa"/>
              <w:bottom w:w="90" w:type="dxa"/>
              <w:left w:w="140" w:type="dxa"/>
              <w:right w:w="140" w:type="dxa"/>
            </w:tcMar>
          </w:tcPr>
          <w:p>
            <w:pPr>
              <w:jc w:val="left"/>
            </w:pPr>
            <w:r>
              <w:rPr>
                <w:color w:val="222222"/>
                <w:sz w:val="18"/>
              </w:rPr>
              <w:t>Docker Container Size</w:t>
            </w:r>
          </w:p>
        </w:tc>
        <w:tc>
          <w:tcPr>
            <w:tcW w:type="dxa" w:w="2016"/>
            <w:shd w:fill="FFFFFF"/>
            <w:tcMar>
              <w:top w:w="90" w:type="dxa"/>
              <w:bottom w:w="90" w:type="dxa"/>
              <w:left w:w="140" w:type="dxa"/>
              <w:right w:w="140" w:type="dxa"/>
            </w:tcMar>
          </w:tcPr>
          <w:p>
            <w:pPr>
              <w:jc w:val="left"/>
            </w:pPr>
            <w:r>
              <w:rPr>
                <w:color w:val="222222"/>
                <w:sz w:val="18"/>
              </w:rPr>
              <w:t>~850 MB</w:t>
            </w:r>
          </w:p>
        </w:tc>
        <w:tc>
          <w:tcPr>
            <w:tcW w:type="dxa" w:w="4464"/>
            <w:shd w:fill="FFFFFF"/>
            <w:tcMar>
              <w:top w:w="90" w:type="dxa"/>
              <w:bottom w:w="90" w:type="dxa"/>
              <w:left w:w="140" w:type="dxa"/>
              <w:right w:w="140" w:type="dxa"/>
            </w:tcMar>
          </w:tcPr>
          <w:p>
            <w:pPr>
              <w:jc w:val="left"/>
            </w:pPr>
            <w:r>
              <w:rPr>
                <w:color w:val="222222"/>
                <w:sz w:val="18"/>
              </w:rPr>
              <w:t>Lightweight python:3.11-slim distribution</w:t>
            </w:r>
          </w:p>
        </w:tc>
      </w:tr>
      <w:tr>
        <w:tc>
          <w:tcPr>
            <w:tcW w:type="dxa" w:w="2880"/>
            <w:shd w:fill="F4F7FA"/>
            <w:tcMar>
              <w:top w:w="90" w:type="dxa"/>
              <w:bottom w:w="90" w:type="dxa"/>
              <w:left w:w="140" w:type="dxa"/>
              <w:right w:w="140" w:type="dxa"/>
            </w:tcMar>
          </w:tcPr>
          <w:p>
            <w:pPr>
              <w:jc w:val="left"/>
            </w:pPr>
            <w:r>
              <w:rPr>
                <w:color w:val="222222"/>
                <w:sz w:val="18"/>
              </w:rPr>
              <w:t>Automated Test Suites</w:t>
            </w:r>
          </w:p>
        </w:tc>
        <w:tc>
          <w:tcPr>
            <w:tcW w:type="dxa" w:w="2016"/>
            <w:shd w:fill="F4F7FA"/>
            <w:tcMar>
              <w:top w:w="90" w:type="dxa"/>
              <w:bottom w:w="90" w:type="dxa"/>
              <w:left w:w="140" w:type="dxa"/>
              <w:right w:w="140" w:type="dxa"/>
            </w:tcMar>
          </w:tcPr>
          <w:p>
            <w:pPr>
              <w:jc w:val="left"/>
            </w:pPr>
            <w:r>
              <w:rPr>
                <w:color w:val="222222"/>
                <w:sz w:val="18"/>
              </w:rPr>
              <w:t>10 / 10 Pass</w:t>
            </w:r>
          </w:p>
        </w:tc>
        <w:tc>
          <w:tcPr>
            <w:tcW w:type="dxa" w:w="4464"/>
            <w:shd w:fill="F4F7FA"/>
            <w:tcMar>
              <w:top w:w="90" w:type="dxa"/>
              <w:bottom w:w="90" w:type="dxa"/>
              <w:left w:w="140" w:type="dxa"/>
              <w:right w:w="140" w:type="dxa"/>
            </w:tcMar>
          </w:tcPr>
          <w:p>
            <w:pPr>
              <w:jc w:val="left"/>
            </w:pPr>
            <w:r>
              <w:rPr>
                <w:color w:val="222222"/>
                <w:sz w:val="18"/>
              </w:rPr>
              <w:t>Unit, integration, protocol, and input resilience suites passed</w:t>
            </w:r>
          </w:p>
        </w:tc>
      </w:tr>
    </w:tbl>
    <w:p/>
    <w:p>
      <w:pPr>
        <w:keepNext/>
        <w:spacing w:before="360" w:after="160"/>
      </w:pPr>
      <w:r>
        <w:rPr>
          <w:rFonts w:ascii="Arial" w:hAnsi="Arial"/>
          <w:b/>
          <w:color w:val="1B365D"/>
          <w:sz w:val="36"/>
        </w:rPr>
        <w:t>Chapter 2: Clinical Background &amp; Medical Diagnostic Foundations</w:t>
      </w:r>
    </w:p>
    <w:p>
      <w:r>
        <w:t>The American Diabetes Association (ADA) Standards of Medical Care in Diabetes define diagnostic thresholds based on plasma glucose and glycated hemoglobin (HbA1c). Glycated hemoglobin reflects the three-month average circulating blood glucose concentration by measuring the percentage of hemoglobin A molecules with glucose non-enzymatically bonded to the N-terminal valine of the beta chain. Because red blood cells have a normal lifespan of approximately 120 days, HbA1c provides a stable, unbiased biomarker that does not suffer from day-to-day acute dietary fluctuations or acute stress hyperglycemia.</w:t>
      </w:r>
    </w:p>
    <w:p>
      <w:pPr>
        <w:keepNext/>
        <w:spacing w:before="280" w:after="120"/>
      </w:pPr>
      <w:r>
        <w:rPr>
          <w:rFonts w:ascii="Arial" w:hAnsi="Arial"/>
          <w:b/>
          <w:color w:val="2B547E"/>
          <w:sz w:val="27"/>
        </w:rPr>
        <w:t>2.1 Diagnostic Classification Thresholds</w:t>
      </w:r>
    </w:p>
    <w:p>
      <w:r>
        <w:t>The model classifies patient risk across three definitive clinical categories aligned with international medical guidelines: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1B365D"/>
            <w:tcMar>
              <w:top w:w="120" w:type="dxa"/>
              <w:bottom w:w="120" w:type="dxa"/>
              <w:left w:w="140" w:type="dxa"/>
              <w:right w:w="140" w:type="dxa"/>
            </w:tcMar>
          </w:tcPr>
          <w:p>
            <w:pPr>
              <w:jc w:val="left"/>
            </w:pPr>
            <w:r>
              <w:rPr>
                <w:b/>
                <w:color w:val="FFFFFF"/>
                <w:sz w:val="19"/>
              </w:rPr>
              <w:t>Clinical Risk Category</w:t>
            </w:r>
          </w:p>
        </w:tc>
        <w:tc>
          <w:tcPr>
            <w:tcW w:type="dxa" w:w="1872"/>
            <w:shd w:fill="1B365D"/>
            <w:tcMar>
              <w:top w:w="120" w:type="dxa"/>
              <w:bottom w:w="120" w:type="dxa"/>
              <w:left w:w="140" w:type="dxa"/>
              <w:right w:w="140" w:type="dxa"/>
            </w:tcMar>
          </w:tcPr>
          <w:p>
            <w:pPr>
              <w:jc w:val="left"/>
            </w:pPr>
            <w:r>
              <w:rPr>
                <w:b/>
                <w:color w:val="FFFFFF"/>
                <w:sz w:val="19"/>
              </w:rPr>
              <w:t>HbA1c Threshold</w:t>
            </w:r>
          </w:p>
        </w:tc>
        <w:tc>
          <w:tcPr>
            <w:tcW w:type="dxa" w:w="1872"/>
            <w:shd w:fill="1B365D"/>
            <w:tcMar>
              <w:top w:w="120" w:type="dxa"/>
              <w:bottom w:w="120" w:type="dxa"/>
              <w:left w:w="140" w:type="dxa"/>
              <w:right w:w="140" w:type="dxa"/>
            </w:tcMar>
          </w:tcPr>
          <w:p>
            <w:pPr>
              <w:jc w:val="left"/>
            </w:pPr>
            <w:r>
              <w:rPr>
                <w:b/>
                <w:color w:val="FFFFFF"/>
                <w:sz w:val="19"/>
              </w:rPr>
              <w:t>Fasting Glucose</w:t>
            </w:r>
          </w:p>
        </w:tc>
        <w:tc>
          <w:tcPr>
            <w:tcW w:type="dxa" w:w="3024"/>
            <w:shd w:fill="1B365D"/>
            <w:tcMar>
              <w:top w:w="120" w:type="dxa"/>
              <w:bottom w:w="120" w:type="dxa"/>
              <w:left w:w="140" w:type="dxa"/>
              <w:right w:w="140" w:type="dxa"/>
            </w:tcMar>
          </w:tcPr>
          <w:p>
            <w:pPr>
              <w:jc w:val="left"/>
            </w:pPr>
            <w:r>
              <w:rPr>
                <w:b/>
                <w:color w:val="FFFFFF"/>
                <w:sz w:val="19"/>
              </w:rPr>
              <w:t>Clinical Management Protocol</w:t>
            </w:r>
          </w:p>
        </w:tc>
      </w:tr>
      <w:tr>
        <w:tc>
          <w:tcPr>
            <w:tcW w:type="dxa" w:w="2592"/>
            <w:shd w:fill="FFFFFF"/>
            <w:tcMar>
              <w:top w:w="90" w:type="dxa"/>
              <w:bottom w:w="90" w:type="dxa"/>
              <w:left w:w="140" w:type="dxa"/>
              <w:right w:w="140" w:type="dxa"/>
            </w:tcMar>
          </w:tcPr>
          <w:p>
            <w:pPr>
              <w:jc w:val="left"/>
            </w:pPr>
            <w:r>
              <w:rPr>
                <w:color w:val="222222"/>
                <w:sz w:val="18"/>
              </w:rPr>
              <w:t>Low Risk (Normal)</w:t>
            </w:r>
          </w:p>
        </w:tc>
        <w:tc>
          <w:tcPr>
            <w:tcW w:type="dxa" w:w="1872"/>
            <w:shd w:fill="FFFFFF"/>
            <w:tcMar>
              <w:top w:w="90" w:type="dxa"/>
              <w:bottom w:w="90" w:type="dxa"/>
              <w:left w:w="140" w:type="dxa"/>
              <w:right w:w="140" w:type="dxa"/>
            </w:tcMar>
          </w:tcPr>
          <w:p>
            <w:pPr>
              <w:jc w:val="left"/>
            </w:pPr>
            <w:r>
              <w:rPr>
                <w:color w:val="222222"/>
                <w:sz w:val="18"/>
              </w:rPr>
              <w:t>&lt; 5.7%</w:t>
            </w:r>
          </w:p>
        </w:tc>
        <w:tc>
          <w:tcPr>
            <w:tcW w:type="dxa" w:w="1872"/>
            <w:shd w:fill="FFFFFF"/>
            <w:tcMar>
              <w:top w:w="90" w:type="dxa"/>
              <w:bottom w:w="90" w:type="dxa"/>
              <w:left w:w="140" w:type="dxa"/>
              <w:right w:w="140" w:type="dxa"/>
            </w:tcMar>
          </w:tcPr>
          <w:p>
            <w:pPr>
              <w:jc w:val="left"/>
            </w:pPr>
            <w:r>
              <w:rPr>
                <w:color w:val="222222"/>
                <w:sz w:val="18"/>
              </w:rPr>
              <w:t>&lt; 100 mg/dL</w:t>
            </w:r>
          </w:p>
        </w:tc>
        <w:tc>
          <w:tcPr>
            <w:tcW w:type="dxa" w:w="3024"/>
            <w:shd w:fill="FFFFFF"/>
            <w:tcMar>
              <w:top w:w="90" w:type="dxa"/>
              <w:bottom w:w="90" w:type="dxa"/>
              <w:left w:w="140" w:type="dxa"/>
              <w:right w:w="140" w:type="dxa"/>
            </w:tcMar>
          </w:tcPr>
          <w:p>
            <w:pPr>
              <w:jc w:val="left"/>
            </w:pPr>
            <w:r>
              <w:rPr>
                <w:color w:val="222222"/>
                <w:sz w:val="18"/>
              </w:rPr>
              <w:t>Normal glycemic control. Patient exhibits low risk of metabolic syndrome. Routine annual surveillance recommended.</w:t>
            </w:r>
          </w:p>
        </w:tc>
      </w:tr>
      <w:tr>
        <w:tc>
          <w:tcPr>
            <w:tcW w:type="dxa" w:w="2592"/>
            <w:shd w:fill="F4F7FA"/>
            <w:tcMar>
              <w:top w:w="90" w:type="dxa"/>
              <w:bottom w:w="90" w:type="dxa"/>
              <w:left w:w="140" w:type="dxa"/>
              <w:right w:w="140" w:type="dxa"/>
            </w:tcMar>
          </w:tcPr>
          <w:p>
            <w:pPr>
              <w:jc w:val="left"/>
            </w:pPr>
            <w:r>
              <w:rPr>
                <w:color w:val="222222"/>
                <w:sz w:val="18"/>
              </w:rPr>
              <w:t>Medium Risk (Pre-diabetic)</w:t>
            </w:r>
          </w:p>
        </w:tc>
        <w:tc>
          <w:tcPr>
            <w:tcW w:type="dxa" w:w="1872"/>
            <w:shd w:fill="F4F7FA"/>
            <w:tcMar>
              <w:top w:w="90" w:type="dxa"/>
              <w:bottom w:w="90" w:type="dxa"/>
              <w:left w:w="140" w:type="dxa"/>
              <w:right w:w="140" w:type="dxa"/>
            </w:tcMar>
          </w:tcPr>
          <w:p>
            <w:pPr>
              <w:jc w:val="left"/>
            </w:pPr>
            <w:r>
              <w:rPr>
                <w:color w:val="222222"/>
                <w:sz w:val="18"/>
              </w:rPr>
              <w:t>5.7% – 6.4%</w:t>
            </w:r>
          </w:p>
        </w:tc>
        <w:tc>
          <w:tcPr>
            <w:tcW w:type="dxa" w:w="1872"/>
            <w:shd w:fill="F4F7FA"/>
            <w:tcMar>
              <w:top w:w="90" w:type="dxa"/>
              <w:bottom w:w="90" w:type="dxa"/>
              <w:left w:w="140" w:type="dxa"/>
              <w:right w:w="140" w:type="dxa"/>
            </w:tcMar>
          </w:tcPr>
          <w:p>
            <w:pPr>
              <w:jc w:val="left"/>
            </w:pPr>
            <w:r>
              <w:rPr>
                <w:color w:val="222222"/>
                <w:sz w:val="18"/>
              </w:rPr>
              <w:t>100 – 125 mg/dL</w:t>
            </w:r>
          </w:p>
        </w:tc>
        <w:tc>
          <w:tcPr>
            <w:tcW w:type="dxa" w:w="3024"/>
            <w:shd w:fill="F4F7FA"/>
            <w:tcMar>
              <w:top w:w="90" w:type="dxa"/>
              <w:bottom w:w="90" w:type="dxa"/>
              <w:left w:w="140" w:type="dxa"/>
              <w:right w:w="140" w:type="dxa"/>
            </w:tcMar>
          </w:tcPr>
          <w:p>
            <w:pPr>
              <w:jc w:val="left"/>
            </w:pPr>
            <w:r>
              <w:rPr>
                <w:color w:val="222222"/>
                <w:sz w:val="18"/>
              </w:rPr>
              <w:t>Impaired Fasting Glucose (IFG) or Impaired Glucose Tolerance (IGT). Elevated cardiovascular risk. Intensive lifestyle intervention indicated.</w:t>
            </w:r>
          </w:p>
        </w:tc>
      </w:tr>
      <w:tr>
        <w:tc>
          <w:tcPr>
            <w:tcW w:type="dxa" w:w="2592"/>
            <w:shd w:fill="FFFFFF"/>
            <w:tcMar>
              <w:top w:w="90" w:type="dxa"/>
              <w:bottom w:w="90" w:type="dxa"/>
              <w:left w:w="140" w:type="dxa"/>
              <w:right w:w="140" w:type="dxa"/>
            </w:tcMar>
          </w:tcPr>
          <w:p>
            <w:pPr>
              <w:jc w:val="left"/>
            </w:pPr>
            <w:r>
              <w:rPr>
                <w:color w:val="222222"/>
                <w:sz w:val="18"/>
              </w:rPr>
              <w:t>High Risk (Diabetic)</w:t>
            </w:r>
          </w:p>
        </w:tc>
        <w:tc>
          <w:tcPr>
            <w:tcW w:type="dxa" w:w="1872"/>
            <w:shd w:fill="FFFFFF"/>
            <w:tcMar>
              <w:top w:w="90" w:type="dxa"/>
              <w:bottom w:w="90" w:type="dxa"/>
              <w:left w:w="140" w:type="dxa"/>
              <w:right w:w="140" w:type="dxa"/>
            </w:tcMar>
          </w:tcPr>
          <w:p>
            <w:pPr>
              <w:jc w:val="left"/>
            </w:pPr>
            <w:r>
              <w:rPr>
                <w:color w:val="222222"/>
                <w:sz w:val="18"/>
              </w:rPr>
              <w:t>≥ 6.5%</w:t>
            </w:r>
          </w:p>
        </w:tc>
        <w:tc>
          <w:tcPr>
            <w:tcW w:type="dxa" w:w="1872"/>
            <w:shd w:fill="FFFFFF"/>
            <w:tcMar>
              <w:top w:w="90" w:type="dxa"/>
              <w:bottom w:w="90" w:type="dxa"/>
              <w:left w:w="140" w:type="dxa"/>
              <w:right w:w="140" w:type="dxa"/>
            </w:tcMar>
          </w:tcPr>
          <w:p>
            <w:pPr>
              <w:jc w:val="left"/>
            </w:pPr>
            <w:r>
              <w:rPr>
                <w:color w:val="222222"/>
                <w:sz w:val="18"/>
              </w:rPr>
              <w:t>≥ 126 mg/dL</w:t>
            </w:r>
          </w:p>
        </w:tc>
        <w:tc>
          <w:tcPr>
            <w:tcW w:type="dxa" w:w="3024"/>
            <w:shd w:fill="FFFFFF"/>
            <w:tcMar>
              <w:top w:w="90" w:type="dxa"/>
              <w:bottom w:w="90" w:type="dxa"/>
              <w:left w:w="140" w:type="dxa"/>
              <w:right w:w="140" w:type="dxa"/>
            </w:tcMar>
          </w:tcPr>
          <w:p>
            <w:pPr>
              <w:jc w:val="left"/>
            </w:pPr>
            <w:r>
              <w:rPr>
                <w:color w:val="222222"/>
                <w:sz w:val="18"/>
              </w:rPr>
              <w:t>Provisional diabetes diagnosis. Confirmatory testing, comprehensive glycemic management, and physician evaluation required immediately.</w:t>
            </w:r>
          </w:p>
        </w:tc>
      </w:tr>
    </w:tbl>
    <w:p/>
    <w:p>
      <w:pPr>
        <w:keepNext/>
        <w:spacing w:before="280" w:after="120"/>
      </w:pPr>
      <w:r>
        <w:rPr>
          <w:rFonts w:ascii="Arial" w:hAnsi="Arial"/>
          <w:b/>
          <w:color w:val="2B547E"/>
          <w:sz w:val="27"/>
        </w:rPr>
        <w:t>2.2 Hemodynamic &amp; Metabolic Synergy</w:t>
      </w:r>
    </w:p>
    <w:p>
      <w:r>
        <w:t>Type 2 diabetes does not develop in isolation. It forms part of the metabolic syndrome cluster that includes systemic hypertension, central adiposity, and progressive arterial stiffening. Elevated systolic blood pressure combined with widening pulse pressure reflects vascular calcification and microvascular resistance in the renal and coronary capillary beds. By synthesizing hemodynamic metrics (Systolic BP, Diastolic BP, MAP, Pulse Pressure) alongside metabolic metrics (Fasting Glucose, HbA1c, BMI, Age, Gender), the neural network captures synergistic physiological interactions that single-parameter diagnostics fail to detect.</w:t>
      </w:r>
    </w:p>
    <w:p>
      <w:pPr>
        <w:spacing w:before="160" w:after="80"/>
        <w:jc w:val="center"/>
      </w:pPr>
      <w:r>
        <w:drawing>
          <wp:inline xmlns:a="http://schemas.openxmlformats.org/drawingml/2006/main" xmlns:pic="http://schemas.openxmlformats.org/drawingml/2006/picture">
            <wp:extent cx="5669280" cy="3212592"/>
            <wp:docPr id="1" name="Picture 1"/>
            <wp:cNvGraphicFramePr>
              <a:graphicFrameLocks noChangeAspect="1"/>
            </wp:cNvGraphicFramePr>
            <a:graphic>
              <a:graphicData uri="http://schemas.openxmlformats.org/drawingml/2006/picture">
                <pic:pic>
                  <pic:nvPicPr>
                    <pic:cNvPr id="0" name="fig7_clinical_decision_workflow.png"/>
                    <pic:cNvPicPr/>
                  </pic:nvPicPr>
                  <pic:blipFill>
                    <a:blip r:embed="rId11"/>
                    <a:stretch>
                      <a:fillRect/>
                    </a:stretch>
                  </pic:blipFill>
                  <pic:spPr>
                    <a:xfrm>
                      <a:off x="0" y="0"/>
                      <a:ext cx="5669280" cy="3212592"/>
                    </a:xfrm>
                    <a:prstGeom prst="rect"/>
                  </pic:spPr>
                </pic:pic>
              </a:graphicData>
            </a:graphic>
          </wp:inline>
        </w:drawing>
      </w:r>
    </w:p>
    <w:p>
      <w:pPr>
        <w:spacing w:after="240"/>
        <w:jc w:val="center"/>
      </w:pPr>
      <w:r>
        <w:rPr>
          <w:i/>
          <w:color w:val="64748B"/>
          <w:sz w:val="18"/>
        </w:rPr>
        <w:t>Figure 2.1: Clinical Triage Decision Flowchart &amp; Risk Stratification Protocol Aligned with ADA Diagnostic Benchmarks.</w:t>
      </w:r>
    </w:p>
    <w:p>
      <w:pPr>
        <w:keepNext/>
        <w:spacing w:before="360" w:after="160"/>
      </w:pPr>
      <w:r>
        <w:rPr>
          <w:rFonts w:ascii="Arial" w:hAnsi="Arial"/>
          <w:b/>
          <w:color w:val="1B365D"/>
          <w:sz w:val="36"/>
        </w:rPr>
        <w:t>Chapter 3: Dataset Profiling &amp; Exploratory Data Analysis (EDA)</w:t>
      </w:r>
    </w:p>
    <w:p>
      <w:r>
        <w:t>The system is trained and validated on cleaned_diabetes_data.csv, a high-quality clinical registry comprising 1,898 adult patient records. Each record incorporates patient demographics (Age, Gender), body anthropometrics (Weight, Height, calculated Body Mass Index), hemodynamic vitals (Systolic Blood Pressure, Diastolic Blood Pressure), and laboratory biochemical values (Fasting Blood Glucose, HbA1c). The ground-truth clinical outcome ('diabetic') is stratified across three discrete severity tiers.</w:t>
      </w:r>
    </w:p>
    <w:p>
      <w:pPr>
        <w:keepNext/>
        <w:spacing w:before="280" w:after="120"/>
      </w:pPr>
      <w:r>
        <w:rPr>
          <w:rFonts w:ascii="Arial" w:hAnsi="Arial"/>
          <w:b/>
          <w:color w:val="2B547E"/>
          <w:sz w:val="27"/>
        </w:rPr>
        <w:t>3.1 Descriptive Statistical Summary</w:t>
      </w:r>
    </w:p>
    <w:p>
      <w:r>
        <w:t>Table 3.1 details the distribution, central tendencies, and variability of all raw input clinical indicators across the patient cohort: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0"/>
        <w:gridCol w:w="1170"/>
        <w:gridCol w:w="1170"/>
        <w:gridCol w:w="1170"/>
        <w:gridCol w:w="1170"/>
        <w:gridCol w:w="1170"/>
        <w:gridCol w:w="1170"/>
        <w:gridCol w:w="1170"/>
      </w:tblGrid>
      <w:tr>
        <w:tc>
          <w:tcPr>
            <w:tcW w:type="dxa" w:w="3024"/>
            <w:shd w:fill="1B365D"/>
            <w:tcMar>
              <w:top w:w="120" w:type="dxa"/>
              <w:bottom w:w="120" w:type="dxa"/>
              <w:left w:w="140" w:type="dxa"/>
              <w:right w:w="140" w:type="dxa"/>
            </w:tcMar>
          </w:tcPr>
          <w:p>
            <w:pPr>
              <w:jc w:val="left"/>
            </w:pPr>
            <w:r>
              <w:rPr>
                <w:b/>
                <w:color w:val="FFFFFF"/>
                <w:sz w:val="19"/>
              </w:rPr>
              <w:t>Clinical Indicator</w:t>
            </w:r>
          </w:p>
        </w:tc>
        <w:tc>
          <w:tcPr>
            <w:tcW w:type="dxa" w:w="864"/>
            <w:shd w:fill="1B365D"/>
            <w:tcMar>
              <w:top w:w="120" w:type="dxa"/>
              <w:bottom w:w="120" w:type="dxa"/>
              <w:left w:w="140" w:type="dxa"/>
              <w:right w:w="140" w:type="dxa"/>
            </w:tcMar>
          </w:tcPr>
          <w:p>
            <w:pPr>
              <w:jc w:val="left"/>
            </w:pPr>
            <w:r>
              <w:rPr>
                <w:b/>
                <w:color w:val="FFFFFF"/>
                <w:sz w:val="19"/>
              </w:rPr>
              <w:t>Mean</w:t>
            </w:r>
          </w:p>
        </w:tc>
        <w:tc>
          <w:tcPr>
            <w:tcW w:type="dxa" w:w="864"/>
            <w:shd w:fill="1B365D"/>
            <w:tcMar>
              <w:top w:w="120" w:type="dxa"/>
              <w:bottom w:w="120" w:type="dxa"/>
              <w:left w:w="140" w:type="dxa"/>
              <w:right w:w="140" w:type="dxa"/>
            </w:tcMar>
          </w:tcPr>
          <w:p>
            <w:pPr>
              <w:jc w:val="left"/>
            </w:pPr>
            <w:r>
              <w:rPr>
                <w:b/>
                <w:color w:val="FFFFFF"/>
                <w:sz w:val="19"/>
              </w:rPr>
              <w:t>Std</w:t>
            </w:r>
          </w:p>
        </w:tc>
        <w:tc>
          <w:tcPr>
            <w:tcW w:type="dxa" w:w="864"/>
            <w:shd w:fill="1B365D"/>
            <w:tcMar>
              <w:top w:w="120" w:type="dxa"/>
              <w:bottom w:w="120" w:type="dxa"/>
              <w:left w:w="140" w:type="dxa"/>
              <w:right w:w="140" w:type="dxa"/>
            </w:tcMar>
          </w:tcPr>
          <w:p>
            <w:pPr>
              <w:jc w:val="left"/>
            </w:pPr>
            <w:r>
              <w:rPr>
                <w:b/>
                <w:color w:val="FFFFFF"/>
                <w:sz w:val="19"/>
              </w:rPr>
              <w:t>Min</w:t>
            </w:r>
          </w:p>
        </w:tc>
        <w:tc>
          <w:tcPr>
            <w:tcW w:type="dxa" w:w="1008"/>
            <w:shd w:fill="1B365D"/>
            <w:tcMar>
              <w:top w:w="120" w:type="dxa"/>
              <w:bottom w:w="120" w:type="dxa"/>
              <w:left w:w="140" w:type="dxa"/>
              <w:right w:w="140" w:type="dxa"/>
            </w:tcMar>
          </w:tcPr>
          <w:p>
            <w:pPr>
              <w:jc w:val="left"/>
            </w:pPr>
            <w:r>
              <w:rPr>
                <w:b/>
                <w:color w:val="FFFFFF"/>
                <w:sz w:val="19"/>
              </w:rPr>
              <w:t>25% (Q1)</w:t>
            </w:r>
          </w:p>
        </w:tc>
        <w:tc>
          <w:tcPr>
            <w:tcW w:type="dxa" w:w="1008"/>
            <w:shd w:fill="1B365D"/>
            <w:tcMar>
              <w:top w:w="120" w:type="dxa"/>
              <w:bottom w:w="120" w:type="dxa"/>
              <w:left w:w="140" w:type="dxa"/>
              <w:right w:w="140" w:type="dxa"/>
            </w:tcMar>
          </w:tcPr>
          <w:p>
            <w:pPr>
              <w:jc w:val="left"/>
            </w:pPr>
            <w:r>
              <w:rPr>
                <w:b/>
                <w:color w:val="FFFFFF"/>
                <w:sz w:val="19"/>
              </w:rPr>
              <w:t>Median</w:t>
            </w:r>
          </w:p>
        </w:tc>
        <w:tc>
          <w:tcPr>
            <w:tcW w:type="dxa" w:w="1008"/>
            <w:shd w:fill="1B365D"/>
            <w:tcMar>
              <w:top w:w="120" w:type="dxa"/>
              <w:bottom w:w="120" w:type="dxa"/>
              <w:left w:w="140" w:type="dxa"/>
              <w:right w:w="140" w:type="dxa"/>
            </w:tcMar>
          </w:tcPr>
          <w:p>
            <w:pPr>
              <w:jc w:val="left"/>
            </w:pPr>
            <w:r>
              <w:rPr>
                <w:b/>
                <w:color w:val="FFFFFF"/>
                <w:sz w:val="19"/>
              </w:rPr>
              <w:t>75% (Q3)</w:t>
            </w:r>
          </w:p>
        </w:tc>
        <w:tc>
          <w:tcPr>
            <w:tcW w:type="dxa" w:w="720"/>
            <w:shd w:fill="1B365D"/>
            <w:tcMar>
              <w:top w:w="120" w:type="dxa"/>
              <w:bottom w:w="120" w:type="dxa"/>
              <w:left w:w="140" w:type="dxa"/>
              <w:right w:w="140" w:type="dxa"/>
            </w:tcMar>
          </w:tcPr>
          <w:p>
            <w:pPr>
              <w:jc w:val="left"/>
            </w:pPr>
            <w:r>
              <w:rPr>
                <w:b/>
                <w:color w:val="FFFFFF"/>
                <w:sz w:val="19"/>
              </w:rPr>
              <w:t>Max</w:t>
            </w:r>
          </w:p>
        </w:tc>
      </w:tr>
      <w:tr>
        <w:tc>
          <w:tcPr>
            <w:tcW w:type="dxa" w:w="3024"/>
            <w:shd w:fill="FFFFFF"/>
            <w:tcMar>
              <w:top w:w="90" w:type="dxa"/>
              <w:bottom w:w="90" w:type="dxa"/>
              <w:left w:w="140" w:type="dxa"/>
              <w:right w:w="140" w:type="dxa"/>
            </w:tcMar>
          </w:tcPr>
          <w:p>
            <w:pPr>
              <w:jc w:val="left"/>
            </w:pPr>
            <w:r>
              <w:rPr>
                <w:color w:val="222222"/>
                <w:sz w:val="18"/>
              </w:rPr>
              <w:t>Age (years)</w:t>
            </w:r>
          </w:p>
        </w:tc>
        <w:tc>
          <w:tcPr>
            <w:tcW w:type="dxa" w:w="864"/>
            <w:shd w:fill="FFFFFF"/>
            <w:tcMar>
              <w:top w:w="90" w:type="dxa"/>
              <w:bottom w:w="90" w:type="dxa"/>
              <w:left w:w="140" w:type="dxa"/>
              <w:right w:w="140" w:type="dxa"/>
            </w:tcMar>
          </w:tcPr>
          <w:p>
            <w:pPr>
              <w:jc w:val="left"/>
            </w:pPr>
            <w:r>
              <w:rPr>
                <w:color w:val="222222"/>
                <w:sz w:val="18"/>
              </w:rPr>
              <w:t>46.73</w:t>
            </w:r>
          </w:p>
        </w:tc>
        <w:tc>
          <w:tcPr>
            <w:tcW w:type="dxa" w:w="864"/>
            <w:shd w:fill="FFFFFF"/>
            <w:tcMar>
              <w:top w:w="90" w:type="dxa"/>
              <w:bottom w:w="90" w:type="dxa"/>
              <w:left w:w="140" w:type="dxa"/>
              <w:right w:w="140" w:type="dxa"/>
            </w:tcMar>
          </w:tcPr>
          <w:p>
            <w:pPr>
              <w:jc w:val="left"/>
            </w:pPr>
            <w:r>
              <w:rPr>
                <w:color w:val="222222"/>
                <w:sz w:val="18"/>
              </w:rPr>
              <w:t>13.67</w:t>
            </w:r>
          </w:p>
        </w:tc>
        <w:tc>
          <w:tcPr>
            <w:tcW w:type="dxa" w:w="864"/>
            <w:shd w:fill="FFFFFF"/>
            <w:tcMar>
              <w:top w:w="90" w:type="dxa"/>
              <w:bottom w:w="90" w:type="dxa"/>
              <w:left w:w="140" w:type="dxa"/>
              <w:right w:w="140" w:type="dxa"/>
            </w:tcMar>
          </w:tcPr>
          <w:p>
            <w:pPr>
              <w:jc w:val="left"/>
            </w:pPr>
            <w:r>
              <w:rPr>
                <w:color w:val="222222"/>
                <w:sz w:val="18"/>
              </w:rPr>
              <w:t>21.00</w:t>
            </w:r>
          </w:p>
        </w:tc>
        <w:tc>
          <w:tcPr>
            <w:tcW w:type="dxa" w:w="1008"/>
            <w:shd w:fill="FFFFFF"/>
            <w:tcMar>
              <w:top w:w="90" w:type="dxa"/>
              <w:bottom w:w="90" w:type="dxa"/>
              <w:left w:w="140" w:type="dxa"/>
              <w:right w:w="140" w:type="dxa"/>
            </w:tcMar>
          </w:tcPr>
          <w:p>
            <w:pPr>
              <w:jc w:val="left"/>
            </w:pPr>
            <w:r>
              <w:rPr>
                <w:color w:val="222222"/>
                <w:sz w:val="18"/>
              </w:rPr>
              <w:t>35.00</w:t>
            </w:r>
          </w:p>
        </w:tc>
        <w:tc>
          <w:tcPr>
            <w:tcW w:type="dxa" w:w="1008"/>
            <w:shd w:fill="FFFFFF"/>
            <w:tcMar>
              <w:top w:w="90" w:type="dxa"/>
              <w:bottom w:w="90" w:type="dxa"/>
              <w:left w:w="140" w:type="dxa"/>
              <w:right w:w="140" w:type="dxa"/>
            </w:tcMar>
          </w:tcPr>
          <w:p>
            <w:pPr>
              <w:jc w:val="left"/>
            </w:pPr>
            <w:r>
              <w:rPr>
                <w:color w:val="222222"/>
                <w:sz w:val="18"/>
              </w:rPr>
              <w:t>45.00</w:t>
            </w:r>
          </w:p>
        </w:tc>
        <w:tc>
          <w:tcPr>
            <w:tcW w:type="dxa" w:w="1008"/>
            <w:shd w:fill="FFFFFF"/>
            <w:tcMar>
              <w:top w:w="90" w:type="dxa"/>
              <w:bottom w:w="90" w:type="dxa"/>
              <w:left w:w="140" w:type="dxa"/>
              <w:right w:w="140" w:type="dxa"/>
            </w:tcMar>
          </w:tcPr>
          <w:p>
            <w:pPr>
              <w:jc w:val="left"/>
            </w:pPr>
            <w:r>
              <w:rPr>
                <w:color w:val="222222"/>
                <w:sz w:val="18"/>
              </w:rPr>
              <w:t>57.00</w:t>
            </w:r>
          </w:p>
        </w:tc>
        <w:tc>
          <w:tcPr>
            <w:tcW w:type="dxa" w:w="720"/>
            <w:shd w:fill="FFFFFF"/>
            <w:tcMar>
              <w:top w:w="90" w:type="dxa"/>
              <w:bottom w:w="90" w:type="dxa"/>
              <w:left w:w="140" w:type="dxa"/>
              <w:right w:w="140" w:type="dxa"/>
            </w:tcMar>
          </w:tcPr>
          <w:p>
            <w:pPr>
              <w:jc w:val="left"/>
            </w:pPr>
            <w:r>
              <w:rPr>
                <w:color w:val="222222"/>
                <w:sz w:val="18"/>
              </w:rPr>
              <w:t>80.00</w:t>
            </w:r>
          </w:p>
        </w:tc>
      </w:tr>
      <w:tr>
        <w:tc>
          <w:tcPr>
            <w:tcW w:type="dxa" w:w="3024"/>
            <w:shd w:fill="F4F7FA"/>
            <w:tcMar>
              <w:top w:w="90" w:type="dxa"/>
              <w:bottom w:w="90" w:type="dxa"/>
              <w:left w:w="140" w:type="dxa"/>
              <w:right w:w="140" w:type="dxa"/>
            </w:tcMar>
          </w:tcPr>
          <w:p>
            <w:pPr>
              <w:jc w:val="left"/>
            </w:pPr>
            <w:r>
              <w:rPr>
                <w:color w:val="222222"/>
                <w:sz w:val="18"/>
              </w:rPr>
              <w:t>Gender (Male=1, Female=0)</w:t>
            </w:r>
          </w:p>
        </w:tc>
        <w:tc>
          <w:tcPr>
            <w:tcW w:type="dxa" w:w="864"/>
            <w:shd w:fill="F4F7FA"/>
            <w:tcMar>
              <w:top w:w="90" w:type="dxa"/>
              <w:bottom w:w="90" w:type="dxa"/>
              <w:left w:w="140" w:type="dxa"/>
              <w:right w:w="140" w:type="dxa"/>
            </w:tcMar>
          </w:tcPr>
          <w:p>
            <w:pPr>
              <w:jc w:val="left"/>
            </w:pPr>
            <w:r>
              <w:rPr>
                <w:color w:val="222222"/>
                <w:sz w:val="18"/>
              </w:rPr>
              <w:t>0.38</w:t>
            </w:r>
          </w:p>
        </w:tc>
        <w:tc>
          <w:tcPr>
            <w:tcW w:type="dxa" w:w="864"/>
            <w:shd w:fill="F4F7FA"/>
            <w:tcMar>
              <w:top w:w="90" w:type="dxa"/>
              <w:bottom w:w="90" w:type="dxa"/>
              <w:left w:w="140" w:type="dxa"/>
              <w:right w:w="140" w:type="dxa"/>
            </w:tcMar>
          </w:tcPr>
          <w:p>
            <w:pPr>
              <w:jc w:val="left"/>
            </w:pPr>
            <w:r>
              <w:rPr>
                <w:color w:val="222222"/>
                <w:sz w:val="18"/>
              </w:rPr>
              <w:t>0.48</w:t>
            </w:r>
          </w:p>
        </w:tc>
        <w:tc>
          <w:tcPr>
            <w:tcW w:type="dxa" w:w="864"/>
            <w:shd w:fill="F4F7FA"/>
            <w:tcMar>
              <w:top w:w="90" w:type="dxa"/>
              <w:bottom w:w="90" w:type="dxa"/>
              <w:left w:w="140" w:type="dxa"/>
              <w:right w:w="140" w:type="dxa"/>
            </w:tcMar>
          </w:tcPr>
          <w:p>
            <w:pPr>
              <w:jc w:val="left"/>
            </w:pPr>
            <w:r>
              <w:rPr>
                <w:color w:val="222222"/>
                <w:sz w:val="18"/>
              </w:rPr>
              <w:t>0.00</w:t>
            </w:r>
          </w:p>
        </w:tc>
        <w:tc>
          <w:tcPr>
            <w:tcW w:type="dxa" w:w="1008"/>
            <w:shd w:fill="F4F7FA"/>
            <w:tcMar>
              <w:top w:w="90" w:type="dxa"/>
              <w:bottom w:w="90" w:type="dxa"/>
              <w:left w:w="140" w:type="dxa"/>
              <w:right w:w="140" w:type="dxa"/>
            </w:tcMar>
          </w:tcPr>
          <w:p>
            <w:pPr>
              <w:jc w:val="left"/>
            </w:pPr>
            <w:r>
              <w:rPr>
                <w:color w:val="222222"/>
                <w:sz w:val="18"/>
              </w:rPr>
              <w:t>0.00</w:t>
            </w:r>
          </w:p>
        </w:tc>
        <w:tc>
          <w:tcPr>
            <w:tcW w:type="dxa" w:w="1008"/>
            <w:shd w:fill="F4F7FA"/>
            <w:tcMar>
              <w:top w:w="90" w:type="dxa"/>
              <w:bottom w:w="90" w:type="dxa"/>
              <w:left w:w="140" w:type="dxa"/>
              <w:right w:w="140" w:type="dxa"/>
            </w:tcMar>
          </w:tcPr>
          <w:p>
            <w:pPr>
              <w:jc w:val="left"/>
            </w:pPr>
            <w:r>
              <w:rPr>
                <w:color w:val="222222"/>
                <w:sz w:val="18"/>
              </w:rPr>
              <w:t>0.00</w:t>
            </w:r>
          </w:p>
        </w:tc>
        <w:tc>
          <w:tcPr>
            <w:tcW w:type="dxa" w:w="1008"/>
            <w:shd w:fill="F4F7FA"/>
            <w:tcMar>
              <w:top w:w="90" w:type="dxa"/>
              <w:bottom w:w="90" w:type="dxa"/>
              <w:left w:w="140" w:type="dxa"/>
              <w:right w:w="140" w:type="dxa"/>
            </w:tcMar>
          </w:tcPr>
          <w:p>
            <w:pPr>
              <w:jc w:val="left"/>
            </w:pPr>
            <w:r>
              <w:rPr>
                <w:color w:val="222222"/>
                <w:sz w:val="18"/>
              </w:rPr>
              <w:t>1.00</w:t>
            </w:r>
          </w:p>
        </w:tc>
        <w:tc>
          <w:tcPr>
            <w:tcW w:type="dxa" w:w="720"/>
            <w:shd w:fill="F4F7FA"/>
            <w:tcMar>
              <w:top w:w="90" w:type="dxa"/>
              <w:bottom w:w="90" w:type="dxa"/>
              <w:left w:w="140" w:type="dxa"/>
              <w:right w:w="140" w:type="dxa"/>
            </w:tcMar>
          </w:tcPr>
          <w:p>
            <w:pPr>
              <w:jc w:val="left"/>
            </w:pPr>
            <w:r>
              <w:rPr>
                <w:color w:val="222222"/>
                <w:sz w:val="18"/>
              </w:rPr>
              <w:t>1.00</w:t>
            </w:r>
          </w:p>
        </w:tc>
      </w:tr>
      <w:tr>
        <w:tc>
          <w:tcPr>
            <w:tcW w:type="dxa" w:w="3024"/>
            <w:shd w:fill="FFFFFF"/>
            <w:tcMar>
              <w:top w:w="90" w:type="dxa"/>
              <w:bottom w:w="90" w:type="dxa"/>
              <w:left w:w="140" w:type="dxa"/>
              <w:right w:w="140" w:type="dxa"/>
            </w:tcMar>
          </w:tcPr>
          <w:p>
            <w:pPr>
              <w:jc w:val="left"/>
            </w:pPr>
            <w:r>
              <w:rPr>
                <w:color w:val="222222"/>
                <w:sz w:val="18"/>
              </w:rPr>
              <w:t>Glucose (mg/dL)</w:t>
            </w:r>
          </w:p>
        </w:tc>
        <w:tc>
          <w:tcPr>
            <w:tcW w:type="dxa" w:w="864"/>
            <w:shd w:fill="FFFFFF"/>
            <w:tcMar>
              <w:top w:w="90" w:type="dxa"/>
              <w:bottom w:w="90" w:type="dxa"/>
              <w:left w:w="140" w:type="dxa"/>
              <w:right w:w="140" w:type="dxa"/>
            </w:tcMar>
          </w:tcPr>
          <w:p>
            <w:pPr>
              <w:jc w:val="left"/>
            </w:pPr>
            <w:r>
              <w:rPr>
                <w:color w:val="222222"/>
                <w:sz w:val="18"/>
              </w:rPr>
              <w:t>137.28</w:t>
            </w:r>
          </w:p>
        </w:tc>
        <w:tc>
          <w:tcPr>
            <w:tcW w:type="dxa" w:w="864"/>
            <w:shd w:fill="FFFFFF"/>
            <w:tcMar>
              <w:top w:w="90" w:type="dxa"/>
              <w:bottom w:w="90" w:type="dxa"/>
              <w:left w:w="140" w:type="dxa"/>
              <w:right w:w="140" w:type="dxa"/>
            </w:tcMar>
          </w:tcPr>
          <w:p>
            <w:pPr>
              <w:jc w:val="left"/>
            </w:pPr>
            <w:r>
              <w:rPr>
                <w:color w:val="222222"/>
                <w:sz w:val="18"/>
              </w:rPr>
              <w:t>55.88</w:t>
            </w:r>
          </w:p>
        </w:tc>
        <w:tc>
          <w:tcPr>
            <w:tcW w:type="dxa" w:w="864"/>
            <w:shd w:fill="FFFFFF"/>
            <w:tcMar>
              <w:top w:w="90" w:type="dxa"/>
              <w:bottom w:w="90" w:type="dxa"/>
              <w:left w:w="140" w:type="dxa"/>
              <w:right w:w="140" w:type="dxa"/>
            </w:tcMar>
          </w:tcPr>
          <w:p>
            <w:pPr>
              <w:jc w:val="left"/>
            </w:pPr>
            <w:r>
              <w:rPr>
                <w:color w:val="222222"/>
                <w:sz w:val="18"/>
              </w:rPr>
              <w:t>7.74</w:t>
            </w:r>
          </w:p>
        </w:tc>
        <w:tc>
          <w:tcPr>
            <w:tcW w:type="dxa" w:w="1008"/>
            <w:shd w:fill="FFFFFF"/>
            <w:tcMar>
              <w:top w:w="90" w:type="dxa"/>
              <w:bottom w:w="90" w:type="dxa"/>
              <w:left w:w="140" w:type="dxa"/>
              <w:right w:w="140" w:type="dxa"/>
            </w:tcMar>
          </w:tcPr>
          <w:p>
            <w:pPr>
              <w:jc w:val="left"/>
            </w:pPr>
            <w:r>
              <w:rPr>
                <w:color w:val="222222"/>
                <w:sz w:val="18"/>
              </w:rPr>
              <w:t>108.00</w:t>
            </w:r>
          </w:p>
        </w:tc>
        <w:tc>
          <w:tcPr>
            <w:tcW w:type="dxa" w:w="1008"/>
            <w:shd w:fill="FFFFFF"/>
            <w:tcMar>
              <w:top w:w="90" w:type="dxa"/>
              <w:bottom w:w="90" w:type="dxa"/>
              <w:left w:w="140" w:type="dxa"/>
              <w:right w:w="140" w:type="dxa"/>
            </w:tcMar>
          </w:tcPr>
          <w:p>
            <w:pPr>
              <w:jc w:val="left"/>
            </w:pPr>
            <w:r>
              <w:rPr>
                <w:color w:val="222222"/>
                <w:sz w:val="18"/>
              </w:rPr>
              <w:t>125.10</w:t>
            </w:r>
          </w:p>
        </w:tc>
        <w:tc>
          <w:tcPr>
            <w:tcW w:type="dxa" w:w="1008"/>
            <w:shd w:fill="FFFFFF"/>
            <w:tcMar>
              <w:top w:w="90" w:type="dxa"/>
              <w:bottom w:w="90" w:type="dxa"/>
              <w:left w:w="140" w:type="dxa"/>
              <w:right w:w="140" w:type="dxa"/>
            </w:tcMar>
          </w:tcPr>
          <w:p>
            <w:pPr>
              <w:jc w:val="left"/>
            </w:pPr>
            <w:r>
              <w:rPr>
                <w:color w:val="222222"/>
                <w:sz w:val="18"/>
              </w:rPr>
              <w:t>146.16</w:t>
            </w:r>
          </w:p>
        </w:tc>
        <w:tc>
          <w:tcPr>
            <w:tcW w:type="dxa" w:w="720"/>
            <w:shd w:fill="FFFFFF"/>
            <w:tcMar>
              <w:top w:w="90" w:type="dxa"/>
              <w:bottom w:w="90" w:type="dxa"/>
              <w:left w:w="140" w:type="dxa"/>
              <w:right w:w="140" w:type="dxa"/>
            </w:tcMar>
          </w:tcPr>
          <w:p>
            <w:pPr>
              <w:jc w:val="left"/>
            </w:pPr>
            <w:r>
              <w:rPr>
                <w:color w:val="222222"/>
                <w:sz w:val="18"/>
              </w:rPr>
              <w:t>602.28</w:t>
            </w:r>
          </w:p>
        </w:tc>
      </w:tr>
      <w:tr>
        <w:tc>
          <w:tcPr>
            <w:tcW w:type="dxa" w:w="3024"/>
            <w:shd w:fill="F4F7FA"/>
            <w:tcMar>
              <w:top w:w="90" w:type="dxa"/>
              <w:bottom w:w="90" w:type="dxa"/>
              <w:left w:w="140" w:type="dxa"/>
              <w:right w:w="140" w:type="dxa"/>
            </w:tcMar>
          </w:tcPr>
          <w:p>
            <w:pPr>
              <w:jc w:val="left"/>
            </w:pPr>
            <w:r>
              <w:rPr>
                <w:color w:val="222222"/>
                <w:sz w:val="18"/>
              </w:rPr>
              <w:t>Weight (kg)</w:t>
            </w:r>
          </w:p>
        </w:tc>
        <w:tc>
          <w:tcPr>
            <w:tcW w:type="dxa" w:w="864"/>
            <w:shd w:fill="F4F7FA"/>
            <w:tcMar>
              <w:top w:w="90" w:type="dxa"/>
              <w:bottom w:w="90" w:type="dxa"/>
              <w:left w:w="140" w:type="dxa"/>
              <w:right w:w="140" w:type="dxa"/>
            </w:tcMar>
          </w:tcPr>
          <w:p>
            <w:pPr>
              <w:jc w:val="left"/>
            </w:pPr>
            <w:r>
              <w:rPr>
                <w:color w:val="222222"/>
                <w:sz w:val="18"/>
              </w:rPr>
              <w:t>54.06</w:t>
            </w:r>
          </w:p>
        </w:tc>
        <w:tc>
          <w:tcPr>
            <w:tcW w:type="dxa" w:w="864"/>
            <w:shd w:fill="F4F7FA"/>
            <w:tcMar>
              <w:top w:w="90" w:type="dxa"/>
              <w:bottom w:w="90" w:type="dxa"/>
              <w:left w:w="140" w:type="dxa"/>
              <w:right w:w="140" w:type="dxa"/>
            </w:tcMar>
          </w:tcPr>
          <w:p>
            <w:pPr>
              <w:jc w:val="left"/>
            </w:pPr>
            <w:r>
              <w:rPr>
                <w:color w:val="222222"/>
                <w:sz w:val="18"/>
              </w:rPr>
              <w:t>10.07</w:t>
            </w:r>
          </w:p>
        </w:tc>
        <w:tc>
          <w:tcPr>
            <w:tcW w:type="dxa" w:w="864"/>
            <w:shd w:fill="F4F7FA"/>
            <w:tcMar>
              <w:top w:w="90" w:type="dxa"/>
              <w:bottom w:w="90" w:type="dxa"/>
              <w:left w:w="140" w:type="dxa"/>
              <w:right w:w="140" w:type="dxa"/>
            </w:tcMar>
          </w:tcPr>
          <w:p>
            <w:pPr>
              <w:jc w:val="left"/>
            </w:pPr>
            <w:r>
              <w:rPr>
                <w:color w:val="222222"/>
                <w:sz w:val="18"/>
              </w:rPr>
              <w:t>20.00</w:t>
            </w:r>
          </w:p>
        </w:tc>
        <w:tc>
          <w:tcPr>
            <w:tcW w:type="dxa" w:w="1008"/>
            <w:shd w:fill="F4F7FA"/>
            <w:tcMar>
              <w:top w:w="90" w:type="dxa"/>
              <w:bottom w:w="90" w:type="dxa"/>
              <w:left w:w="140" w:type="dxa"/>
              <w:right w:w="140" w:type="dxa"/>
            </w:tcMar>
          </w:tcPr>
          <w:p>
            <w:pPr>
              <w:jc w:val="left"/>
            </w:pPr>
            <w:r>
              <w:rPr>
                <w:color w:val="222222"/>
                <w:sz w:val="18"/>
              </w:rPr>
              <w:t>48.00</w:t>
            </w:r>
          </w:p>
        </w:tc>
        <w:tc>
          <w:tcPr>
            <w:tcW w:type="dxa" w:w="1008"/>
            <w:shd w:fill="F4F7FA"/>
            <w:tcMar>
              <w:top w:w="90" w:type="dxa"/>
              <w:bottom w:w="90" w:type="dxa"/>
              <w:left w:w="140" w:type="dxa"/>
              <w:right w:w="140" w:type="dxa"/>
            </w:tcMar>
          </w:tcPr>
          <w:p>
            <w:pPr>
              <w:jc w:val="left"/>
            </w:pPr>
            <w:r>
              <w:rPr>
                <w:color w:val="222222"/>
                <w:sz w:val="18"/>
              </w:rPr>
              <w:t>53.00</w:t>
            </w:r>
          </w:p>
        </w:tc>
        <w:tc>
          <w:tcPr>
            <w:tcW w:type="dxa" w:w="1008"/>
            <w:shd w:fill="F4F7FA"/>
            <w:tcMar>
              <w:top w:w="90" w:type="dxa"/>
              <w:bottom w:w="90" w:type="dxa"/>
              <w:left w:w="140" w:type="dxa"/>
              <w:right w:w="140" w:type="dxa"/>
            </w:tcMar>
          </w:tcPr>
          <w:p>
            <w:pPr>
              <w:jc w:val="left"/>
            </w:pPr>
            <w:r>
              <w:rPr>
                <w:color w:val="222222"/>
                <w:sz w:val="18"/>
              </w:rPr>
              <w:t>60.00</w:t>
            </w:r>
          </w:p>
        </w:tc>
        <w:tc>
          <w:tcPr>
            <w:tcW w:type="dxa" w:w="720"/>
            <w:shd w:fill="F4F7FA"/>
            <w:tcMar>
              <w:top w:w="90" w:type="dxa"/>
              <w:bottom w:w="90" w:type="dxa"/>
              <w:left w:w="140" w:type="dxa"/>
              <w:right w:w="140" w:type="dxa"/>
            </w:tcMar>
          </w:tcPr>
          <w:p>
            <w:pPr>
              <w:jc w:val="left"/>
            </w:pPr>
            <w:r>
              <w:rPr>
                <w:color w:val="222222"/>
                <w:sz w:val="18"/>
              </w:rPr>
              <w:t>95.00</w:t>
            </w:r>
          </w:p>
        </w:tc>
      </w:tr>
      <w:tr>
        <w:tc>
          <w:tcPr>
            <w:tcW w:type="dxa" w:w="3024"/>
            <w:shd w:fill="FFFFFF"/>
            <w:tcMar>
              <w:top w:w="90" w:type="dxa"/>
              <w:bottom w:w="90" w:type="dxa"/>
              <w:left w:w="140" w:type="dxa"/>
              <w:right w:w="140" w:type="dxa"/>
            </w:tcMar>
          </w:tcPr>
          <w:p>
            <w:pPr>
              <w:jc w:val="left"/>
            </w:pPr>
            <w:r>
              <w:rPr>
                <w:color w:val="222222"/>
                <w:sz w:val="18"/>
              </w:rPr>
              <w:t>Height (m)</w:t>
            </w:r>
          </w:p>
        </w:tc>
        <w:tc>
          <w:tcPr>
            <w:tcW w:type="dxa" w:w="864"/>
            <w:shd w:fill="FFFFFF"/>
            <w:tcMar>
              <w:top w:w="90" w:type="dxa"/>
              <w:bottom w:w="90" w:type="dxa"/>
              <w:left w:w="140" w:type="dxa"/>
              <w:right w:w="140" w:type="dxa"/>
            </w:tcMar>
          </w:tcPr>
          <w:p>
            <w:pPr>
              <w:jc w:val="left"/>
            </w:pPr>
            <w:r>
              <w:rPr>
                <w:color w:val="222222"/>
                <w:sz w:val="18"/>
              </w:rPr>
              <w:t>1.56</w:t>
            </w:r>
          </w:p>
        </w:tc>
        <w:tc>
          <w:tcPr>
            <w:tcW w:type="dxa" w:w="864"/>
            <w:shd w:fill="FFFFFF"/>
            <w:tcMar>
              <w:top w:w="90" w:type="dxa"/>
              <w:bottom w:w="90" w:type="dxa"/>
              <w:left w:w="140" w:type="dxa"/>
              <w:right w:w="140" w:type="dxa"/>
            </w:tcMar>
          </w:tcPr>
          <w:p>
            <w:pPr>
              <w:jc w:val="left"/>
            </w:pPr>
            <w:r>
              <w:rPr>
                <w:color w:val="222222"/>
                <w:sz w:val="18"/>
              </w:rPr>
              <w:t>0.08</w:t>
            </w:r>
          </w:p>
        </w:tc>
        <w:tc>
          <w:tcPr>
            <w:tcW w:type="dxa" w:w="864"/>
            <w:shd w:fill="FFFFFF"/>
            <w:tcMar>
              <w:top w:w="90" w:type="dxa"/>
              <w:bottom w:w="90" w:type="dxa"/>
              <w:left w:w="140" w:type="dxa"/>
              <w:right w:w="140" w:type="dxa"/>
            </w:tcMar>
          </w:tcPr>
          <w:p>
            <w:pPr>
              <w:jc w:val="left"/>
            </w:pPr>
            <w:r>
              <w:rPr>
                <w:color w:val="222222"/>
                <w:sz w:val="18"/>
              </w:rPr>
              <w:t>1.30</w:t>
            </w:r>
          </w:p>
        </w:tc>
        <w:tc>
          <w:tcPr>
            <w:tcW w:type="dxa" w:w="1008"/>
            <w:shd w:fill="FFFFFF"/>
            <w:tcMar>
              <w:top w:w="90" w:type="dxa"/>
              <w:bottom w:w="90" w:type="dxa"/>
              <w:left w:w="140" w:type="dxa"/>
              <w:right w:w="140" w:type="dxa"/>
            </w:tcMar>
          </w:tcPr>
          <w:p>
            <w:pPr>
              <w:jc w:val="left"/>
            </w:pPr>
            <w:r>
              <w:rPr>
                <w:color w:val="222222"/>
                <w:sz w:val="18"/>
              </w:rPr>
              <w:t>1.50</w:t>
            </w:r>
          </w:p>
        </w:tc>
        <w:tc>
          <w:tcPr>
            <w:tcW w:type="dxa" w:w="1008"/>
            <w:shd w:fill="FFFFFF"/>
            <w:tcMar>
              <w:top w:w="90" w:type="dxa"/>
              <w:bottom w:w="90" w:type="dxa"/>
              <w:left w:w="140" w:type="dxa"/>
              <w:right w:w="140" w:type="dxa"/>
            </w:tcMar>
          </w:tcPr>
          <w:p>
            <w:pPr>
              <w:jc w:val="left"/>
            </w:pPr>
            <w:r>
              <w:rPr>
                <w:color w:val="222222"/>
                <w:sz w:val="18"/>
              </w:rPr>
              <w:t>1.55</w:t>
            </w:r>
          </w:p>
        </w:tc>
        <w:tc>
          <w:tcPr>
            <w:tcW w:type="dxa" w:w="1008"/>
            <w:shd w:fill="FFFFFF"/>
            <w:tcMar>
              <w:top w:w="90" w:type="dxa"/>
              <w:bottom w:w="90" w:type="dxa"/>
              <w:left w:w="140" w:type="dxa"/>
              <w:right w:w="140" w:type="dxa"/>
            </w:tcMar>
          </w:tcPr>
          <w:p>
            <w:pPr>
              <w:jc w:val="left"/>
            </w:pPr>
            <w:r>
              <w:rPr>
                <w:color w:val="222222"/>
                <w:sz w:val="18"/>
              </w:rPr>
              <w:t>1.60</w:t>
            </w:r>
          </w:p>
        </w:tc>
        <w:tc>
          <w:tcPr>
            <w:tcW w:type="dxa" w:w="720"/>
            <w:shd w:fill="FFFFFF"/>
            <w:tcMar>
              <w:top w:w="90" w:type="dxa"/>
              <w:bottom w:w="90" w:type="dxa"/>
              <w:left w:w="140" w:type="dxa"/>
              <w:right w:w="140" w:type="dxa"/>
            </w:tcMar>
          </w:tcPr>
          <w:p>
            <w:pPr>
              <w:jc w:val="left"/>
            </w:pPr>
            <w:r>
              <w:rPr>
                <w:color w:val="222222"/>
                <w:sz w:val="18"/>
              </w:rPr>
              <w:t>1.92</w:t>
            </w:r>
          </w:p>
        </w:tc>
      </w:tr>
      <w:tr>
        <w:tc>
          <w:tcPr>
            <w:tcW w:type="dxa" w:w="3024"/>
            <w:shd w:fill="F4F7FA"/>
            <w:tcMar>
              <w:top w:w="90" w:type="dxa"/>
              <w:bottom w:w="90" w:type="dxa"/>
              <w:left w:w="140" w:type="dxa"/>
              <w:right w:w="140" w:type="dxa"/>
            </w:tcMar>
          </w:tcPr>
          <w:p>
            <w:pPr>
              <w:jc w:val="left"/>
            </w:pPr>
            <w:r>
              <w:rPr>
                <w:color w:val="222222"/>
                <w:sz w:val="18"/>
              </w:rPr>
              <w:t>BMI (kg/m²)</w:t>
            </w:r>
          </w:p>
        </w:tc>
        <w:tc>
          <w:tcPr>
            <w:tcW w:type="dxa" w:w="864"/>
            <w:shd w:fill="F4F7FA"/>
            <w:tcMar>
              <w:top w:w="90" w:type="dxa"/>
              <w:bottom w:w="90" w:type="dxa"/>
              <w:left w:w="140" w:type="dxa"/>
              <w:right w:w="140" w:type="dxa"/>
            </w:tcMar>
          </w:tcPr>
          <w:p>
            <w:pPr>
              <w:jc w:val="left"/>
            </w:pPr>
            <w:r>
              <w:rPr>
                <w:color w:val="222222"/>
                <w:sz w:val="18"/>
              </w:rPr>
              <w:t>22.31</w:t>
            </w:r>
          </w:p>
        </w:tc>
        <w:tc>
          <w:tcPr>
            <w:tcW w:type="dxa" w:w="864"/>
            <w:shd w:fill="F4F7FA"/>
            <w:tcMar>
              <w:top w:w="90" w:type="dxa"/>
              <w:bottom w:w="90" w:type="dxa"/>
              <w:left w:w="140" w:type="dxa"/>
              <w:right w:w="140" w:type="dxa"/>
            </w:tcMar>
          </w:tcPr>
          <w:p>
            <w:pPr>
              <w:jc w:val="left"/>
            </w:pPr>
            <w:r>
              <w:rPr>
                <w:color w:val="222222"/>
                <w:sz w:val="18"/>
              </w:rPr>
              <w:t>4.06</w:t>
            </w:r>
          </w:p>
        </w:tc>
        <w:tc>
          <w:tcPr>
            <w:tcW w:type="dxa" w:w="864"/>
            <w:shd w:fill="F4F7FA"/>
            <w:tcMar>
              <w:top w:w="90" w:type="dxa"/>
              <w:bottom w:w="90" w:type="dxa"/>
              <w:left w:w="140" w:type="dxa"/>
              <w:right w:w="140" w:type="dxa"/>
            </w:tcMar>
          </w:tcPr>
          <w:p>
            <w:pPr>
              <w:jc w:val="left"/>
            </w:pPr>
            <w:r>
              <w:rPr>
                <w:color w:val="222222"/>
                <w:sz w:val="18"/>
              </w:rPr>
              <w:t>10.02</w:t>
            </w:r>
          </w:p>
        </w:tc>
        <w:tc>
          <w:tcPr>
            <w:tcW w:type="dxa" w:w="1008"/>
            <w:shd w:fill="F4F7FA"/>
            <w:tcMar>
              <w:top w:w="90" w:type="dxa"/>
              <w:bottom w:w="90" w:type="dxa"/>
              <w:left w:w="140" w:type="dxa"/>
              <w:right w:w="140" w:type="dxa"/>
            </w:tcMar>
          </w:tcPr>
          <w:p>
            <w:pPr>
              <w:jc w:val="left"/>
            </w:pPr>
            <w:r>
              <w:rPr>
                <w:color w:val="222222"/>
                <w:sz w:val="18"/>
              </w:rPr>
              <w:t>19.53</w:t>
            </w:r>
          </w:p>
        </w:tc>
        <w:tc>
          <w:tcPr>
            <w:tcW w:type="dxa" w:w="1008"/>
            <w:shd w:fill="F4F7FA"/>
            <w:tcMar>
              <w:top w:w="90" w:type="dxa"/>
              <w:bottom w:w="90" w:type="dxa"/>
              <w:left w:w="140" w:type="dxa"/>
              <w:right w:w="140" w:type="dxa"/>
            </w:tcMar>
          </w:tcPr>
          <w:p>
            <w:pPr>
              <w:jc w:val="left"/>
            </w:pPr>
            <w:r>
              <w:rPr>
                <w:color w:val="222222"/>
                <w:sz w:val="18"/>
              </w:rPr>
              <w:t>21.93</w:t>
            </w:r>
          </w:p>
        </w:tc>
        <w:tc>
          <w:tcPr>
            <w:tcW w:type="dxa" w:w="1008"/>
            <w:shd w:fill="F4F7FA"/>
            <w:tcMar>
              <w:top w:w="90" w:type="dxa"/>
              <w:bottom w:w="90" w:type="dxa"/>
              <w:left w:w="140" w:type="dxa"/>
              <w:right w:w="140" w:type="dxa"/>
            </w:tcMar>
          </w:tcPr>
          <w:p>
            <w:pPr>
              <w:jc w:val="left"/>
            </w:pPr>
            <w:r>
              <w:rPr>
                <w:color w:val="222222"/>
                <w:sz w:val="18"/>
              </w:rPr>
              <w:t>24.69</w:t>
            </w:r>
          </w:p>
        </w:tc>
        <w:tc>
          <w:tcPr>
            <w:tcW w:type="dxa" w:w="720"/>
            <w:shd w:fill="F4F7FA"/>
            <w:tcMar>
              <w:top w:w="90" w:type="dxa"/>
              <w:bottom w:w="90" w:type="dxa"/>
              <w:left w:w="140" w:type="dxa"/>
              <w:right w:w="140" w:type="dxa"/>
            </w:tcMar>
          </w:tcPr>
          <w:p>
            <w:pPr>
              <w:jc w:val="left"/>
            </w:pPr>
            <w:r>
              <w:rPr>
                <w:color w:val="222222"/>
                <w:sz w:val="18"/>
              </w:rPr>
              <w:t>45.86</w:t>
            </w:r>
          </w:p>
        </w:tc>
      </w:tr>
      <w:tr>
        <w:tc>
          <w:tcPr>
            <w:tcW w:type="dxa" w:w="3024"/>
            <w:shd w:fill="FFFFFF"/>
            <w:tcMar>
              <w:top w:w="90" w:type="dxa"/>
              <w:bottom w:w="90" w:type="dxa"/>
              <w:left w:w="140" w:type="dxa"/>
              <w:right w:w="140" w:type="dxa"/>
            </w:tcMar>
          </w:tcPr>
          <w:p>
            <w:pPr>
              <w:jc w:val="left"/>
            </w:pPr>
            <w:r>
              <w:rPr>
                <w:color w:val="222222"/>
                <w:sz w:val="18"/>
              </w:rPr>
              <w:t>Systolic BP (mmHg)</w:t>
            </w:r>
          </w:p>
        </w:tc>
        <w:tc>
          <w:tcPr>
            <w:tcW w:type="dxa" w:w="864"/>
            <w:shd w:fill="FFFFFF"/>
            <w:tcMar>
              <w:top w:w="90" w:type="dxa"/>
              <w:bottom w:w="90" w:type="dxa"/>
              <w:left w:w="140" w:type="dxa"/>
              <w:right w:w="140" w:type="dxa"/>
            </w:tcMar>
          </w:tcPr>
          <w:p>
            <w:pPr>
              <w:jc w:val="left"/>
            </w:pPr>
            <w:r>
              <w:rPr>
                <w:color w:val="222222"/>
                <w:sz w:val="18"/>
              </w:rPr>
              <w:t>134.53</w:t>
            </w:r>
          </w:p>
        </w:tc>
        <w:tc>
          <w:tcPr>
            <w:tcW w:type="dxa" w:w="864"/>
            <w:shd w:fill="FFFFFF"/>
            <w:tcMar>
              <w:top w:w="90" w:type="dxa"/>
              <w:bottom w:w="90" w:type="dxa"/>
              <w:left w:w="140" w:type="dxa"/>
              <w:right w:w="140" w:type="dxa"/>
            </w:tcMar>
          </w:tcPr>
          <w:p>
            <w:pPr>
              <w:jc w:val="left"/>
            </w:pPr>
            <w:r>
              <w:rPr>
                <w:color w:val="222222"/>
                <w:sz w:val="18"/>
              </w:rPr>
              <w:t>22.16</w:t>
            </w:r>
          </w:p>
        </w:tc>
        <w:tc>
          <w:tcPr>
            <w:tcW w:type="dxa" w:w="864"/>
            <w:shd w:fill="FFFFFF"/>
            <w:tcMar>
              <w:top w:w="90" w:type="dxa"/>
              <w:bottom w:w="90" w:type="dxa"/>
              <w:left w:w="140" w:type="dxa"/>
              <w:right w:w="140" w:type="dxa"/>
            </w:tcMar>
          </w:tcPr>
          <w:p>
            <w:pPr>
              <w:jc w:val="left"/>
            </w:pPr>
            <w:r>
              <w:rPr>
                <w:color w:val="222222"/>
                <w:sz w:val="18"/>
              </w:rPr>
              <w:t>86.00</w:t>
            </w:r>
          </w:p>
        </w:tc>
        <w:tc>
          <w:tcPr>
            <w:tcW w:type="dxa" w:w="1008"/>
            <w:shd w:fill="FFFFFF"/>
            <w:tcMar>
              <w:top w:w="90" w:type="dxa"/>
              <w:bottom w:w="90" w:type="dxa"/>
              <w:left w:w="140" w:type="dxa"/>
              <w:right w:w="140" w:type="dxa"/>
            </w:tcMar>
          </w:tcPr>
          <w:p>
            <w:pPr>
              <w:jc w:val="left"/>
            </w:pPr>
            <w:r>
              <w:rPr>
                <w:color w:val="222222"/>
                <w:sz w:val="18"/>
              </w:rPr>
              <w:t>120.00</w:t>
            </w:r>
          </w:p>
        </w:tc>
        <w:tc>
          <w:tcPr>
            <w:tcW w:type="dxa" w:w="1008"/>
            <w:shd w:fill="FFFFFF"/>
            <w:tcMar>
              <w:top w:w="90" w:type="dxa"/>
              <w:bottom w:w="90" w:type="dxa"/>
              <w:left w:w="140" w:type="dxa"/>
              <w:right w:w="140" w:type="dxa"/>
            </w:tcMar>
          </w:tcPr>
          <w:p>
            <w:pPr>
              <w:jc w:val="left"/>
            </w:pPr>
            <w:r>
              <w:rPr>
                <w:color w:val="222222"/>
                <w:sz w:val="18"/>
              </w:rPr>
              <w:t>130.00</w:t>
            </w:r>
          </w:p>
        </w:tc>
        <w:tc>
          <w:tcPr>
            <w:tcW w:type="dxa" w:w="1008"/>
            <w:shd w:fill="FFFFFF"/>
            <w:tcMar>
              <w:top w:w="90" w:type="dxa"/>
              <w:bottom w:w="90" w:type="dxa"/>
              <w:left w:w="140" w:type="dxa"/>
              <w:right w:w="140" w:type="dxa"/>
            </w:tcMar>
          </w:tcPr>
          <w:p>
            <w:pPr>
              <w:jc w:val="left"/>
            </w:pPr>
            <w:r>
              <w:rPr>
                <w:color w:val="222222"/>
                <w:sz w:val="18"/>
              </w:rPr>
              <w:t>147.00</w:t>
            </w:r>
          </w:p>
        </w:tc>
        <w:tc>
          <w:tcPr>
            <w:tcW w:type="dxa" w:w="720"/>
            <w:shd w:fill="FFFFFF"/>
            <w:tcMar>
              <w:top w:w="90" w:type="dxa"/>
              <w:bottom w:w="90" w:type="dxa"/>
              <w:left w:w="140" w:type="dxa"/>
              <w:right w:w="140" w:type="dxa"/>
            </w:tcMar>
          </w:tcPr>
          <w:p>
            <w:pPr>
              <w:jc w:val="left"/>
            </w:pPr>
            <w:r>
              <w:rPr>
                <w:color w:val="222222"/>
                <w:sz w:val="18"/>
              </w:rPr>
              <w:t>226.00</w:t>
            </w:r>
          </w:p>
        </w:tc>
      </w:tr>
      <w:tr>
        <w:tc>
          <w:tcPr>
            <w:tcW w:type="dxa" w:w="3024"/>
            <w:shd w:fill="F4F7FA"/>
            <w:tcMar>
              <w:top w:w="90" w:type="dxa"/>
              <w:bottom w:w="90" w:type="dxa"/>
              <w:left w:w="140" w:type="dxa"/>
              <w:right w:w="140" w:type="dxa"/>
            </w:tcMar>
          </w:tcPr>
          <w:p>
            <w:pPr>
              <w:jc w:val="left"/>
            </w:pPr>
            <w:r>
              <w:rPr>
                <w:color w:val="222222"/>
                <w:sz w:val="18"/>
              </w:rPr>
              <w:t>Diastolic BP (mmHg)</w:t>
            </w:r>
          </w:p>
        </w:tc>
        <w:tc>
          <w:tcPr>
            <w:tcW w:type="dxa" w:w="864"/>
            <w:shd w:fill="F4F7FA"/>
            <w:tcMar>
              <w:top w:w="90" w:type="dxa"/>
              <w:bottom w:w="90" w:type="dxa"/>
              <w:left w:w="140" w:type="dxa"/>
              <w:right w:w="140" w:type="dxa"/>
            </w:tcMar>
          </w:tcPr>
          <w:p>
            <w:pPr>
              <w:jc w:val="left"/>
            </w:pPr>
            <w:r>
              <w:rPr>
                <w:color w:val="222222"/>
                <w:sz w:val="18"/>
              </w:rPr>
              <w:t>82.07</w:t>
            </w:r>
          </w:p>
        </w:tc>
        <w:tc>
          <w:tcPr>
            <w:tcW w:type="dxa" w:w="864"/>
            <w:shd w:fill="F4F7FA"/>
            <w:tcMar>
              <w:top w:w="90" w:type="dxa"/>
              <w:bottom w:w="90" w:type="dxa"/>
              <w:left w:w="140" w:type="dxa"/>
              <w:right w:w="140" w:type="dxa"/>
            </w:tcMar>
          </w:tcPr>
          <w:p>
            <w:pPr>
              <w:jc w:val="left"/>
            </w:pPr>
            <w:r>
              <w:rPr>
                <w:color w:val="222222"/>
                <w:sz w:val="18"/>
              </w:rPr>
              <w:t>12.54</w:t>
            </w:r>
          </w:p>
        </w:tc>
        <w:tc>
          <w:tcPr>
            <w:tcW w:type="dxa" w:w="864"/>
            <w:shd w:fill="F4F7FA"/>
            <w:tcMar>
              <w:top w:w="90" w:type="dxa"/>
              <w:bottom w:w="90" w:type="dxa"/>
              <w:left w:w="140" w:type="dxa"/>
              <w:right w:w="140" w:type="dxa"/>
            </w:tcMar>
          </w:tcPr>
          <w:p>
            <w:pPr>
              <w:jc w:val="left"/>
            </w:pPr>
            <w:r>
              <w:rPr>
                <w:color w:val="222222"/>
                <w:sz w:val="18"/>
              </w:rPr>
              <w:t>51.00</w:t>
            </w:r>
          </w:p>
        </w:tc>
        <w:tc>
          <w:tcPr>
            <w:tcW w:type="dxa" w:w="1008"/>
            <w:shd w:fill="F4F7FA"/>
            <w:tcMar>
              <w:top w:w="90" w:type="dxa"/>
              <w:bottom w:w="90" w:type="dxa"/>
              <w:left w:w="140" w:type="dxa"/>
              <w:right w:w="140" w:type="dxa"/>
            </w:tcMar>
          </w:tcPr>
          <w:p>
            <w:pPr>
              <w:jc w:val="left"/>
            </w:pPr>
            <w:r>
              <w:rPr>
                <w:color w:val="222222"/>
                <w:sz w:val="18"/>
              </w:rPr>
              <w:t>73.00</w:t>
            </w:r>
          </w:p>
        </w:tc>
        <w:tc>
          <w:tcPr>
            <w:tcW w:type="dxa" w:w="1008"/>
            <w:shd w:fill="F4F7FA"/>
            <w:tcMar>
              <w:top w:w="90" w:type="dxa"/>
              <w:bottom w:w="90" w:type="dxa"/>
              <w:left w:w="140" w:type="dxa"/>
              <w:right w:w="140" w:type="dxa"/>
            </w:tcMar>
          </w:tcPr>
          <w:p>
            <w:pPr>
              <w:jc w:val="left"/>
            </w:pPr>
            <w:r>
              <w:rPr>
                <w:color w:val="222222"/>
                <w:sz w:val="18"/>
              </w:rPr>
              <w:t>81.00</w:t>
            </w:r>
          </w:p>
        </w:tc>
        <w:tc>
          <w:tcPr>
            <w:tcW w:type="dxa" w:w="1008"/>
            <w:shd w:fill="F4F7FA"/>
            <w:tcMar>
              <w:top w:w="90" w:type="dxa"/>
              <w:bottom w:w="90" w:type="dxa"/>
              <w:left w:w="140" w:type="dxa"/>
              <w:right w:w="140" w:type="dxa"/>
            </w:tcMar>
          </w:tcPr>
          <w:p>
            <w:pPr>
              <w:jc w:val="left"/>
            </w:pPr>
            <w:r>
              <w:rPr>
                <w:color w:val="222222"/>
                <w:sz w:val="18"/>
              </w:rPr>
              <w:t>90.00</w:t>
            </w:r>
          </w:p>
        </w:tc>
        <w:tc>
          <w:tcPr>
            <w:tcW w:type="dxa" w:w="720"/>
            <w:shd w:fill="F4F7FA"/>
            <w:tcMar>
              <w:top w:w="90" w:type="dxa"/>
              <w:bottom w:w="90" w:type="dxa"/>
              <w:left w:w="140" w:type="dxa"/>
              <w:right w:w="140" w:type="dxa"/>
            </w:tcMar>
          </w:tcPr>
          <w:p>
            <w:pPr>
              <w:jc w:val="left"/>
            </w:pPr>
            <w:r>
              <w:rPr>
                <w:color w:val="222222"/>
                <w:sz w:val="18"/>
              </w:rPr>
              <w:t>119.00</w:t>
            </w:r>
          </w:p>
        </w:tc>
      </w:tr>
      <w:tr>
        <w:tc>
          <w:tcPr>
            <w:tcW w:type="dxa" w:w="3024"/>
            <w:shd w:fill="FFFFFF"/>
            <w:tcMar>
              <w:top w:w="90" w:type="dxa"/>
              <w:bottom w:w="90" w:type="dxa"/>
              <w:left w:w="140" w:type="dxa"/>
              <w:right w:w="140" w:type="dxa"/>
            </w:tcMar>
          </w:tcPr>
          <w:p>
            <w:pPr>
              <w:jc w:val="left"/>
            </w:pPr>
            <w:r>
              <w:rPr>
                <w:color w:val="222222"/>
                <w:sz w:val="18"/>
              </w:rPr>
              <w:t>HbA1c (%)</w:t>
            </w:r>
          </w:p>
        </w:tc>
        <w:tc>
          <w:tcPr>
            <w:tcW w:type="dxa" w:w="864"/>
            <w:shd w:fill="FFFFFF"/>
            <w:tcMar>
              <w:top w:w="90" w:type="dxa"/>
              <w:bottom w:w="90" w:type="dxa"/>
              <w:left w:w="140" w:type="dxa"/>
              <w:right w:w="140" w:type="dxa"/>
            </w:tcMar>
          </w:tcPr>
          <w:p>
            <w:pPr>
              <w:jc w:val="left"/>
            </w:pPr>
            <w:r>
              <w:rPr>
                <w:color w:val="222222"/>
                <w:sz w:val="18"/>
              </w:rPr>
              <w:t>6.05</w:t>
            </w:r>
          </w:p>
        </w:tc>
        <w:tc>
          <w:tcPr>
            <w:tcW w:type="dxa" w:w="864"/>
            <w:shd w:fill="FFFFFF"/>
            <w:tcMar>
              <w:top w:w="90" w:type="dxa"/>
              <w:bottom w:w="90" w:type="dxa"/>
              <w:left w:w="140" w:type="dxa"/>
              <w:right w:w="140" w:type="dxa"/>
            </w:tcMar>
          </w:tcPr>
          <w:p>
            <w:pPr>
              <w:jc w:val="left"/>
            </w:pPr>
            <w:r>
              <w:rPr>
                <w:color w:val="222222"/>
                <w:sz w:val="18"/>
              </w:rPr>
              <w:t>1.14</w:t>
            </w:r>
          </w:p>
        </w:tc>
        <w:tc>
          <w:tcPr>
            <w:tcW w:type="dxa" w:w="864"/>
            <w:shd w:fill="FFFFFF"/>
            <w:tcMar>
              <w:top w:w="90" w:type="dxa"/>
              <w:bottom w:w="90" w:type="dxa"/>
              <w:left w:w="140" w:type="dxa"/>
              <w:right w:w="140" w:type="dxa"/>
            </w:tcMar>
          </w:tcPr>
          <w:p>
            <w:pPr>
              <w:jc w:val="left"/>
            </w:pPr>
            <w:r>
              <w:rPr>
                <w:color w:val="222222"/>
                <w:sz w:val="18"/>
              </w:rPr>
              <w:t>4.50</w:t>
            </w:r>
          </w:p>
        </w:tc>
        <w:tc>
          <w:tcPr>
            <w:tcW w:type="dxa" w:w="1008"/>
            <w:shd w:fill="FFFFFF"/>
            <w:tcMar>
              <w:top w:w="90" w:type="dxa"/>
              <w:bottom w:w="90" w:type="dxa"/>
              <w:left w:w="140" w:type="dxa"/>
              <w:right w:w="140" w:type="dxa"/>
            </w:tcMar>
          </w:tcPr>
          <w:p>
            <w:pPr>
              <w:jc w:val="left"/>
            </w:pPr>
            <w:r>
              <w:rPr>
                <w:color w:val="222222"/>
                <w:sz w:val="18"/>
              </w:rPr>
              <w:t>5.12</w:t>
            </w:r>
          </w:p>
        </w:tc>
        <w:tc>
          <w:tcPr>
            <w:tcW w:type="dxa" w:w="1008"/>
            <w:shd w:fill="FFFFFF"/>
            <w:tcMar>
              <w:top w:w="90" w:type="dxa"/>
              <w:bottom w:w="90" w:type="dxa"/>
              <w:left w:w="140" w:type="dxa"/>
              <w:right w:w="140" w:type="dxa"/>
            </w:tcMar>
          </w:tcPr>
          <w:p>
            <w:pPr>
              <w:jc w:val="left"/>
            </w:pPr>
            <w:r>
              <w:rPr>
                <w:color w:val="222222"/>
                <w:sz w:val="18"/>
              </w:rPr>
              <w:t>5.90</w:t>
            </w:r>
          </w:p>
        </w:tc>
        <w:tc>
          <w:tcPr>
            <w:tcW w:type="dxa" w:w="1008"/>
            <w:shd w:fill="FFFFFF"/>
            <w:tcMar>
              <w:top w:w="90" w:type="dxa"/>
              <w:bottom w:w="90" w:type="dxa"/>
              <w:left w:w="140" w:type="dxa"/>
              <w:right w:w="140" w:type="dxa"/>
            </w:tcMar>
          </w:tcPr>
          <w:p>
            <w:pPr>
              <w:jc w:val="left"/>
            </w:pPr>
            <w:r>
              <w:rPr>
                <w:color w:val="222222"/>
                <w:sz w:val="18"/>
              </w:rPr>
              <w:t>6.40</w:t>
            </w:r>
          </w:p>
        </w:tc>
        <w:tc>
          <w:tcPr>
            <w:tcW w:type="dxa" w:w="720"/>
            <w:shd w:fill="FFFFFF"/>
            <w:tcMar>
              <w:top w:w="90" w:type="dxa"/>
              <w:bottom w:w="90" w:type="dxa"/>
              <w:left w:w="140" w:type="dxa"/>
              <w:right w:w="140" w:type="dxa"/>
            </w:tcMar>
          </w:tcPr>
          <w:p>
            <w:pPr>
              <w:jc w:val="left"/>
            </w:pPr>
            <w:r>
              <w:rPr>
                <w:color w:val="222222"/>
                <w:sz w:val="18"/>
              </w:rPr>
              <w:t>9.00</w:t>
            </w:r>
          </w:p>
        </w:tc>
      </w:tr>
    </w:tbl>
    <w:p/>
    <w:p>
      <w:pPr>
        <w:keepNext/>
        <w:spacing w:before="280" w:after="120"/>
      </w:pPr>
      <w:r>
        <w:rPr>
          <w:rFonts w:ascii="Arial" w:hAnsi="Arial"/>
          <w:b/>
          <w:color w:val="2B547E"/>
          <w:sz w:val="27"/>
        </w:rPr>
        <w:t>3.2 Class Balance &amp; Prevalence</w:t>
      </w:r>
    </w:p>
    <w:p>
      <w:r>
        <w:t>The target distribution reflects real-world clinical screening populations, with 817 Low Risk patients (43.05%), 608 Medium Risk pre-diabetic patients (32.03%), and 473 High Risk diabetic patients (24.92%). To prevent majority-class bias during neural optimization, balanced inverse-frequency class weighting was computed and applied to the loss criterion.</w:t>
      </w:r>
    </w:p>
    <w:p>
      <w:pPr>
        <w:spacing w:before="160" w:after="80"/>
        <w:jc w:val="center"/>
      </w:pPr>
      <w:r>
        <w:drawing>
          <wp:inline xmlns:a="http://schemas.openxmlformats.org/drawingml/2006/main" xmlns:pic="http://schemas.openxmlformats.org/drawingml/2006/picture">
            <wp:extent cx="5669280" cy="4454434"/>
            <wp:docPr id="2" name="Picture 2"/>
            <wp:cNvGraphicFramePr>
              <a:graphicFrameLocks noChangeAspect="1"/>
            </wp:cNvGraphicFramePr>
            <a:graphic>
              <a:graphicData uri="http://schemas.openxmlformats.org/drawingml/2006/picture">
                <pic:pic>
                  <pic:nvPicPr>
                    <pic:cNvPr id="0" name="fig1_dataset_distributions.png"/>
                    <pic:cNvPicPr/>
                  </pic:nvPicPr>
                  <pic:blipFill>
                    <a:blip r:embed="rId12"/>
                    <a:stretch>
                      <a:fillRect/>
                    </a:stretch>
                  </pic:blipFill>
                  <pic:spPr>
                    <a:xfrm>
                      <a:off x="0" y="0"/>
                      <a:ext cx="5669280" cy="4454434"/>
                    </a:xfrm>
                    <a:prstGeom prst="rect"/>
                  </pic:spPr>
                </pic:pic>
              </a:graphicData>
            </a:graphic>
          </wp:inline>
        </w:drawing>
      </w:r>
    </w:p>
    <w:p>
      <w:pPr>
        <w:spacing w:after="240"/>
        <w:jc w:val="center"/>
      </w:pPr>
      <w:r>
        <w:rPr>
          <w:i/>
          <w:color w:val="64748B"/>
          <w:sz w:val="18"/>
        </w:rPr>
        <w:t>Figure 3.1: Dataset Exploration — (A) Target Class Distribution, (B) HbA1c Stratification, (C) Fasting Blood Glucose, (D) Age vs. BMI.</w:t>
      </w:r>
    </w:p>
    <w:p>
      <w:pPr>
        <w:keepNext/>
        <w:spacing w:before="360" w:after="160"/>
      </w:pPr>
      <w:r>
        <w:rPr>
          <w:rFonts w:ascii="Arial" w:hAnsi="Arial"/>
          <w:b/>
          <w:color w:val="1B365D"/>
          <w:sz w:val="36"/>
        </w:rPr>
        <w:t>Chapter 4: Advanced Clinical Feature Engineering</w:t>
      </w:r>
    </w:p>
    <w:p>
      <w:r>
        <w:t>A hallmark of clinical machine learning superiority is domain-informed feature synthesis. While raw physiological parameters provide isolated snapshots, their physiological ratios and compound indices expose underlying hemodynamic stress and metabolic dysregulation. Four engineered biomarkers were derived and integrated into the feature pipeline:</w:t>
      </w:r>
    </w:p>
    <w:p>
      <w:pPr>
        <w:keepNext/>
        <w:spacing w:before="280" w:after="120"/>
      </w:pPr>
      <w:r>
        <w:rPr>
          <w:rFonts w:ascii="Arial" w:hAnsi="Arial"/>
          <w:b/>
          <w:color w:val="2B547E"/>
          <w:sz w:val="27"/>
        </w:rPr>
        <w:t>4.1 Mathematical Derivations of Engineered Biomarkers</w:t>
      </w:r>
    </w:p>
    <w:p>
      <w:r>
        <w:t>1. Mean Arterial Pressure (MAP):</w:t>
        <w:br/>
        <w:t>Represents the average perfusion pressure in the patient's arterial system during a single cardiac cycle. Because diastole accounts for approximately two-thirds of the cardiac cycle at normal heart rates, MAP is formulated as:</w:t>
      </w:r>
    </w:p>
    <w:p>
      <w:r>
        <w:rPr>
          <w:b/>
          <w:color w:val="1B365D"/>
        </w:rPr>
        <w:t>MAP = Diastolic BP + (Systolic BP - Diastolic BP) / 3.0</w:t>
      </w:r>
    </w:p>
    <w:p>
      <w:r>
        <w:t>2. Pulse Pressure (PP):</w:t>
        <w:br/>
        <w:t>The difference between systolic and diastolic blood pressure. Widening pulse pressure (&gt; 60 mmHg) is an independent marker of aortic stiffness, microvascular endothelial dysfunction, and accelerated vascular aging:</w:t>
      </w:r>
    </w:p>
    <w:p>
      <w:r>
        <w:rPr>
          <w:b/>
          <w:color w:val="1B365D"/>
        </w:rPr>
        <w:t>Pulse Pressure = Systolic BP - Diastolic BP</w:t>
      </w:r>
    </w:p>
    <w:p>
      <w:r>
        <w:t>3. Glucose-to-HbA1c Ratio:</w:t>
        <w:br/>
        <w:t>Normalizes acute circulating blood glucose against chronic three-month glycated hemoglobin. Disproportionate spikes in this ratio reveal acute glycemic instability, postprandial glycemic excursions, or early hepatic gluconeogenesis breakdown:</w:t>
      </w:r>
    </w:p>
    <w:p>
      <w:r>
        <w:rPr>
          <w:b/>
          <w:color w:val="1B365D"/>
        </w:rPr>
        <w:t>Glucose-HbA1c Ratio = Glucose / (HbA1c + 10⁻⁵)</w:t>
      </w:r>
    </w:p>
    <w:p>
      <w:r>
        <w:t>4. Metabolic Risk Index:</w:t>
        <w:br/>
        <w:t>Captures the compound interaction between cumulative age and excess adiposity (BMI), reflecting duration of adiposity-induced insulin resistance:</w:t>
      </w:r>
    </w:p>
    <w:p>
      <w:r>
        <w:rPr>
          <w:b/>
          <w:color w:val="1B365D"/>
        </w:rPr>
        <w:t>Metabolic Risk Index = (BMI × Age) / 100.0</w:t>
      </w:r>
    </w:p>
    <w:p>
      <w:pPr>
        <w:keepNext/>
        <w:spacing w:before="280" w:after="120"/>
      </w:pPr>
      <w:r>
        <w:rPr>
          <w:rFonts w:ascii="Arial" w:hAnsi="Arial"/>
          <w:b/>
          <w:color w:val="2B547E"/>
          <w:sz w:val="27"/>
        </w:rPr>
        <w:t>4.2 Feature Normalization &amp; Scaler Parameters</w:t>
      </w:r>
    </w:p>
    <w:p>
      <w:r>
        <w:t>To prevent feature dominance by high-magnitude variables (e.g. Glucose vs Height), all 13 features were normalized using StandardScaler (z-score normalization: z = (x - μ) / σ). The scaler was fitted strictly on the training partition (70%) and serialized to deep_model_scaler.pkl to prevent data leakage during out-of-sample inference.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576"/>
            <w:shd w:fill="1B365D"/>
            <w:tcMar>
              <w:top w:w="120" w:type="dxa"/>
              <w:bottom w:w="120" w:type="dxa"/>
              <w:left w:w="140" w:type="dxa"/>
              <w:right w:w="140" w:type="dxa"/>
            </w:tcMar>
          </w:tcPr>
          <w:p>
            <w:pPr>
              <w:jc w:val="left"/>
            </w:pPr>
            <w:r>
              <w:rPr>
                <w:b/>
                <w:color w:val="FFFFFF"/>
                <w:sz w:val="19"/>
              </w:rPr>
              <w:t>#</w:t>
            </w:r>
          </w:p>
        </w:tc>
        <w:tc>
          <w:tcPr>
            <w:tcW w:type="dxa" w:w="2592"/>
            <w:shd w:fill="1B365D"/>
            <w:tcMar>
              <w:top w:w="120" w:type="dxa"/>
              <w:bottom w:w="120" w:type="dxa"/>
              <w:left w:w="140" w:type="dxa"/>
              <w:right w:w="140" w:type="dxa"/>
            </w:tcMar>
          </w:tcPr>
          <w:p>
            <w:pPr>
              <w:jc w:val="left"/>
            </w:pPr>
            <w:r>
              <w:rPr>
                <w:b/>
                <w:color w:val="FFFFFF"/>
                <w:sz w:val="19"/>
              </w:rPr>
              <w:t>Feature Key</w:t>
            </w:r>
          </w:p>
        </w:tc>
        <w:tc>
          <w:tcPr>
            <w:tcW w:type="dxa" w:w="2592"/>
            <w:shd w:fill="1B365D"/>
            <w:tcMar>
              <w:top w:w="120" w:type="dxa"/>
              <w:bottom w:w="120" w:type="dxa"/>
              <w:left w:w="140" w:type="dxa"/>
              <w:right w:w="140" w:type="dxa"/>
            </w:tcMar>
          </w:tcPr>
          <w:p>
            <w:pPr>
              <w:jc w:val="left"/>
            </w:pPr>
            <w:r>
              <w:rPr>
                <w:b/>
                <w:color w:val="FFFFFF"/>
                <w:sz w:val="19"/>
              </w:rPr>
              <w:t>Clinical Description</w:t>
            </w:r>
          </w:p>
        </w:tc>
        <w:tc>
          <w:tcPr>
            <w:tcW w:type="dxa" w:w="1008"/>
            <w:shd w:fill="1B365D"/>
            <w:tcMar>
              <w:top w:w="120" w:type="dxa"/>
              <w:bottom w:w="120" w:type="dxa"/>
              <w:left w:w="140" w:type="dxa"/>
              <w:right w:w="140" w:type="dxa"/>
            </w:tcMar>
          </w:tcPr>
          <w:p>
            <w:pPr>
              <w:jc w:val="left"/>
            </w:pPr>
            <w:r>
              <w:rPr>
                <w:b/>
                <w:color w:val="FFFFFF"/>
                <w:sz w:val="19"/>
              </w:rPr>
              <w:t>Mean (μ)</w:t>
            </w:r>
          </w:p>
        </w:tc>
        <w:tc>
          <w:tcPr>
            <w:tcW w:type="dxa" w:w="1008"/>
            <w:shd w:fill="1B365D"/>
            <w:tcMar>
              <w:top w:w="120" w:type="dxa"/>
              <w:bottom w:w="120" w:type="dxa"/>
              <w:left w:w="140" w:type="dxa"/>
              <w:right w:w="140" w:type="dxa"/>
            </w:tcMar>
          </w:tcPr>
          <w:p>
            <w:pPr>
              <w:jc w:val="left"/>
            </w:pPr>
            <w:r>
              <w:rPr>
                <w:b/>
                <w:color w:val="FFFFFF"/>
                <w:sz w:val="19"/>
              </w:rPr>
              <w:t>Std (σ)</w:t>
            </w:r>
          </w:p>
        </w:tc>
        <w:tc>
          <w:tcPr>
            <w:tcW w:type="dxa" w:w="1584"/>
            <w:shd w:fill="1B365D"/>
            <w:tcMar>
              <w:top w:w="120" w:type="dxa"/>
              <w:bottom w:w="120" w:type="dxa"/>
              <w:left w:w="140" w:type="dxa"/>
              <w:right w:w="140" w:type="dxa"/>
            </w:tcMar>
          </w:tcPr>
          <w:p>
            <w:pPr>
              <w:jc w:val="left"/>
            </w:pPr>
            <w:r>
              <w:rPr>
                <w:b/>
                <w:color w:val="FFFFFF"/>
                <w:sz w:val="19"/>
              </w:rPr>
              <w:t>Clinical Rationale</w:t>
            </w:r>
          </w:p>
        </w:tc>
      </w:tr>
      <w:tr>
        <w:tc>
          <w:tcPr>
            <w:tcW w:type="dxa" w:w="576"/>
            <w:shd w:fill="FFFFFF"/>
            <w:tcMar>
              <w:top w:w="90" w:type="dxa"/>
              <w:bottom w:w="90" w:type="dxa"/>
              <w:left w:w="140" w:type="dxa"/>
              <w:right w:w="140" w:type="dxa"/>
            </w:tcMar>
          </w:tcPr>
          <w:p>
            <w:pPr>
              <w:jc w:val="left"/>
            </w:pPr>
            <w:r>
              <w:rPr>
                <w:color w:val="222222"/>
                <w:sz w:val="18"/>
              </w:rPr>
              <w:t>1</w:t>
            </w:r>
          </w:p>
        </w:tc>
        <w:tc>
          <w:tcPr>
            <w:tcW w:type="dxa" w:w="2592"/>
            <w:shd w:fill="FFFFFF"/>
            <w:tcMar>
              <w:top w:w="90" w:type="dxa"/>
              <w:bottom w:w="90" w:type="dxa"/>
              <w:left w:w="140" w:type="dxa"/>
              <w:right w:w="140" w:type="dxa"/>
            </w:tcMar>
          </w:tcPr>
          <w:p>
            <w:pPr>
              <w:jc w:val="left"/>
            </w:pPr>
            <w:r>
              <w:rPr>
                <w:color w:val="222222"/>
                <w:sz w:val="18"/>
              </w:rPr>
              <w:t>Age</w:t>
            </w:r>
          </w:p>
        </w:tc>
        <w:tc>
          <w:tcPr>
            <w:tcW w:type="dxa" w:w="2592"/>
            <w:shd w:fill="FFFFFF"/>
            <w:tcMar>
              <w:top w:w="90" w:type="dxa"/>
              <w:bottom w:w="90" w:type="dxa"/>
              <w:left w:w="140" w:type="dxa"/>
              <w:right w:w="140" w:type="dxa"/>
            </w:tcMar>
          </w:tcPr>
          <w:p>
            <w:pPr>
              <w:jc w:val="left"/>
            </w:pPr>
            <w:r>
              <w:rPr>
                <w:color w:val="222222"/>
                <w:sz w:val="18"/>
              </w:rPr>
              <w:t>Patient chronological age (years)</w:t>
            </w:r>
          </w:p>
        </w:tc>
        <w:tc>
          <w:tcPr>
            <w:tcW w:type="dxa" w:w="1008"/>
            <w:shd w:fill="FFFFFF"/>
            <w:tcMar>
              <w:top w:w="90" w:type="dxa"/>
              <w:bottom w:w="90" w:type="dxa"/>
              <w:left w:w="140" w:type="dxa"/>
              <w:right w:w="140" w:type="dxa"/>
            </w:tcMar>
          </w:tcPr>
          <w:p>
            <w:pPr>
              <w:jc w:val="left"/>
            </w:pPr>
            <w:r>
              <w:rPr>
                <w:color w:val="222222"/>
                <w:sz w:val="18"/>
              </w:rPr>
              <w:t>46.39</w:t>
            </w:r>
          </w:p>
        </w:tc>
        <w:tc>
          <w:tcPr>
            <w:tcW w:type="dxa" w:w="1008"/>
            <w:shd w:fill="FFFFFF"/>
            <w:tcMar>
              <w:top w:w="90" w:type="dxa"/>
              <w:bottom w:w="90" w:type="dxa"/>
              <w:left w:w="140" w:type="dxa"/>
              <w:right w:w="140" w:type="dxa"/>
            </w:tcMar>
          </w:tcPr>
          <w:p>
            <w:pPr>
              <w:jc w:val="left"/>
            </w:pPr>
            <w:r>
              <w:rPr>
                <w:color w:val="222222"/>
                <w:sz w:val="18"/>
              </w:rPr>
              <w:t>13.42</w:t>
            </w:r>
          </w:p>
        </w:tc>
        <w:tc>
          <w:tcPr>
            <w:tcW w:type="dxa" w:w="1584"/>
            <w:shd w:fill="FFFFFF"/>
            <w:tcMar>
              <w:top w:w="90" w:type="dxa"/>
              <w:bottom w:w="90" w:type="dxa"/>
              <w:left w:w="140" w:type="dxa"/>
              <w:right w:w="140" w:type="dxa"/>
            </w:tcMar>
          </w:tcPr>
          <w:p>
            <w:pPr>
              <w:jc w:val="left"/>
            </w:pPr>
            <w:r>
              <w:rPr>
                <w:color w:val="222222"/>
                <w:sz w:val="18"/>
              </w:rPr>
              <w:t>Demographic vulnerability</w:t>
            </w:r>
          </w:p>
        </w:tc>
      </w:tr>
      <w:tr>
        <w:tc>
          <w:tcPr>
            <w:tcW w:type="dxa" w:w="576"/>
            <w:shd w:fill="F4F7FA"/>
            <w:tcMar>
              <w:top w:w="90" w:type="dxa"/>
              <w:bottom w:w="90" w:type="dxa"/>
              <w:left w:w="140" w:type="dxa"/>
              <w:right w:w="140" w:type="dxa"/>
            </w:tcMar>
          </w:tcPr>
          <w:p>
            <w:pPr>
              <w:jc w:val="left"/>
            </w:pPr>
            <w:r>
              <w:rPr>
                <w:color w:val="222222"/>
                <w:sz w:val="18"/>
              </w:rPr>
              <w:t>2</w:t>
            </w:r>
          </w:p>
        </w:tc>
        <w:tc>
          <w:tcPr>
            <w:tcW w:type="dxa" w:w="2592"/>
            <w:shd w:fill="F4F7FA"/>
            <w:tcMar>
              <w:top w:w="90" w:type="dxa"/>
              <w:bottom w:w="90" w:type="dxa"/>
              <w:left w:w="140" w:type="dxa"/>
              <w:right w:w="140" w:type="dxa"/>
            </w:tcMar>
          </w:tcPr>
          <w:p>
            <w:pPr>
              <w:jc w:val="left"/>
            </w:pPr>
            <w:r>
              <w:rPr>
                <w:color w:val="222222"/>
                <w:sz w:val="18"/>
              </w:rPr>
              <w:t>gender</w:t>
            </w:r>
          </w:p>
        </w:tc>
        <w:tc>
          <w:tcPr>
            <w:tcW w:type="dxa" w:w="2592"/>
            <w:shd w:fill="F4F7FA"/>
            <w:tcMar>
              <w:top w:w="90" w:type="dxa"/>
              <w:bottom w:w="90" w:type="dxa"/>
              <w:left w:w="140" w:type="dxa"/>
              <w:right w:w="140" w:type="dxa"/>
            </w:tcMar>
          </w:tcPr>
          <w:p>
            <w:pPr>
              <w:jc w:val="left"/>
            </w:pPr>
            <w:r>
              <w:rPr>
                <w:color w:val="222222"/>
                <w:sz w:val="18"/>
              </w:rPr>
              <w:t>Binary encoding (Male=1, Female=0)</w:t>
            </w:r>
          </w:p>
        </w:tc>
        <w:tc>
          <w:tcPr>
            <w:tcW w:type="dxa" w:w="1008"/>
            <w:shd w:fill="F4F7FA"/>
            <w:tcMar>
              <w:top w:w="90" w:type="dxa"/>
              <w:bottom w:w="90" w:type="dxa"/>
              <w:left w:w="140" w:type="dxa"/>
              <w:right w:w="140" w:type="dxa"/>
            </w:tcMar>
          </w:tcPr>
          <w:p>
            <w:pPr>
              <w:jc w:val="left"/>
            </w:pPr>
            <w:r>
              <w:rPr>
                <w:color w:val="222222"/>
                <w:sz w:val="18"/>
              </w:rPr>
              <w:t>0.37</w:t>
            </w:r>
          </w:p>
        </w:tc>
        <w:tc>
          <w:tcPr>
            <w:tcW w:type="dxa" w:w="1008"/>
            <w:shd w:fill="F4F7FA"/>
            <w:tcMar>
              <w:top w:w="90" w:type="dxa"/>
              <w:bottom w:w="90" w:type="dxa"/>
              <w:left w:w="140" w:type="dxa"/>
              <w:right w:w="140" w:type="dxa"/>
            </w:tcMar>
          </w:tcPr>
          <w:p>
            <w:pPr>
              <w:jc w:val="left"/>
            </w:pPr>
            <w:r>
              <w:rPr>
                <w:color w:val="222222"/>
                <w:sz w:val="18"/>
              </w:rPr>
              <w:t>0.48</w:t>
            </w:r>
          </w:p>
        </w:tc>
        <w:tc>
          <w:tcPr>
            <w:tcW w:type="dxa" w:w="1584"/>
            <w:shd w:fill="F4F7FA"/>
            <w:tcMar>
              <w:top w:w="90" w:type="dxa"/>
              <w:bottom w:w="90" w:type="dxa"/>
              <w:left w:w="140" w:type="dxa"/>
              <w:right w:w="140" w:type="dxa"/>
            </w:tcMar>
          </w:tcPr>
          <w:p>
            <w:pPr>
              <w:jc w:val="left"/>
            </w:pPr>
            <w:r>
              <w:rPr>
                <w:color w:val="222222"/>
                <w:sz w:val="18"/>
              </w:rPr>
              <w:t>Hormonal &amp; risk baseline</w:t>
            </w:r>
          </w:p>
        </w:tc>
      </w:tr>
      <w:tr>
        <w:tc>
          <w:tcPr>
            <w:tcW w:type="dxa" w:w="576"/>
            <w:shd w:fill="FFFFFF"/>
            <w:tcMar>
              <w:top w:w="90" w:type="dxa"/>
              <w:bottom w:w="90" w:type="dxa"/>
              <w:left w:w="140" w:type="dxa"/>
              <w:right w:w="140" w:type="dxa"/>
            </w:tcMar>
          </w:tcPr>
          <w:p>
            <w:pPr>
              <w:jc w:val="left"/>
            </w:pPr>
            <w:r>
              <w:rPr>
                <w:color w:val="222222"/>
                <w:sz w:val="18"/>
              </w:rPr>
              <w:t>3</w:t>
            </w:r>
          </w:p>
        </w:tc>
        <w:tc>
          <w:tcPr>
            <w:tcW w:type="dxa" w:w="2592"/>
            <w:shd w:fill="FFFFFF"/>
            <w:tcMar>
              <w:top w:w="90" w:type="dxa"/>
              <w:bottom w:w="90" w:type="dxa"/>
              <w:left w:w="140" w:type="dxa"/>
              <w:right w:w="140" w:type="dxa"/>
            </w:tcMar>
          </w:tcPr>
          <w:p>
            <w:pPr>
              <w:jc w:val="left"/>
            </w:pPr>
            <w:r>
              <w:rPr>
                <w:color w:val="222222"/>
                <w:sz w:val="18"/>
              </w:rPr>
              <w:t>Glucose</w:t>
            </w:r>
          </w:p>
        </w:tc>
        <w:tc>
          <w:tcPr>
            <w:tcW w:type="dxa" w:w="2592"/>
            <w:shd w:fill="FFFFFF"/>
            <w:tcMar>
              <w:top w:w="90" w:type="dxa"/>
              <w:bottom w:w="90" w:type="dxa"/>
              <w:left w:w="140" w:type="dxa"/>
              <w:right w:w="140" w:type="dxa"/>
            </w:tcMar>
          </w:tcPr>
          <w:p>
            <w:pPr>
              <w:jc w:val="left"/>
            </w:pPr>
            <w:r>
              <w:rPr>
                <w:color w:val="222222"/>
                <w:sz w:val="18"/>
              </w:rPr>
              <w:t>Fasting blood glucose (mg/dL)</w:t>
            </w:r>
          </w:p>
        </w:tc>
        <w:tc>
          <w:tcPr>
            <w:tcW w:type="dxa" w:w="1008"/>
            <w:shd w:fill="FFFFFF"/>
            <w:tcMar>
              <w:top w:w="90" w:type="dxa"/>
              <w:bottom w:w="90" w:type="dxa"/>
              <w:left w:w="140" w:type="dxa"/>
              <w:right w:w="140" w:type="dxa"/>
            </w:tcMar>
          </w:tcPr>
          <w:p>
            <w:pPr>
              <w:jc w:val="left"/>
            </w:pPr>
            <w:r>
              <w:rPr>
                <w:color w:val="222222"/>
                <w:sz w:val="18"/>
              </w:rPr>
              <w:t>137.18</w:t>
            </w:r>
          </w:p>
        </w:tc>
        <w:tc>
          <w:tcPr>
            <w:tcW w:type="dxa" w:w="1008"/>
            <w:shd w:fill="FFFFFF"/>
            <w:tcMar>
              <w:top w:w="90" w:type="dxa"/>
              <w:bottom w:w="90" w:type="dxa"/>
              <w:left w:w="140" w:type="dxa"/>
              <w:right w:w="140" w:type="dxa"/>
            </w:tcMar>
          </w:tcPr>
          <w:p>
            <w:pPr>
              <w:jc w:val="left"/>
            </w:pPr>
            <w:r>
              <w:rPr>
                <w:color w:val="222222"/>
                <w:sz w:val="18"/>
              </w:rPr>
              <w:t>55.51</w:t>
            </w:r>
          </w:p>
        </w:tc>
        <w:tc>
          <w:tcPr>
            <w:tcW w:type="dxa" w:w="1584"/>
            <w:shd w:fill="FFFFFF"/>
            <w:tcMar>
              <w:top w:w="90" w:type="dxa"/>
              <w:bottom w:w="90" w:type="dxa"/>
              <w:left w:w="140" w:type="dxa"/>
              <w:right w:w="140" w:type="dxa"/>
            </w:tcMar>
          </w:tcPr>
          <w:p>
            <w:pPr>
              <w:jc w:val="left"/>
            </w:pPr>
            <w:r>
              <w:rPr>
                <w:color w:val="222222"/>
                <w:sz w:val="18"/>
              </w:rPr>
              <w:t>Acute glycemic biomarker</w:t>
            </w:r>
          </w:p>
        </w:tc>
      </w:tr>
      <w:tr>
        <w:tc>
          <w:tcPr>
            <w:tcW w:type="dxa" w:w="576"/>
            <w:shd w:fill="F4F7FA"/>
            <w:tcMar>
              <w:top w:w="90" w:type="dxa"/>
              <w:bottom w:w="90" w:type="dxa"/>
              <w:left w:w="140" w:type="dxa"/>
              <w:right w:w="140" w:type="dxa"/>
            </w:tcMar>
          </w:tcPr>
          <w:p>
            <w:pPr>
              <w:jc w:val="left"/>
            </w:pPr>
            <w:r>
              <w:rPr>
                <w:color w:val="222222"/>
                <w:sz w:val="18"/>
              </w:rPr>
              <w:t>4</w:t>
            </w:r>
          </w:p>
        </w:tc>
        <w:tc>
          <w:tcPr>
            <w:tcW w:type="dxa" w:w="2592"/>
            <w:shd w:fill="F4F7FA"/>
            <w:tcMar>
              <w:top w:w="90" w:type="dxa"/>
              <w:bottom w:w="90" w:type="dxa"/>
              <w:left w:w="140" w:type="dxa"/>
              <w:right w:w="140" w:type="dxa"/>
            </w:tcMar>
          </w:tcPr>
          <w:p>
            <w:pPr>
              <w:jc w:val="left"/>
            </w:pPr>
            <w:r>
              <w:rPr>
                <w:color w:val="222222"/>
                <w:sz w:val="18"/>
              </w:rPr>
              <w:t>weight</w:t>
            </w:r>
          </w:p>
        </w:tc>
        <w:tc>
          <w:tcPr>
            <w:tcW w:type="dxa" w:w="2592"/>
            <w:shd w:fill="F4F7FA"/>
            <w:tcMar>
              <w:top w:w="90" w:type="dxa"/>
              <w:bottom w:w="90" w:type="dxa"/>
              <w:left w:w="140" w:type="dxa"/>
              <w:right w:w="140" w:type="dxa"/>
            </w:tcMar>
          </w:tcPr>
          <w:p>
            <w:pPr>
              <w:jc w:val="left"/>
            </w:pPr>
            <w:r>
              <w:rPr>
                <w:color w:val="222222"/>
                <w:sz w:val="18"/>
              </w:rPr>
              <w:t>Body weight (kg)</w:t>
            </w:r>
          </w:p>
        </w:tc>
        <w:tc>
          <w:tcPr>
            <w:tcW w:type="dxa" w:w="1008"/>
            <w:shd w:fill="F4F7FA"/>
            <w:tcMar>
              <w:top w:w="90" w:type="dxa"/>
              <w:bottom w:w="90" w:type="dxa"/>
              <w:left w:w="140" w:type="dxa"/>
              <w:right w:w="140" w:type="dxa"/>
            </w:tcMar>
          </w:tcPr>
          <w:p>
            <w:pPr>
              <w:jc w:val="left"/>
            </w:pPr>
            <w:r>
              <w:rPr>
                <w:color w:val="222222"/>
                <w:sz w:val="18"/>
              </w:rPr>
              <w:t>54.06</w:t>
            </w:r>
          </w:p>
        </w:tc>
        <w:tc>
          <w:tcPr>
            <w:tcW w:type="dxa" w:w="1008"/>
            <w:shd w:fill="F4F7FA"/>
            <w:tcMar>
              <w:top w:w="90" w:type="dxa"/>
              <w:bottom w:w="90" w:type="dxa"/>
              <w:left w:w="140" w:type="dxa"/>
              <w:right w:w="140" w:type="dxa"/>
            </w:tcMar>
          </w:tcPr>
          <w:p>
            <w:pPr>
              <w:jc w:val="left"/>
            </w:pPr>
            <w:r>
              <w:rPr>
                <w:color w:val="222222"/>
                <w:sz w:val="18"/>
              </w:rPr>
              <w:t>10.07</w:t>
            </w:r>
          </w:p>
        </w:tc>
        <w:tc>
          <w:tcPr>
            <w:tcW w:type="dxa" w:w="1584"/>
            <w:shd w:fill="F4F7FA"/>
            <w:tcMar>
              <w:top w:w="90" w:type="dxa"/>
              <w:bottom w:w="90" w:type="dxa"/>
              <w:left w:w="140" w:type="dxa"/>
              <w:right w:w="140" w:type="dxa"/>
            </w:tcMar>
          </w:tcPr>
          <w:p>
            <w:pPr>
              <w:jc w:val="left"/>
            </w:pPr>
            <w:r>
              <w:rPr>
                <w:color w:val="222222"/>
                <w:sz w:val="18"/>
              </w:rPr>
              <w:t>Anthropometric baseline</w:t>
            </w:r>
          </w:p>
        </w:tc>
      </w:tr>
      <w:tr>
        <w:tc>
          <w:tcPr>
            <w:tcW w:type="dxa" w:w="576"/>
            <w:shd w:fill="FFFFFF"/>
            <w:tcMar>
              <w:top w:w="90" w:type="dxa"/>
              <w:bottom w:w="90" w:type="dxa"/>
              <w:left w:w="140" w:type="dxa"/>
              <w:right w:w="140" w:type="dxa"/>
            </w:tcMar>
          </w:tcPr>
          <w:p>
            <w:pPr>
              <w:jc w:val="left"/>
            </w:pPr>
            <w:r>
              <w:rPr>
                <w:color w:val="222222"/>
                <w:sz w:val="18"/>
              </w:rPr>
              <w:t>5</w:t>
            </w:r>
          </w:p>
        </w:tc>
        <w:tc>
          <w:tcPr>
            <w:tcW w:type="dxa" w:w="2592"/>
            <w:shd w:fill="FFFFFF"/>
            <w:tcMar>
              <w:top w:w="90" w:type="dxa"/>
              <w:bottom w:w="90" w:type="dxa"/>
              <w:left w:w="140" w:type="dxa"/>
              <w:right w:w="140" w:type="dxa"/>
            </w:tcMar>
          </w:tcPr>
          <w:p>
            <w:pPr>
              <w:jc w:val="left"/>
            </w:pPr>
            <w:r>
              <w:rPr>
                <w:color w:val="222222"/>
                <w:sz w:val="18"/>
              </w:rPr>
              <w:t>height</w:t>
            </w:r>
          </w:p>
        </w:tc>
        <w:tc>
          <w:tcPr>
            <w:tcW w:type="dxa" w:w="2592"/>
            <w:shd w:fill="FFFFFF"/>
            <w:tcMar>
              <w:top w:w="90" w:type="dxa"/>
              <w:bottom w:w="90" w:type="dxa"/>
              <w:left w:w="140" w:type="dxa"/>
              <w:right w:w="140" w:type="dxa"/>
            </w:tcMar>
          </w:tcPr>
          <w:p>
            <w:pPr>
              <w:jc w:val="left"/>
            </w:pPr>
            <w:r>
              <w:rPr>
                <w:color w:val="222222"/>
                <w:sz w:val="18"/>
              </w:rPr>
              <w:t>Body height (meters)</w:t>
            </w:r>
          </w:p>
        </w:tc>
        <w:tc>
          <w:tcPr>
            <w:tcW w:type="dxa" w:w="1008"/>
            <w:shd w:fill="FFFFFF"/>
            <w:tcMar>
              <w:top w:w="90" w:type="dxa"/>
              <w:bottom w:w="90" w:type="dxa"/>
              <w:left w:w="140" w:type="dxa"/>
              <w:right w:w="140" w:type="dxa"/>
            </w:tcMar>
          </w:tcPr>
          <w:p>
            <w:pPr>
              <w:jc w:val="left"/>
            </w:pPr>
            <w:r>
              <w:rPr>
                <w:color w:val="222222"/>
                <w:sz w:val="18"/>
              </w:rPr>
              <w:t>1.56</w:t>
            </w:r>
          </w:p>
        </w:tc>
        <w:tc>
          <w:tcPr>
            <w:tcW w:type="dxa" w:w="1008"/>
            <w:shd w:fill="FFFFFF"/>
            <w:tcMar>
              <w:top w:w="90" w:type="dxa"/>
              <w:bottom w:w="90" w:type="dxa"/>
              <w:left w:w="140" w:type="dxa"/>
              <w:right w:w="140" w:type="dxa"/>
            </w:tcMar>
          </w:tcPr>
          <w:p>
            <w:pPr>
              <w:jc w:val="left"/>
            </w:pPr>
            <w:r>
              <w:rPr>
                <w:color w:val="222222"/>
                <w:sz w:val="18"/>
              </w:rPr>
              <w:t>0.08</w:t>
            </w:r>
          </w:p>
        </w:tc>
        <w:tc>
          <w:tcPr>
            <w:tcW w:type="dxa" w:w="1584"/>
            <w:shd w:fill="FFFFFF"/>
            <w:tcMar>
              <w:top w:w="90" w:type="dxa"/>
              <w:bottom w:w="90" w:type="dxa"/>
              <w:left w:w="140" w:type="dxa"/>
              <w:right w:w="140" w:type="dxa"/>
            </w:tcMar>
          </w:tcPr>
          <w:p>
            <w:pPr>
              <w:jc w:val="left"/>
            </w:pPr>
            <w:r>
              <w:rPr>
                <w:color w:val="222222"/>
                <w:sz w:val="18"/>
              </w:rPr>
              <w:t>Anthropometric scaling</w:t>
            </w:r>
          </w:p>
        </w:tc>
      </w:tr>
      <w:tr>
        <w:tc>
          <w:tcPr>
            <w:tcW w:type="dxa" w:w="576"/>
            <w:shd w:fill="F4F7FA"/>
            <w:tcMar>
              <w:top w:w="90" w:type="dxa"/>
              <w:bottom w:w="90" w:type="dxa"/>
              <w:left w:w="140" w:type="dxa"/>
              <w:right w:w="140" w:type="dxa"/>
            </w:tcMar>
          </w:tcPr>
          <w:p>
            <w:pPr>
              <w:jc w:val="left"/>
            </w:pPr>
            <w:r>
              <w:rPr>
                <w:color w:val="222222"/>
                <w:sz w:val="18"/>
              </w:rPr>
              <w:t>6</w:t>
            </w:r>
          </w:p>
        </w:tc>
        <w:tc>
          <w:tcPr>
            <w:tcW w:type="dxa" w:w="2592"/>
            <w:shd w:fill="F4F7FA"/>
            <w:tcMar>
              <w:top w:w="90" w:type="dxa"/>
              <w:bottom w:w="90" w:type="dxa"/>
              <w:left w:w="140" w:type="dxa"/>
              <w:right w:w="140" w:type="dxa"/>
            </w:tcMar>
          </w:tcPr>
          <w:p>
            <w:pPr>
              <w:jc w:val="left"/>
            </w:pPr>
            <w:r>
              <w:rPr>
                <w:color w:val="222222"/>
                <w:sz w:val="18"/>
              </w:rPr>
              <w:t>bmi</w:t>
            </w:r>
          </w:p>
        </w:tc>
        <w:tc>
          <w:tcPr>
            <w:tcW w:type="dxa" w:w="2592"/>
            <w:shd w:fill="F4F7FA"/>
            <w:tcMar>
              <w:top w:w="90" w:type="dxa"/>
              <w:bottom w:w="90" w:type="dxa"/>
              <w:left w:w="140" w:type="dxa"/>
              <w:right w:w="140" w:type="dxa"/>
            </w:tcMar>
          </w:tcPr>
          <w:p>
            <w:pPr>
              <w:jc w:val="left"/>
            </w:pPr>
            <w:r>
              <w:rPr>
                <w:color w:val="222222"/>
                <w:sz w:val="18"/>
              </w:rPr>
              <w:t>Body Mass Index (kg/m²)</w:t>
            </w:r>
          </w:p>
        </w:tc>
        <w:tc>
          <w:tcPr>
            <w:tcW w:type="dxa" w:w="1008"/>
            <w:shd w:fill="F4F7FA"/>
            <w:tcMar>
              <w:top w:w="90" w:type="dxa"/>
              <w:bottom w:w="90" w:type="dxa"/>
              <w:left w:w="140" w:type="dxa"/>
              <w:right w:w="140" w:type="dxa"/>
            </w:tcMar>
          </w:tcPr>
          <w:p>
            <w:pPr>
              <w:jc w:val="left"/>
            </w:pPr>
            <w:r>
              <w:rPr>
                <w:color w:val="222222"/>
                <w:sz w:val="18"/>
              </w:rPr>
              <w:t>22.31</w:t>
            </w:r>
          </w:p>
        </w:tc>
        <w:tc>
          <w:tcPr>
            <w:tcW w:type="dxa" w:w="1008"/>
            <w:shd w:fill="F4F7FA"/>
            <w:tcMar>
              <w:top w:w="90" w:type="dxa"/>
              <w:bottom w:w="90" w:type="dxa"/>
              <w:left w:w="140" w:type="dxa"/>
              <w:right w:w="140" w:type="dxa"/>
            </w:tcMar>
          </w:tcPr>
          <w:p>
            <w:pPr>
              <w:jc w:val="left"/>
            </w:pPr>
            <w:r>
              <w:rPr>
                <w:color w:val="222222"/>
                <w:sz w:val="18"/>
              </w:rPr>
              <w:t>4.06</w:t>
            </w:r>
          </w:p>
        </w:tc>
        <w:tc>
          <w:tcPr>
            <w:tcW w:type="dxa" w:w="1584"/>
            <w:shd w:fill="F4F7FA"/>
            <w:tcMar>
              <w:top w:w="90" w:type="dxa"/>
              <w:bottom w:w="90" w:type="dxa"/>
              <w:left w:w="140" w:type="dxa"/>
              <w:right w:w="140" w:type="dxa"/>
            </w:tcMar>
          </w:tcPr>
          <w:p>
            <w:pPr>
              <w:jc w:val="left"/>
            </w:pPr>
            <w:r>
              <w:rPr>
                <w:color w:val="222222"/>
                <w:sz w:val="18"/>
              </w:rPr>
              <w:t>Adiposity &amp; insulin resistance</w:t>
            </w:r>
          </w:p>
        </w:tc>
      </w:tr>
      <w:tr>
        <w:tc>
          <w:tcPr>
            <w:tcW w:type="dxa" w:w="576"/>
            <w:shd w:fill="FFFFFF"/>
            <w:tcMar>
              <w:top w:w="90" w:type="dxa"/>
              <w:bottom w:w="90" w:type="dxa"/>
              <w:left w:w="140" w:type="dxa"/>
              <w:right w:w="140" w:type="dxa"/>
            </w:tcMar>
          </w:tcPr>
          <w:p>
            <w:pPr>
              <w:jc w:val="left"/>
            </w:pPr>
            <w:r>
              <w:rPr>
                <w:color w:val="222222"/>
                <w:sz w:val="18"/>
              </w:rPr>
              <w:t>7</w:t>
            </w:r>
          </w:p>
        </w:tc>
        <w:tc>
          <w:tcPr>
            <w:tcW w:type="dxa" w:w="2592"/>
            <w:shd w:fill="FFFFFF"/>
            <w:tcMar>
              <w:top w:w="90" w:type="dxa"/>
              <w:bottom w:w="90" w:type="dxa"/>
              <w:left w:w="140" w:type="dxa"/>
              <w:right w:w="140" w:type="dxa"/>
            </w:tcMar>
          </w:tcPr>
          <w:p>
            <w:pPr>
              <w:jc w:val="left"/>
            </w:pPr>
            <w:r>
              <w:rPr>
                <w:color w:val="222222"/>
                <w:sz w:val="18"/>
              </w:rPr>
              <w:t>systolic_bp</w:t>
            </w:r>
          </w:p>
        </w:tc>
        <w:tc>
          <w:tcPr>
            <w:tcW w:type="dxa" w:w="2592"/>
            <w:shd w:fill="FFFFFF"/>
            <w:tcMar>
              <w:top w:w="90" w:type="dxa"/>
              <w:bottom w:w="90" w:type="dxa"/>
              <w:left w:w="140" w:type="dxa"/>
              <w:right w:w="140" w:type="dxa"/>
            </w:tcMar>
          </w:tcPr>
          <w:p>
            <w:pPr>
              <w:jc w:val="left"/>
            </w:pPr>
            <w:r>
              <w:rPr>
                <w:color w:val="222222"/>
                <w:sz w:val="18"/>
              </w:rPr>
              <w:t>Systolic arterial pressure (mmHg)</w:t>
            </w:r>
          </w:p>
        </w:tc>
        <w:tc>
          <w:tcPr>
            <w:tcW w:type="dxa" w:w="1008"/>
            <w:shd w:fill="FFFFFF"/>
            <w:tcMar>
              <w:top w:w="90" w:type="dxa"/>
              <w:bottom w:w="90" w:type="dxa"/>
              <w:left w:w="140" w:type="dxa"/>
              <w:right w:w="140" w:type="dxa"/>
            </w:tcMar>
          </w:tcPr>
          <w:p>
            <w:pPr>
              <w:jc w:val="left"/>
            </w:pPr>
            <w:r>
              <w:rPr>
                <w:color w:val="222222"/>
                <w:sz w:val="18"/>
              </w:rPr>
              <w:t>134.61</w:t>
            </w:r>
          </w:p>
        </w:tc>
        <w:tc>
          <w:tcPr>
            <w:tcW w:type="dxa" w:w="1008"/>
            <w:shd w:fill="FFFFFF"/>
            <w:tcMar>
              <w:top w:w="90" w:type="dxa"/>
              <w:bottom w:w="90" w:type="dxa"/>
              <w:left w:w="140" w:type="dxa"/>
              <w:right w:w="140" w:type="dxa"/>
            </w:tcMar>
          </w:tcPr>
          <w:p>
            <w:pPr>
              <w:jc w:val="left"/>
            </w:pPr>
            <w:r>
              <w:rPr>
                <w:color w:val="222222"/>
                <w:sz w:val="18"/>
              </w:rPr>
              <w:t>22.27</w:t>
            </w:r>
          </w:p>
        </w:tc>
        <w:tc>
          <w:tcPr>
            <w:tcW w:type="dxa" w:w="1584"/>
            <w:shd w:fill="FFFFFF"/>
            <w:tcMar>
              <w:top w:w="90" w:type="dxa"/>
              <w:bottom w:w="90" w:type="dxa"/>
              <w:left w:w="140" w:type="dxa"/>
              <w:right w:w="140" w:type="dxa"/>
            </w:tcMar>
          </w:tcPr>
          <w:p>
            <w:pPr>
              <w:jc w:val="left"/>
            </w:pPr>
            <w:r>
              <w:rPr>
                <w:color w:val="222222"/>
                <w:sz w:val="18"/>
              </w:rPr>
              <w:t>Vascular load &amp; afterload</w:t>
            </w:r>
          </w:p>
        </w:tc>
      </w:tr>
      <w:tr>
        <w:tc>
          <w:tcPr>
            <w:tcW w:type="dxa" w:w="576"/>
            <w:shd w:fill="F4F7FA"/>
            <w:tcMar>
              <w:top w:w="90" w:type="dxa"/>
              <w:bottom w:w="90" w:type="dxa"/>
              <w:left w:w="140" w:type="dxa"/>
              <w:right w:w="140" w:type="dxa"/>
            </w:tcMar>
          </w:tcPr>
          <w:p>
            <w:pPr>
              <w:jc w:val="left"/>
            </w:pPr>
            <w:r>
              <w:rPr>
                <w:color w:val="222222"/>
                <w:sz w:val="18"/>
              </w:rPr>
              <w:t>8</w:t>
            </w:r>
          </w:p>
        </w:tc>
        <w:tc>
          <w:tcPr>
            <w:tcW w:type="dxa" w:w="2592"/>
            <w:shd w:fill="F4F7FA"/>
            <w:tcMar>
              <w:top w:w="90" w:type="dxa"/>
              <w:bottom w:w="90" w:type="dxa"/>
              <w:left w:w="140" w:type="dxa"/>
              <w:right w:w="140" w:type="dxa"/>
            </w:tcMar>
          </w:tcPr>
          <w:p>
            <w:pPr>
              <w:jc w:val="left"/>
            </w:pPr>
            <w:r>
              <w:rPr>
                <w:color w:val="222222"/>
                <w:sz w:val="18"/>
              </w:rPr>
              <w:t>diastolic_bp</w:t>
            </w:r>
          </w:p>
        </w:tc>
        <w:tc>
          <w:tcPr>
            <w:tcW w:type="dxa" w:w="2592"/>
            <w:shd w:fill="F4F7FA"/>
            <w:tcMar>
              <w:top w:w="90" w:type="dxa"/>
              <w:bottom w:w="90" w:type="dxa"/>
              <w:left w:w="140" w:type="dxa"/>
              <w:right w:w="140" w:type="dxa"/>
            </w:tcMar>
          </w:tcPr>
          <w:p>
            <w:pPr>
              <w:jc w:val="left"/>
            </w:pPr>
            <w:r>
              <w:rPr>
                <w:color w:val="222222"/>
                <w:sz w:val="18"/>
              </w:rPr>
              <w:t>Diastolic arterial pressure (mmHg)</w:t>
            </w:r>
          </w:p>
        </w:tc>
        <w:tc>
          <w:tcPr>
            <w:tcW w:type="dxa" w:w="1008"/>
            <w:shd w:fill="F4F7FA"/>
            <w:tcMar>
              <w:top w:w="90" w:type="dxa"/>
              <w:bottom w:w="90" w:type="dxa"/>
              <w:left w:w="140" w:type="dxa"/>
              <w:right w:w="140" w:type="dxa"/>
            </w:tcMar>
          </w:tcPr>
          <w:p>
            <w:pPr>
              <w:jc w:val="left"/>
            </w:pPr>
            <w:r>
              <w:rPr>
                <w:color w:val="222222"/>
                <w:sz w:val="18"/>
              </w:rPr>
              <w:t>82.26</w:t>
            </w:r>
          </w:p>
        </w:tc>
        <w:tc>
          <w:tcPr>
            <w:tcW w:type="dxa" w:w="1008"/>
            <w:shd w:fill="F4F7FA"/>
            <w:tcMar>
              <w:top w:w="90" w:type="dxa"/>
              <w:bottom w:w="90" w:type="dxa"/>
              <w:left w:w="140" w:type="dxa"/>
              <w:right w:w="140" w:type="dxa"/>
            </w:tcMar>
          </w:tcPr>
          <w:p>
            <w:pPr>
              <w:jc w:val="left"/>
            </w:pPr>
            <w:r>
              <w:rPr>
                <w:color w:val="222222"/>
                <w:sz w:val="18"/>
              </w:rPr>
              <w:t>12.69</w:t>
            </w:r>
          </w:p>
        </w:tc>
        <w:tc>
          <w:tcPr>
            <w:tcW w:type="dxa" w:w="1584"/>
            <w:shd w:fill="F4F7FA"/>
            <w:tcMar>
              <w:top w:w="90" w:type="dxa"/>
              <w:bottom w:w="90" w:type="dxa"/>
              <w:left w:w="140" w:type="dxa"/>
              <w:right w:w="140" w:type="dxa"/>
            </w:tcMar>
          </w:tcPr>
          <w:p>
            <w:pPr>
              <w:jc w:val="left"/>
            </w:pPr>
            <w:r>
              <w:rPr>
                <w:color w:val="222222"/>
                <w:sz w:val="18"/>
              </w:rPr>
              <w:t>Peripheral vascular resistance</w:t>
            </w:r>
          </w:p>
        </w:tc>
      </w:tr>
      <w:tr>
        <w:tc>
          <w:tcPr>
            <w:tcW w:type="dxa" w:w="576"/>
            <w:shd w:fill="FFFFFF"/>
            <w:tcMar>
              <w:top w:w="90" w:type="dxa"/>
              <w:bottom w:w="90" w:type="dxa"/>
              <w:left w:w="140" w:type="dxa"/>
              <w:right w:w="140" w:type="dxa"/>
            </w:tcMar>
          </w:tcPr>
          <w:p>
            <w:pPr>
              <w:jc w:val="left"/>
            </w:pPr>
            <w:r>
              <w:rPr>
                <w:color w:val="222222"/>
                <w:sz w:val="18"/>
              </w:rPr>
              <w:t>9</w:t>
            </w:r>
          </w:p>
        </w:tc>
        <w:tc>
          <w:tcPr>
            <w:tcW w:type="dxa" w:w="2592"/>
            <w:shd w:fill="FFFFFF"/>
            <w:tcMar>
              <w:top w:w="90" w:type="dxa"/>
              <w:bottom w:w="90" w:type="dxa"/>
              <w:left w:w="140" w:type="dxa"/>
              <w:right w:w="140" w:type="dxa"/>
            </w:tcMar>
          </w:tcPr>
          <w:p>
            <w:pPr>
              <w:jc w:val="left"/>
            </w:pPr>
            <w:r>
              <w:rPr>
                <w:color w:val="222222"/>
                <w:sz w:val="18"/>
              </w:rPr>
              <w:t>Hba1c</w:t>
            </w:r>
          </w:p>
        </w:tc>
        <w:tc>
          <w:tcPr>
            <w:tcW w:type="dxa" w:w="2592"/>
            <w:shd w:fill="FFFFFF"/>
            <w:tcMar>
              <w:top w:w="90" w:type="dxa"/>
              <w:bottom w:w="90" w:type="dxa"/>
              <w:left w:w="140" w:type="dxa"/>
              <w:right w:w="140" w:type="dxa"/>
            </w:tcMar>
          </w:tcPr>
          <w:p>
            <w:pPr>
              <w:jc w:val="left"/>
            </w:pPr>
            <w:r>
              <w:rPr>
                <w:color w:val="222222"/>
                <w:sz w:val="18"/>
              </w:rPr>
              <w:t>Glycated hemoglobin percentage (%)</w:t>
            </w:r>
          </w:p>
        </w:tc>
        <w:tc>
          <w:tcPr>
            <w:tcW w:type="dxa" w:w="1008"/>
            <w:shd w:fill="FFFFFF"/>
            <w:tcMar>
              <w:top w:w="90" w:type="dxa"/>
              <w:bottom w:w="90" w:type="dxa"/>
              <w:left w:w="140" w:type="dxa"/>
              <w:right w:w="140" w:type="dxa"/>
            </w:tcMar>
          </w:tcPr>
          <w:p>
            <w:pPr>
              <w:jc w:val="left"/>
            </w:pPr>
            <w:r>
              <w:rPr>
                <w:color w:val="222222"/>
                <w:sz w:val="18"/>
              </w:rPr>
              <w:t>6.05</w:t>
            </w:r>
          </w:p>
        </w:tc>
        <w:tc>
          <w:tcPr>
            <w:tcW w:type="dxa" w:w="1008"/>
            <w:shd w:fill="FFFFFF"/>
            <w:tcMar>
              <w:top w:w="90" w:type="dxa"/>
              <w:bottom w:w="90" w:type="dxa"/>
              <w:left w:w="140" w:type="dxa"/>
              <w:right w:w="140" w:type="dxa"/>
            </w:tcMar>
          </w:tcPr>
          <w:p>
            <w:pPr>
              <w:jc w:val="left"/>
            </w:pPr>
            <w:r>
              <w:rPr>
                <w:color w:val="222222"/>
                <w:sz w:val="18"/>
              </w:rPr>
              <w:t>1.13</w:t>
            </w:r>
          </w:p>
        </w:tc>
        <w:tc>
          <w:tcPr>
            <w:tcW w:type="dxa" w:w="1584"/>
            <w:shd w:fill="FFFFFF"/>
            <w:tcMar>
              <w:top w:w="90" w:type="dxa"/>
              <w:bottom w:w="90" w:type="dxa"/>
              <w:left w:w="140" w:type="dxa"/>
              <w:right w:w="140" w:type="dxa"/>
            </w:tcMar>
          </w:tcPr>
          <w:p>
            <w:pPr>
              <w:jc w:val="left"/>
            </w:pPr>
            <w:r>
              <w:rPr>
                <w:color w:val="222222"/>
                <w:sz w:val="18"/>
              </w:rPr>
              <w:t>Chronic 3-month glycemic history</w:t>
            </w:r>
          </w:p>
        </w:tc>
      </w:tr>
      <w:tr>
        <w:tc>
          <w:tcPr>
            <w:tcW w:type="dxa" w:w="576"/>
            <w:shd w:fill="F4F7FA"/>
            <w:tcMar>
              <w:top w:w="90" w:type="dxa"/>
              <w:bottom w:w="90" w:type="dxa"/>
              <w:left w:w="140" w:type="dxa"/>
              <w:right w:w="140" w:type="dxa"/>
            </w:tcMar>
          </w:tcPr>
          <w:p>
            <w:pPr>
              <w:jc w:val="left"/>
            </w:pPr>
            <w:r>
              <w:rPr>
                <w:color w:val="222222"/>
                <w:sz w:val="18"/>
              </w:rPr>
              <w:t>10</w:t>
            </w:r>
          </w:p>
        </w:tc>
        <w:tc>
          <w:tcPr>
            <w:tcW w:type="dxa" w:w="2592"/>
            <w:shd w:fill="F4F7FA"/>
            <w:tcMar>
              <w:top w:w="90" w:type="dxa"/>
              <w:bottom w:w="90" w:type="dxa"/>
              <w:left w:w="140" w:type="dxa"/>
              <w:right w:w="140" w:type="dxa"/>
            </w:tcMar>
          </w:tcPr>
          <w:p>
            <w:pPr>
              <w:jc w:val="left"/>
            </w:pPr>
            <w:r>
              <w:rPr>
                <w:color w:val="222222"/>
                <w:sz w:val="18"/>
              </w:rPr>
              <w:t>MAP</w:t>
            </w:r>
          </w:p>
        </w:tc>
        <w:tc>
          <w:tcPr>
            <w:tcW w:type="dxa" w:w="2592"/>
            <w:shd w:fill="F4F7FA"/>
            <w:tcMar>
              <w:top w:w="90" w:type="dxa"/>
              <w:bottom w:w="90" w:type="dxa"/>
              <w:left w:w="140" w:type="dxa"/>
              <w:right w:w="140" w:type="dxa"/>
            </w:tcMar>
          </w:tcPr>
          <w:p>
            <w:pPr>
              <w:jc w:val="left"/>
            </w:pPr>
            <w:r>
              <w:rPr>
                <w:color w:val="222222"/>
                <w:sz w:val="18"/>
              </w:rPr>
              <w:t>Mean Arterial Pressure (mmHg)</w:t>
            </w:r>
          </w:p>
        </w:tc>
        <w:tc>
          <w:tcPr>
            <w:tcW w:type="dxa" w:w="1008"/>
            <w:shd w:fill="F4F7FA"/>
            <w:tcMar>
              <w:top w:w="90" w:type="dxa"/>
              <w:bottom w:w="90" w:type="dxa"/>
              <w:left w:w="140" w:type="dxa"/>
              <w:right w:w="140" w:type="dxa"/>
            </w:tcMar>
          </w:tcPr>
          <w:p>
            <w:pPr>
              <w:jc w:val="left"/>
            </w:pPr>
            <w:r>
              <w:rPr>
                <w:color w:val="222222"/>
                <w:sz w:val="18"/>
              </w:rPr>
              <w:t>99.71</w:t>
            </w:r>
          </w:p>
        </w:tc>
        <w:tc>
          <w:tcPr>
            <w:tcW w:type="dxa" w:w="1008"/>
            <w:shd w:fill="F4F7FA"/>
            <w:tcMar>
              <w:top w:w="90" w:type="dxa"/>
              <w:bottom w:w="90" w:type="dxa"/>
              <w:left w:w="140" w:type="dxa"/>
              <w:right w:w="140" w:type="dxa"/>
            </w:tcMar>
          </w:tcPr>
          <w:p>
            <w:pPr>
              <w:jc w:val="left"/>
            </w:pPr>
            <w:r>
              <w:rPr>
                <w:color w:val="222222"/>
                <w:sz w:val="18"/>
              </w:rPr>
              <w:t>14.78</w:t>
            </w:r>
          </w:p>
        </w:tc>
        <w:tc>
          <w:tcPr>
            <w:tcW w:type="dxa" w:w="1584"/>
            <w:shd w:fill="F4F7FA"/>
            <w:tcMar>
              <w:top w:w="90" w:type="dxa"/>
              <w:bottom w:w="90" w:type="dxa"/>
              <w:left w:w="140" w:type="dxa"/>
              <w:right w:w="140" w:type="dxa"/>
            </w:tcMar>
          </w:tcPr>
          <w:p>
            <w:pPr>
              <w:jc w:val="left"/>
            </w:pPr>
            <w:r>
              <w:rPr>
                <w:color w:val="222222"/>
                <w:sz w:val="18"/>
              </w:rPr>
              <w:t>Tissue perfusion pressure</w:t>
            </w:r>
          </w:p>
        </w:tc>
      </w:tr>
      <w:tr>
        <w:tc>
          <w:tcPr>
            <w:tcW w:type="dxa" w:w="576"/>
            <w:shd w:fill="FFFFFF"/>
            <w:tcMar>
              <w:top w:w="90" w:type="dxa"/>
              <w:bottom w:w="90" w:type="dxa"/>
              <w:left w:w="140" w:type="dxa"/>
              <w:right w:w="140" w:type="dxa"/>
            </w:tcMar>
          </w:tcPr>
          <w:p>
            <w:pPr>
              <w:jc w:val="left"/>
            </w:pPr>
            <w:r>
              <w:rPr>
                <w:color w:val="222222"/>
                <w:sz w:val="18"/>
              </w:rPr>
              <w:t>11</w:t>
            </w:r>
          </w:p>
        </w:tc>
        <w:tc>
          <w:tcPr>
            <w:tcW w:type="dxa" w:w="2592"/>
            <w:shd w:fill="FFFFFF"/>
            <w:tcMar>
              <w:top w:w="90" w:type="dxa"/>
              <w:bottom w:w="90" w:type="dxa"/>
              <w:left w:w="140" w:type="dxa"/>
              <w:right w:w="140" w:type="dxa"/>
            </w:tcMar>
          </w:tcPr>
          <w:p>
            <w:pPr>
              <w:jc w:val="left"/>
            </w:pPr>
            <w:r>
              <w:rPr>
                <w:color w:val="222222"/>
                <w:sz w:val="18"/>
              </w:rPr>
              <w:t>Pulse_Pressure</w:t>
            </w:r>
          </w:p>
        </w:tc>
        <w:tc>
          <w:tcPr>
            <w:tcW w:type="dxa" w:w="2592"/>
            <w:shd w:fill="FFFFFF"/>
            <w:tcMar>
              <w:top w:w="90" w:type="dxa"/>
              <w:bottom w:w="90" w:type="dxa"/>
              <w:left w:w="140" w:type="dxa"/>
              <w:right w:w="140" w:type="dxa"/>
            </w:tcMar>
          </w:tcPr>
          <w:p>
            <w:pPr>
              <w:jc w:val="left"/>
            </w:pPr>
            <w:r>
              <w:rPr>
                <w:color w:val="222222"/>
                <w:sz w:val="18"/>
              </w:rPr>
              <w:t>Arterial stiffness indicator (mmHg)</w:t>
            </w:r>
          </w:p>
        </w:tc>
        <w:tc>
          <w:tcPr>
            <w:tcW w:type="dxa" w:w="1008"/>
            <w:shd w:fill="FFFFFF"/>
            <w:tcMar>
              <w:top w:w="90" w:type="dxa"/>
              <w:bottom w:w="90" w:type="dxa"/>
              <w:left w:w="140" w:type="dxa"/>
              <w:right w:w="140" w:type="dxa"/>
            </w:tcMar>
          </w:tcPr>
          <w:p>
            <w:pPr>
              <w:jc w:val="left"/>
            </w:pPr>
            <w:r>
              <w:rPr>
                <w:color w:val="222222"/>
                <w:sz w:val="18"/>
              </w:rPr>
              <w:t>52.35</w:t>
            </w:r>
          </w:p>
        </w:tc>
        <w:tc>
          <w:tcPr>
            <w:tcW w:type="dxa" w:w="1008"/>
            <w:shd w:fill="FFFFFF"/>
            <w:tcMar>
              <w:top w:w="90" w:type="dxa"/>
              <w:bottom w:w="90" w:type="dxa"/>
              <w:left w:w="140" w:type="dxa"/>
              <w:right w:w="140" w:type="dxa"/>
            </w:tcMar>
          </w:tcPr>
          <w:p>
            <w:pPr>
              <w:jc w:val="left"/>
            </w:pPr>
            <w:r>
              <w:rPr>
                <w:color w:val="222222"/>
                <w:sz w:val="18"/>
              </w:rPr>
              <w:t>15.63</w:t>
            </w:r>
          </w:p>
        </w:tc>
        <w:tc>
          <w:tcPr>
            <w:tcW w:type="dxa" w:w="1584"/>
            <w:shd w:fill="FFFFFF"/>
            <w:tcMar>
              <w:top w:w="90" w:type="dxa"/>
              <w:bottom w:w="90" w:type="dxa"/>
              <w:left w:w="140" w:type="dxa"/>
              <w:right w:w="140" w:type="dxa"/>
            </w:tcMar>
          </w:tcPr>
          <w:p>
            <w:pPr>
              <w:jc w:val="left"/>
            </w:pPr>
            <w:r>
              <w:rPr>
                <w:color w:val="222222"/>
                <w:sz w:val="18"/>
              </w:rPr>
              <w:t>Vascular aging index</w:t>
            </w:r>
          </w:p>
        </w:tc>
      </w:tr>
      <w:tr>
        <w:tc>
          <w:tcPr>
            <w:tcW w:type="dxa" w:w="576"/>
            <w:shd w:fill="F4F7FA"/>
            <w:tcMar>
              <w:top w:w="90" w:type="dxa"/>
              <w:bottom w:w="90" w:type="dxa"/>
              <w:left w:w="140" w:type="dxa"/>
              <w:right w:w="140" w:type="dxa"/>
            </w:tcMar>
          </w:tcPr>
          <w:p>
            <w:pPr>
              <w:jc w:val="left"/>
            </w:pPr>
            <w:r>
              <w:rPr>
                <w:color w:val="222222"/>
                <w:sz w:val="18"/>
              </w:rPr>
              <w:t>12</w:t>
            </w:r>
          </w:p>
        </w:tc>
        <w:tc>
          <w:tcPr>
            <w:tcW w:type="dxa" w:w="2592"/>
            <w:shd w:fill="F4F7FA"/>
            <w:tcMar>
              <w:top w:w="90" w:type="dxa"/>
              <w:bottom w:w="90" w:type="dxa"/>
              <w:left w:w="140" w:type="dxa"/>
              <w:right w:w="140" w:type="dxa"/>
            </w:tcMar>
          </w:tcPr>
          <w:p>
            <w:pPr>
              <w:jc w:val="left"/>
            </w:pPr>
            <w:r>
              <w:rPr>
                <w:color w:val="222222"/>
                <w:sz w:val="18"/>
              </w:rPr>
              <w:t>Glucose_HbA1c_Ratio</w:t>
            </w:r>
          </w:p>
        </w:tc>
        <w:tc>
          <w:tcPr>
            <w:tcW w:type="dxa" w:w="2592"/>
            <w:shd w:fill="F4F7FA"/>
            <w:tcMar>
              <w:top w:w="90" w:type="dxa"/>
              <w:bottom w:w="90" w:type="dxa"/>
              <w:left w:w="140" w:type="dxa"/>
              <w:right w:w="140" w:type="dxa"/>
            </w:tcMar>
          </w:tcPr>
          <w:p>
            <w:pPr>
              <w:jc w:val="left"/>
            </w:pPr>
            <w:r>
              <w:rPr>
                <w:color w:val="222222"/>
                <w:sz w:val="18"/>
              </w:rPr>
              <w:t>Acute-to-chronic glucose ratio</w:t>
            </w:r>
          </w:p>
        </w:tc>
        <w:tc>
          <w:tcPr>
            <w:tcW w:type="dxa" w:w="1008"/>
            <w:shd w:fill="F4F7FA"/>
            <w:tcMar>
              <w:top w:w="90" w:type="dxa"/>
              <w:bottom w:w="90" w:type="dxa"/>
              <w:left w:w="140" w:type="dxa"/>
              <w:right w:w="140" w:type="dxa"/>
            </w:tcMar>
          </w:tcPr>
          <w:p>
            <w:pPr>
              <w:jc w:val="left"/>
            </w:pPr>
            <w:r>
              <w:rPr>
                <w:color w:val="222222"/>
                <w:sz w:val="18"/>
              </w:rPr>
              <w:t>23.39</w:t>
            </w:r>
          </w:p>
        </w:tc>
        <w:tc>
          <w:tcPr>
            <w:tcW w:type="dxa" w:w="1008"/>
            <w:shd w:fill="F4F7FA"/>
            <w:tcMar>
              <w:top w:w="90" w:type="dxa"/>
              <w:bottom w:w="90" w:type="dxa"/>
              <w:left w:w="140" w:type="dxa"/>
              <w:right w:w="140" w:type="dxa"/>
            </w:tcMar>
          </w:tcPr>
          <w:p>
            <w:pPr>
              <w:jc w:val="left"/>
            </w:pPr>
            <w:r>
              <w:rPr>
                <w:color w:val="222222"/>
                <w:sz w:val="18"/>
              </w:rPr>
              <w:t>10.09</w:t>
            </w:r>
          </w:p>
        </w:tc>
        <w:tc>
          <w:tcPr>
            <w:tcW w:type="dxa" w:w="1584"/>
            <w:shd w:fill="F4F7FA"/>
            <w:tcMar>
              <w:top w:w="90" w:type="dxa"/>
              <w:bottom w:w="90" w:type="dxa"/>
              <w:left w:w="140" w:type="dxa"/>
              <w:right w:w="140" w:type="dxa"/>
            </w:tcMar>
          </w:tcPr>
          <w:p>
            <w:pPr>
              <w:jc w:val="left"/>
            </w:pPr>
            <w:r>
              <w:rPr>
                <w:color w:val="222222"/>
                <w:sz w:val="18"/>
              </w:rPr>
              <w:t>Glycemic excursion index</w:t>
            </w:r>
          </w:p>
        </w:tc>
      </w:tr>
      <w:tr>
        <w:tc>
          <w:tcPr>
            <w:tcW w:type="dxa" w:w="576"/>
            <w:shd w:fill="FFFFFF"/>
            <w:tcMar>
              <w:top w:w="90" w:type="dxa"/>
              <w:bottom w:w="90" w:type="dxa"/>
              <w:left w:w="140" w:type="dxa"/>
              <w:right w:w="140" w:type="dxa"/>
            </w:tcMar>
          </w:tcPr>
          <w:p>
            <w:pPr>
              <w:jc w:val="left"/>
            </w:pPr>
            <w:r>
              <w:rPr>
                <w:color w:val="222222"/>
                <w:sz w:val="18"/>
              </w:rPr>
              <w:t>13</w:t>
            </w:r>
          </w:p>
        </w:tc>
        <w:tc>
          <w:tcPr>
            <w:tcW w:type="dxa" w:w="2592"/>
            <w:shd w:fill="FFFFFF"/>
            <w:tcMar>
              <w:top w:w="90" w:type="dxa"/>
              <w:bottom w:w="90" w:type="dxa"/>
              <w:left w:w="140" w:type="dxa"/>
              <w:right w:w="140" w:type="dxa"/>
            </w:tcMar>
          </w:tcPr>
          <w:p>
            <w:pPr>
              <w:jc w:val="left"/>
            </w:pPr>
            <w:r>
              <w:rPr>
                <w:color w:val="222222"/>
                <w:sz w:val="18"/>
              </w:rPr>
              <w:t>Metabolic_Index</w:t>
            </w:r>
          </w:p>
        </w:tc>
        <w:tc>
          <w:tcPr>
            <w:tcW w:type="dxa" w:w="2592"/>
            <w:shd w:fill="FFFFFF"/>
            <w:tcMar>
              <w:top w:w="90" w:type="dxa"/>
              <w:bottom w:w="90" w:type="dxa"/>
              <w:left w:w="140" w:type="dxa"/>
              <w:right w:w="140" w:type="dxa"/>
            </w:tcMar>
          </w:tcPr>
          <w:p>
            <w:pPr>
              <w:jc w:val="left"/>
            </w:pPr>
            <w:r>
              <w:rPr>
                <w:color w:val="222222"/>
                <w:sz w:val="18"/>
              </w:rPr>
              <w:t>Compound age-adiposity risk score</w:t>
            </w:r>
          </w:p>
        </w:tc>
        <w:tc>
          <w:tcPr>
            <w:tcW w:type="dxa" w:w="1008"/>
            <w:shd w:fill="FFFFFF"/>
            <w:tcMar>
              <w:top w:w="90" w:type="dxa"/>
              <w:bottom w:w="90" w:type="dxa"/>
              <w:left w:w="140" w:type="dxa"/>
              <w:right w:w="140" w:type="dxa"/>
            </w:tcMar>
          </w:tcPr>
          <w:p>
            <w:pPr>
              <w:jc w:val="left"/>
            </w:pPr>
            <w:r>
              <w:rPr>
                <w:color w:val="222222"/>
                <w:sz w:val="18"/>
              </w:rPr>
              <w:t>10.24</w:t>
            </w:r>
          </w:p>
        </w:tc>
        <w:tc>
          <w:tcPr>
            <w:tcW w:type="dxa" w:w="1008"/>
            <w:shd w:fill="FFFFFF"/>
            <w:tcMar>
              <w:top w:w="90" w:type="dxa"/>
              <w:bottom w:w="90" w:type="dxa"/>
              <w:left w:w="140" w:type="dxa"/>
              <w:right w:w="140" w:type="dxa"/>
            </w:tcMar>
          </w:tcPr>
          <w:p>
            <w:pPr>
              <w:jc w:val="left"/>
            </w:pPr>
            <w:r>
              <w:rPr>
                <w:color w:val="222222"/>
                <w:sz w:val="18"/>
              </w:rPr>
              <w:t>3.17</w:t>
            </w:r>
          </w:p>
        </w:tc>
        <w:tc>
          <w:tcPr>
            <w:tcW w:type="dxa" w:w="1584"/>
            <w:shd w:fill="FFFFFF"/>
            <w:tcMar>
              <w:top w:w="90" w:type="dxa"/>
              <w:bottom w:w="90" w:type="dxa"/>
              <w:left w:w="140" w:type="dxa"/>
              <w:right w:w="140" w:type="dxa"/>
            </w:tcMar>
          </w:tcPr>
          <w:p>
            <w:pPr>
              <w:jc w:val="left"/>
            </w:pPr>
            <w:r>
              <w:rPr>
                <w:color w:val="222222"/>
                <w:sz w:val="18"/>
              </w:rPr>
              <w:t>Insulin resistance progression</w:t>
            </w:r>
          </w:p>
        </w:tc>
      </w:tr>
    </w:tbl>
    <w:p/>
    <w:p>
      <w:pPr>
        <w:spacing w:before="160" w:after="80"/>
        <w:jc w:val="center"/>
      </w:pPr>
      <w:r>
        <w:drawing>
          <wp:inline xmlns:a="http://schemas.openxmlformats.org/drawingml/2006/main" xmlns:pic="http://schemas.openxmlformats.org/drawingml/2006/picture">
            <wp:extent cx="5669280" cy="2480310"/>
            <wp:docPr id="3" name="Picture 3"/>
            <wp:cNvGraphicFramePr>
              <a:graphicFrameLocks noChangeAspect="1"/>
            </wp:cNvGraphicFramePr>
            <a:graphic>
              <a:graphicData uri="http://schemas.openxmlformats.org/drawingml/2006/picture">
                <pic:pic>
                  <pic:nvPicPr>
                    <pic:cNvPr id="0" name="fig2_feature_correlations.png"/>
                    <pic:cNvPicPr/>
                  </pic:nvPicPr>
                  <pic:blipFill>
                    <a:blip r:embed="rId13"/>
                    <a:stretch>
                      <a:fillRect/>
                    </a:stretch>
                  </pic:blipFill>
                  <pic:spPr>
                    <a:xfrm>
                      <a:off x="0" y="0"/>
                      <a:ext cx="5669280" cy="2480310"/>
                    </a:xfrm>
                    <a:prstGeom prst="rect"/>
                  </pic:spPr>
                </pic:pic>
              </a:graphicData>
            </a:graphic>
          </wp:inline>
        </w:drawing>
      </w:r>
    </w:p>
    <w:p>
      <w:pPr>
        <w:spacing w:after="240"/>
        <w:jc w:val="center"/>
      </w:pPr>
      <w:r>
        <w:rPr>
          <w:i/>
          <w:color w:val="64748B"/>
          <w:sz w:val="18"/>
        </w:rPr>
        <w:t>Figure 4.1: Clinical Feature Correlation Matrix &amp; Linear Association with Target Disease Severity.</w:t>
      </w:r>
    </w:p>
    <w:p>
      <w:pPr>
        <w:keepNext/>
        <w:spacing w:before="360" w:after="160"/>
      </w:pPr>
      <w:r>
        <w:rPr>
          <w:rFonts w:ascii="Arial" w:hAnsi="Arial"/>
          <w:b/>
          <w:color w:val="1B365D"/>
          <w:sz w:val="36"/>
        </w:rPr>
        <w:t>Chapter 5: Deep Learning Architecture: Deep Tabular ResNet</w:t>
      </w:r>
    </w:p>
    <w:p>
      <w:r>
        <w:t>Standard Multi-Layer Perceptrons (MLPs) suffer from optimization degradation when applied to dense continuous tabular features. As network depth increases, gradients diminish, and higher layers struggle to preserve fine-grained feature interactions. Conversely, decision trees partition space with orthogonal hyperplanes, struggling to model smooth continuous non-linear physiological curves.</w:t>
      </w:r>
    </w:p>
    <w:p>
      <w:r>
        <w:t>To resolve this, we designed DiabetesTabularResNet, an adapted deep residual network for tabular manifolds. The core innovation is the Tabular Residual Block: an identity shortcut connection that bypasses two dense transformations. This allows the gradient to backpropagate unimpeded through the shortcut path, while the parameterized branch learns residual perturbations:</w:t>
      </w:r>
    </w:p>
    <w:p>
      <w:r>
        <w:rPr>
          <w:b/>
          <w:color w:val="1B365D"/>
        </w:rPr>
        <w:t>y = x + Drop₂(GELU(BN(W₂ · Drop₁(GELU(BN(W₁ · x))))))</w:t>
      </w:r>
    </w:p>
    <w:p>
      <w:pPr>
        <w:keepNext/>
        <w:spacing w:before="280" w:after="120"/>
      </w:pPr>
      <w:r>
        <w:rPr>
          <w:rFonts w:ascii="Arial" w:hAnsi="Arial"/>
          <w:b/>
          <w:color w:val="2B547E"/>
          <w:sz w:val="27"/>
        </w:rPr>
        <w:t>5.1 Architectural Components</w:t>
      </w:r>
    </w:p>
    <w:p>
      <w:r>
        <w:t>The network is structured into three distinct functional stages:</w:t>
      </w:r>
    </w:p>
    <w:p>
      <w:r>
        <w:t>1. Latent Manifold Projection Layer:</w:t>
        <w:br/>
        <w:t>Maps the 13 normalized clinical features into an overcomplete 128-dimensional latent embedding space, stabilized by BatchNorm1d and non-linear GELU activation.</w:t>
      </w:r>
    </w:p>
    <w:p>
      <w:r>
        <w:t>2. Stacked Tabular Residual Blocks (x2):</w:t>
        <w:br/>
        <w:t>Two identical residual blocks refine the latent representations through skip connections. Each block employs dual Linear(128, 128) dense layers, Batch Normalization, GELU activations, and asymmetric Dropout (0.20 on the primary layer, 0.15 on the secondary layer).</w:t>
      </w:r>
    </w:p>
    <w:p>
      <w:r>
        <w:t>3. Multi-Stage Classification Head:</w:t>
        <w:br/>
        <w:t>Progressively downsamples the 128-dimensional residual representation to 64 dimensions with intermediate Dropout (0.10) before projecting to the 3 output logits corresponding to Low, Medium, and High risk classes.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2160"/>
            <w:shd w:fill="1B365D"/>
            <w:tcMar>
              <w:top w:w="120" w:type="dxa"/>
              <w:bottom w:w="120" w:type="dxa"/>
              <w:left w:w="140" w:type="dxa"/>
              <w:right w:w="140" w:type="dxa"/>
            </w:tcMar>
          </w:tcPr>
          <w:p>
            <w:pPr>
              <w:jc w:val="left"/>
            </w:pPr>
            <w:r>
              <w:rPr>
                <w:b/>
                <w:color w:val="FFFFFF"/>
                <w:sz w:val="19"/>
              </w:rPr>
              <w:t>Layer / Stage</w:t>
            </w:r>
          </w:p>
        </w:tc>
        <w:tc>
          <w:tcPr>
            <w:tcW w:type="dxa" w:w="2016"/>
            <w:shd w:fill="1B365D"/>
            <w:tcMar>
              <w:top w:w="120" w:type="dxa"/>
              <w:bottom w:w="120" w:type="dxa"/>
              <w:left w:w="140" w:type="dxa"/>
              <w:right w:w="140" w:type="dxa"/>
            </w:tcMar>
          </w:tcPr>
          <w:p>
            <w:pPr>
              <w:jc w:val="left"/>
            </w:pPr>
            <w:r>
              <w:rPr>
                <w:b/>
                <w:color w:val="FFFFFF"/>
                <w:sz w:val="19"/>
              </w:rPr>
              <w:t>Tensor Shape</w:t>
            </w:r>
          </w:p>
        </w:tc>
        <w:tc>
          <w:tcPr>
            <w:tcW w:type="dxa" w:w="2592"/>
            <w:shd w:fill="1B365D"/>
            <w:tcMar>
              <w:top w:w="120" w:type="dxa"/>
              <w:bottom w:w="120" w:type="dxa"/>
              <w:left w:w="140" w:type="dxa"/>
              <w:right w:w="140" w:type="dxa"/>
            </w:tcMar>
          </w:tcPr>
          <w:p>
            <w:pPr>
              <w:jc w:val="left"/>
            </w:pPr>
            <w:r>
              <w:rPr>
                <w:b/>
                <w:color w:val="FFFFFF"/>
                <w:sz w:val="19"/>
              </w:rPr>
              <w:t>Functional Description</w:t>
            </w:r>
          </w:p>
        </w:tc>
        <w:tc>
          <w:tcPr>
            <w:tcW w:type="dxa" w:w="1872"/>
            <w:shd w:fill="1B365D"/>
            <w:tcMar>
              <w:top w:w="120" w:type="dxa"/>
              <w:bottom w:w="120" w:type="dxa"/>
              <w:left w:w="140" w:type="dxa"/>
              <w:right w:w="140" w:type="dxa"/>
            </w:tcMar>
          </w:tcPr>
          <w:p>
            <w:pPr>
              <w:jc w:val="left"/>
            </w:pPr>
            <w:r>
              <w:rPr>
                <w:b/>
                <w:color w:val="FFFFFF"/>
                <w:sz w:val="19"/>
              </w:rPr>
              <w:t>Activation &amp; Regularization</w:t>
            </w:r>
          </w:p>
        </w:tc>
        <w:tc>
          <w:tcPr>
            <w:tcW w:type="dxa" w:w="720"/>
            <w:shd w:fill="1B365D"/>
            <w:tcMar>
              <w:top w:w="120" w:type="dxa"/>
              <w:bottom w:w="120" w:type="dxa"/>
              <w:left w:w="140" w:type="dxa"/>
              <w:right w:w="140" w:type="dxa"/>
            </w:tcMar>
          </w:tcPr>
          <w:p>
            <w:pPr>
              <w:jc w:val="left"/>
            </w:pPr>
            <w:r>
              <w:rPr>
                <w:b/>
                <w:color w:val="FFFFFF"/>
                <w:sz w:val="19"/>
              </w:rPr>
              <w:t>Params</w:t>
            </w:r>
          </w:p>
        </w:tc>
      </w:tr>
      <w:tr>
        <w:tc>
          <w:tcPr>
            <w:tcW w:type="dxa" w:w="2160"/>
            <w:shd w:fill="FFFFFF"/>
            <w:tcMar>
              <w:top w:w="90" w:type="dxa"/>
              <w:bottom w:w="90" w:type="dxa"/>
              <w:left w:w="140" w:type="dxa"/>
              <w:right w:w="140" w:type="dxa"/>
            </w:tcMar>
          </w:tcPr>
          <w:p>
            <w:pPr>
              <w:jc w:val="left"/>
            </w:pPr>
            <w:r>
              <w:rPr>
                <w:color w:val="222222"/>
                <w:sz w:val="18"/>
              </w:rPr>
              <w:t>1. Input Vector</w:t>
            </w:r>
          </w:p>
        </w:tc>
        <w:tc>
          <w:tcPr>
            <w:tcW w:type="dxa" w:w="2016"/>
            <w:shd w:fill="FFFFFF"/>
            <w:tcMar>
              <w:top w:w="90" w:type="dxa"/>
              <w:bottom w:w="90" w:type="dxa"/>
              <w:left w:w="140" w:type="dxa"/>
              <w:right w:w="140" w:type="dxa"/>
            </w:tcMar>
          </w:tcPr>
          <w:p>
            <w:pPr>
              <w:jc w:val="left"/>
            </w:pPr>
            <w:r>
              <w:rPr>
                <w:color w:val="222222"/>
                <w:sz w:val="18"/>
              </w:rPr>
              <w:t>Tensor [B, 13]</w:t>
            </w:r>
          </w:p>
        </w:tc>
        <w:tc>
          <w:tcPr>
            <w:tcW w:type="dxa" w:w="2592"/>
            <w:shd w:fill="FFFFFF"/>
            <w:tcMar>
              <w:top w:w="90" w:type="dxa"/>
              <w:bottom w:w="90" w:type="dxa"/>
              <w:left w:w="140" w:type="dxa"/>
              <w:right w:w="140" w:type="dxa"/>
            </w:tcMar>
          </w:tcPr>
          <w:p>
            <w:pPr>
              <w:jc w:val="left"/>
            </w:pPr>
            <w:r>
              <w:rPr>
                <w:color w:val="222222"/>
                <w:sz w:val="18"/>
              </w:rPr>
              <w:t>13 normalized patient metrics</w:t>
            </w:r>
          </w:p>
        </w:tc>
        <w:tc>
          <w:tcPr>
            <w:tcW w:type="dxa" w:w="1872"/>
            <w:shd w:fill="FFFFFF"/>
            <w:tcMar>
              <w:top w:w="90" w:type="dxa"/>
              <w:bottom w:w="90" w:type="dxa"/>
              <w:left w:w="140" w:type="dxa"/>
              <w:right w:w="140" w:type="dxa"/>
            </w:tcMar>
          </w:tcPr>
          <w:p>
            <w:pPr>
              <w:jc w:val="left"/>
            </w:pPr>
            <w:r>
              <w:rPr>
                <w:color w:val="222222"/>
                <w:sz w:val="18"/>
              </w:rPr>
              <w:t>None</w:t>
            </w:r>
          </w:p>
        </w:tc>
        <w:tc>
          <w:tcPr>
            <w:tcW w:type="dxa" w:w="720"/>
            <w:shd w:fill="FFFFFF"/>
            <w:tcMar>
              <w:top w:w="90" w:type="dxa"/>
              <w:bottom w:w="90" w:type="dxa"/>
              <w:left w:w="140" w:type="dxa"/>
              <w:right w:w="140" w:type="dxa"/>
            </w:tcMar>
          </w:tcPr>
          <w:p>
            <w:pPr>
              <w:jc w:val="left"/>
            </w:pPr>
            <w:r>
              <w:rPr>
                <w:color w:val="222222"/>
                <w:sz w:val="18"/>
              </w:rPr>
              <w:t>0</w:t>
            </w:r>
          </w:p>
        </w:tc>
      </w:tr>
      <w:tr>
        <w:tc>
          <w:tcPr>
            <w:tcW w:type="dxa" w:w="2160"/>
            <w:shd w:fill="F4F7FA"/>
            <w:tcMar>
              <w:top w:w="90" w:type="dxa"/>
              <w:bottom w:w="90" w:type="dxa"/>
              <w:left w:w="140" w:type="dxa"/>
              <w:right w:w="140" w:type="dxa"/>
            </w:tcMar>
          </w:tcPr>
          <w:p>
            <w:pPr>
              <w:jc w:val="left"/>
            </w:pPr>
            <w:r>
              <w:rPr>
                <w:color w:val="222222"/>
                <w:sz w:val="18"/>
              </w:rPr>
              <w:t>2. Input Projection</w:t>
            </w:r>
          </w:p>
        </w:tc>
        <w:tc>
          <w:tcPr>
            <w:tcW w:type="dxa" w:w="2016"/>
            <w:shd w:fill="F4F7FA"/>
            <w:tcMar>
              <w:top w:w="90" w:type="dxa"/>
              <w:bottom w:w="90" w:type="dxa"/>
              <w:left w:w="140" w:type="dxa"/>
              <w:right w:w="140" w:type="dxa"/>
            </w:tcMar>
          </w:tcPr>
          <w:p>
            <w:pPr>
              <w:jc w:val="left"/>
            </w:pPr>
            <w:r>
              <w:rPr>
                <w:color w:val="222222"/>
                <w:sz w:val="18"/>
              </w:rPr>
              <w:t>Linear(13 -&gt; 128)</w:t>
            </w:r>
          </w:p>
        </w:tc>
        <w:tc>
          <w:tcPr>
            <w:tcW w:type="dxa" w:w="2592"/>
            <w:shd w:fill="F4F7FA"/>
            <w:tcMar>
              <w:top w:w="90" w:type="dxa"/>
              <w:bottom w:w="90" w:type="dxa"/>
              <w:left w:w="140" w:type="dxa"/>
              <w:right w:w="140" w:type="dxa"/>
            </w:tcMar>
          </w:tcPr>
          <w:p>
            <w:pPr>
              <w:jc w:val="left"/>
            </w:pPr>
            <w:r>
              <w:rPr>
                <w:color w:val="222222"/>
                <w:sz w:val="18"/>
              </w:rPr>
              <w:t>Projects features into latent manifold</w:t>
            </w:r>
          </w:p>
        </w:tc>
        <w:tc>
          <w:tcPr>
            <w:tcW w:type="dxa" w:w="1872"/>
            <w:shd w:fill="F4F7FA"/>
            <w:tcMar>
              <w:top w:w="90" w:type="dxa"/>
              <w:bottom w:w="90" w:type="dxa"/>
              <w:left w:w="140" w:type="dxa"/>
              <w:right w:w="140" w:type="dxa"/>
            </w:tcMar>
          </w:tcPr>
          <w:p>
            <w:pPr>
              <w:jc w:val="left"/>
            </w:pPr>
            <w:r>
              <w:rPr>
                <w:color w:val="222222"/>
                <w:sz w:val="18"/>
              </w:rPr>
              <w:t>GELU + BatchNorm1d</w:t>
            </w:r>
          </w:p>
        </w:tc>
        <w:tc>
          <w:tcPr>
            <w:tcW w:type="dxa" w:w="720"/>
            <w:shd w:fill="F4F7FA"/>
            <w:tcMar>
              <w:top w:w="90" w:type="dxa"/>
              <w:bottom w:w="90" w:type="dxa"/>
              <w:left w:w="140" w:type="dxa"/>
              <w:right w:w="140" w:type="dxa"/>
            </w:tcMar>
          </w:tcPr>
          <w:p>
            <w:pPr>
              <w:jc w:val="left"/>
            </w:pPr>
            <w:r>
              <w:rPr>
                <w:color w:val="222222"/>
                <w:sz w:val="18"/>
              </w:rPr>
              <w:t>1,792</w:t>
            </w:r>
          </w:p>
        </w:tc>
      </w:tr>
      <w:tr>
        <w:tc>
          <w:tcPr>
            <w:tcW w:type="dxa" w:w="2160"/>
            <w:shd w:fill="FFFFFF"/>
            <w:tcMar>
              <w:top w:w="90" w:type="dxa"/>
              <w:bottom w:w="90" w:type="dxa"/>
              <w:left w:w="140" w:type="dxa"/>
              <w:right w:w="140" w:type="dxa"/>
            </w:tcMar>
          </w:tcPr>
          <w:p>
            <w:pPr>
              <w:jc w:val="left"/>
            </w:pPr>
            <w:r>
              <w:rPr>
                <w:color w:val="222222"/>
                <w:sz w:val="18"/>
              </w:rPr>
              <w:t>3. ResBlock 1 (Dense 1)</w:t>
            </w:r>
          </w:p>
        </w:tc>
        <w:tc>
          <w:tcPr>
            <w:tcW w:type="dxa" w:w="2016"/>
            <w:shd w:fill="FFFFFF"/>
            <w:tcMar>
              <w:top w:w="90" w:type="dxa"/>
              <w:bottom w:w="90" w:type="dxa"/>
              <w:left w:w="140" w:type="dxa"/>
              <w:right w:w="140" w:type="dxa"/>
            </w:tcMar>
          </w:tcPr>
          <w:p>
            <w:pPr>
              <w:jc w:val="left"/>
            </w:pPr>
            <w:r>
              <w:rPr>
                <w:color w:val="222222"/>
                <w:sz w:val="18"/>
              </w:rPr>
              <w:t>Linear(128 -&gt; 128)</w:t>
            </w:r>
          </w:p>
        </w:tc>
        <w:tc>
          <w:tcPr>
            <w:tcW w:type="dxa" w:w="2592"/>
            <w:shd w:fill="FFFFFF"/>
            <w:tcMar>
              <w:top w:w="90" w:type="dxa"/>
              <w:bottom w:w="90" w:type="dxa"/>
              <w:left w:w="140" w:type="dxa"/>
              <w:right w:w="140" w:type="dxa"/>
            </w:tcMar>
          </w:tcPr>
          <w:p>
            <w:pPr>
              <w:jc w:val="left"/>
            </w:pPr>
            <w:r>
              <w:rPr>
                <w:color w:val="222222"/>
                <w:sz w:val="18"/>
              </w:rPr>
              <w:t>Residual feature extraction</w:t>
            </w:r>
          </w:p>
        </w:tc>
        <w:tc>
          <w:tcPr>
            <w:tcW w:type="dxa" w:w="1872"/>
            <w:shd w:fill="FFFFFF"/>
            <w:tcMar>
              <w:top w:w="90" w:type="dxa"/>
              <w:bottom w:w="90" w:type="dxa"/>
              <w:left w:w="140" w:type="dxa"/>
              <w:right w:w="140" w:type="dxa"/>
            </w:tcMar>
          </w:tcPr>
          <w:p>
            <w:pPr>
              <w:jc w:val="left"/>
            </w:pPr>
            <w:r>
              <w:rPr>
                <w:color w:val="222222"/>
                <w:sz w:val="18"/>
              </w:rPr>
              <w:t>GELU + BN + Drop(0.20)</w:t>
            </w:r>
          </w:p>
        </w:tc>
        <w:tc>
          <w:tcPr>
            <w:tcW w:type="dxa" w:w="720"/>
            <w:shd w:fill="FFFFFF"/>
            <w:tcMar>
              <w:top w:w="90" w:type="dxa"/>
              <w:bottom w:w="90" w:type="dxa"/>
              <w:left w:w="140" w:type="dxa"/>
              <w:right w:w="140" w:type="dxa"/>
            </w:tcMar>
          </w:tcPr>
          <w:p>
            <w:pPr>
              <w:jc w:val="left"/>
            </w:pPr>
            <w:r>
              <w:rPr>
                <w:color w:val="222222"/>
                <w:sz w:val="18"/>
              </w:rPr>
              <w:t>16,640</w:t>
            </w:r>
          </w:p>
        </w:tc>
      </w:tr>
      <w:tr>
        <w:tc>
          <w:tcPr>
            <w:tcW w:type="dxa" w:w="2160"/>
            <w:shd w:fill="F4F7FA"/>
            <w:tcMar>
              <w:top w:w="90" w:type="dxa"/>
              <w:bottom w:w="90" w:type="dxa"/>
              <w:left w:w="140" w:type="dxa"/>
              <w:right w:w="140" w:type="dxa"/>
            </w:tcMar>
          </w:tcPr>
          <w:p>
            <w:pPr>
              <w:jc w:val="left"/>
            </w:pPr>
            <w:r>
              <w:rPr>
                <w:color w:val="222222"/>
                <w:sz w:val="18"/>
              </w:rPr>
              <w:t>4. ResBlock 1 (Dense 2)</w:t>
            </w:r>
          </w:p>
        </w:tc>
        <w:tc>
          <w:tcPr>
            <w:tcW w:type="dxa" w:w="2016"/>
            <w:shd w:fill="F4F7FA"/>
            <w:tcMar>
              <w:top w:w="90" w:type="dxa"/>
              <w:bottom w:w="90" w:type="dxa"/>
              <w:left w:w="140" w:type="dxa"/>
              <w:right w:w="140" w:type="dxa"/>
            </w:tcMar>
          </w:tcPr>
          <w:p>
            <w:pPr>
              <w:jc w:val="left"/>
            </w:pPr>
            <w:r>
              <w:rPr>
                <w:color w:val="222222"/>
                <w:sz w:val="18"/>
              </w:rPr>
              <w:t>Linear(128 -&gt; 128)</w:t>
            </w:r>
          </w:p>
        </w:tc>
        <w:tc>
          <w:tcPr>
            <w:tcW w:type="dxa" w:w="2592"/>
            <w:shd w:fill="F4F7FA"/>
            <w:tcMar>
              <w:top w:w="90" w:type="dxa"/>
              <w:bottom w:w="90" w:type="dxa"/>
              <w:left w:w="140" w:type="dxa"/>
              <w:right w:w="140" w:type="dxa"/>
            </w:tcMar>
          </w:tcPr>
          <w:p>
            <w:pPr>
              <w:jc w:val="left"/>
            </w:pPr>
            <w:r>
              <w:rPr>
                <w:color w:val="222222"/>
                <w:sz w:val="18"/>
              </w:rPr>
              <w:t>Residual perturbation refinement</w:t>
            </w:r>
          </w:p>
        </w:tc>
        <w:tc>
          <w:tcPr>
            <w:tcW w:type="dxa" w:w="1872"/>
            <w:shd w:fill="F4F7FA"/>
            <w:tcMar>
              <w:top w:w="90" w:type="dxa"/>
              <w:bottom w:w="90" w:type="dxa"/>
              <w:left w:w="140" w:type="dxa"/>
              <w:right w:w="140" w:type="dxa"/>
            </w:tcMar>
          </w:tcPr>
          <w:p>
            <w:pPr>
              <w:jc w:val="left"/>
            </w:pPr>
            <w:r>
              <w:rPr>
                <w:color w:val="222222"/>
                <w:sz w:val="18"/>
              </w:rPr>
              <w:t>GELU + BN + Drop(0.15)</w:t>
            </w:r>
          </w:p>
        </w:tc>
        <w:tc>
          <w:tcPr>
            <w:tcW w:type="dxa" w:w="720"/>
            <w:shd w:fill="F4F7FA"/>
            <w:tcMar>
              <w:top w:w="90" w:type="dxa"/>
              <w:bottom w:w="90" w:type="dxa"/>
              <w:left w:w="140" w:type="dxa"/>
              <w:right w:w="140" w:type="dxa"/>
            </w:tcMar>
          </w:tcPr>
          <w:p>
            <w:pPr>
              <w:jc w:val="left"/>
            </w:pPr>
            <w:r>
              <w:rPr>
                <w:color w:val="222222"/>
                <w:sz w:val="18"/>
              </w:rPr>
              <w:t>16,640</w:t>
            </w:r>
          </w:p>
        </w:tc>
      </w:tr>
      <w:tr>
        <w:tc>
          <w:tcPr>
            <w:tcW w:type="dxa" w:w="2160"/>
            <w:shd w:fill="FFFFFF"/>
            <w:tcMar>
              <w:top w:w="90" w:type="dxa"/>
              <w:bottom w:w="90" w:type="dxa"/>
              <w:left w:w="140" w:type="dxa"/>
              <w:right w:w="140" w:type="dxa"/>
            </w:tcMar>
          </w:tcPr>
          <w:p>
            <w:pPr>
              <w:jc w:val="left"/>
            </w:pPr>
            <w:r>
              <w:rPr>
                <w:color w:val="222222"/>
                <w:sz w:val="18"/>
              </w:rPr>
              <w:t>5. ResBlock 1 Addition</w:t>
            </w:r>
          </w:p>
        </w:tc>
        <w:tc>
          <w:tcPr>
            <w:tcW w:type="dxa" w:w="2016"/>
            <w:shd w:fill="FFFFFF"/>
            <w:tcMar>
              <w:top w:w="90" w:type="dxa"/>
              <w:bottom w:w="90" w:type="dxa"/>
              <w:left w:w="140" w:type="dxa"/>
              <w:right w:w="140" w:type="dxa"/>
            </w:tcMar>
          </w:tcPr>
          <w:p>
            <w:pPr>
              <w:jc w:val="left"/>
            </w:pPr>
            <w:r>
              <w:rPr>
                <w:color w:val="222222"/>
                <w:sz w:val="18"/>
              </w:rPr>
              <w:t>Tensor [B, 128]</w:t>
            </w:r>
          </w:p>
        </w:tc>
        <w:tc>
          <w:tcPr>
            <w:tcW w:type="dxa" w:w="2592"/>
            <w:shd w:fill="FFFFFF"/>
            <w:tcMar>
              <w:top w:w="90" w:type="dxa"/>
              <w:bottom w:w="90" w:type="dxa"/>
              <w:left w:w="140" w:type="dxa"/>
              <w:right w:w="140" w:type="dxa"/>
            </w:tcMar>
          </w:tcPr>
          <w:p>
            <w:pPr>
              <w:jc w:val="left"/>
            </w:pPr>
            <w:r>
              <w:rPr>
                <w:color w:val="222222"/>
                <w:sz w:val="18"/>
              </w:rPr>
              <w:t>Elementwise sum: y = x + F(x)</w:t>
            </w:r>
          </w:p>
        </w:tc>
        <w:tc>
          <w:tcPr>
            <w:tcW w:type="dxa" w:w="1872"/>
            <w:shd w:fill="FFFFFF"/>
            <w:tcMar>
              <w:top w:w="90" w:type="dxa"/>
              <w:bottom w:w="90" w:type="dxa"/>
              <w:left w:w="140" w:type="dxa"/>
              <w:right w:w="140" w:type="dxa"/>
            </w:tcMar>
          </w:tcPr>
          <w:p>
            <w:pPr>
              <w:jc w:val="left"/>
            </w:pPr>
            <w:r>
              <w:rPr>
                <w:color w:val="222222"/>
                <w:sz w:val="18"/>
              </w:rPr>
              <w:t>Identity Skip</w:t>
            </w:r>
          </w:p>
        </w:tc>
        <w:tc>
          <w:tcPr>
            <w:tcW w:type="dxa" w:w="720"/>
            <w:shd w:fill="FFFFFF"/>
            <w:tcMar>
              <w:top w:w="90" w:type="dxa"/>
              <w:bottom w:w="90" w:type="dxa"/>
              <w:left w:w="140" w:type="dxa"/>
              <w:right w:w="140" w:type="dxa"/>
            </w:tcMar>
          </w:tcPr>
          <w:p>
            <w:pPr>
              <w:jc w:val="left"/>
            </w:pPr>
            <w:r>
              <w:rPr>
                <w:color w:val="222222"/>
                <w:sz w:val="18"/>
              </w:rPr>
              <w:t>0</w:t>
            </w:r>
          </w:p>
        </w:tc>
      </w:tr>
      <w:tr>
        <w:tc>
          <w:tcPr>
            <w:tcW w:type="dxa" w:w="2160"/>
            <w:shd w:fill="F4F7FA"/>
            <w:tcMar>
              <w:top w:w="90" w:type="dxa"/>
              <w:bottom w:w="90" w:type="dxa"/>
              <w:left w:w="140" w:type="dxa"/>
              <w:right w:w="140" w:type="dxa"/>
            </w:tcMar>
          </w:tcPr>
          <w:p>
            <w:pPr>
              <w:jc w:val="left"/>
            </w:pPr>
            <w:r>
              <w:rPr>
                <w:color w:val="222222"/>
                <w:sz w:val="18"/>
              </w:rPr>
              <w:t>6. ResBlock 2 (Dense 1)</w:t>
            </w:r>
          </w:p>
        </w:tc>
        <w:tc>
          <w:tcPr>
            <w:tcW w:type="dxa" w:w="2016"/>
            <w:shd w:fill="F4F7FA"/>
            <w:tcMar>
              <w:top w:w="90" w:type="dxa"/>
              <w:bottom w:w="90" w:type="dxa"/>
              <w:left w:w="140" w:type="dxa"/>
              <w:right w:w="140" w:type="dxa"/>
            </w:tcMar>
          </w:tcPr>
          <w:p>
            <w:pPr>
              <w:jc w:val="left"/>
            </w:pPr>
            <w:r>
              <w:rPr>
                <w:color w:val="222222"/>
                <w:sz w:val="18"/>
              </w:rPr>
              <w:t>Linear(128 -&gt; 128)</w:t>
            </w:r>
          </w:p>
        </w:tc>
        <w:tc>
          <w:tcPr>
            <w:tcW w:type="dxa" w:w="2592"/>
            <w:shd w:fill="F4F7FA"/>
            <w:tcMar>
              <w:top w:w="90" w:type="dxa"/>
              <w:bottom w:w="90" w:type="dxa"/>
              <w:left w:w="140" w:type="dxa"/>
              <w:right w:w="140" w:type="dxa"/>
            </w:tcMar>
          </w:tcPr>
          <w:p>
            <w:pPr>
              <w:jc w:val="left"/>
            </w:pPr>
            <w:r>
              <w:rPr>
                <w:color w:val="222222"/>
                <w:sz w:val="18"/>
              </w:rPr>
              <w:t>Deep non-linear feature interaction</w:t>
            </w:r>
          </w:p>
        </w:tc>
        <w:tc>
          <w:tcPr>
            <w:tcW w:type="dxa" w:w="1872"/>
            <w:shd w:fill="F4F7FA"/>
            <w:tcMar>
              <w:top w:w="90" w:type="dxa"/>
              <w:bottom w:w="90" w:type="dxa"/>
              <w:left w:w="140" w:type="dxa"/>
              <w:right w:w="140" w:type="dxa"/>
            </w:tcMar>
          </w:tcPr>
          <w:p>
            <w:pPr>
              <w:jc w:val="left"/>
            </w:pPr>
            <w:r>
              <w:rPr>
                <w:color w:val="222222"/>
                <w:sz w:val="18"/>
              </w:rPr>
              <w:t>GELU + BN + Drop(0.20)</w:t>
            </w:r>
          </w:p>
        </w:tc>
        <w:tc>
          <w:tcPr>
            <w:tcW w:type="dxa" w:w="720"/>
            <w:shd w:fill="F4F7FA"/>
            <w:tcMar>
              <w:top w:w="90" w:type="dxa"/>
              <w:bottom w:w="90" w:type="dxa"/>
              <w:left w:w="140" w:type="dxa"/>
              <w:right w:w="140" w:type="dxa"/>
            </w:tcMar>
          </w:tcPr>
          <w:p>
            <w:pPr>
              <w:jc w:val="left"/>
            </w:pPr>
            <w:r>
              <w:rPr>
                <w:color w:val="222222"/>
                <w:sz w:val="18"/>
              </w:rPr>
              <w:t>16,640</w:t>
            </w:r>
          </w:p>
        </w:tc>
      </w:tr>
      <w:tr>
        <w:tc>
          <w:tcPr>
            <w:tcW w:type="dxa" w:w="2160"/>
            <w:shd w:fill="FFFFFF"/>
            <w:tcMar>
              <w:top w:w="90" w:type="dxa"/>
              <w:bottom w:w="90" w:type="dxa"/>
              <w:left w:w="140" w:type="dxa"/>
              <w:right w:w="140" w:type="dxa"/>
            </w:tcMar>
          </w:tcPr>
          <w:p>
            <w:pPr>
              <w:jc w:val="left"/>
            </w:pPr>
            <w:r>
              <w:rPr>
                <w:color w:val="222222"/>
                <w:sz w:val="18"/>
              </w:rPr>
              <w:t>7. ResBlock 2 (Dense 2)</w:t>
            </w:r>
          </w:p>
        </w:tc>
        <w:tc>
          <w:tcPr>
            <w:tcW w:type="dxa" w:w="2016"/>
            <w:shd w:fill="FFFFFF"/>
            <w:tcMar>
              <w:top w:w="90" w:type="dxa"/>
              <w:bottom w:w="90" w:type="dxa"/>
              <w:left w:w="140" w:type="dxa"/>
              <w:right w:w="140" w:type="dxa"/>
            </w:tcMar>
          </w:tcPr>
          <w:p>
            <w:pPr>
              <w:jc w:val="left"/>
            </w:pPr>
            <w:r>
              <w:rPr>
                <w:color w:val="222222"/>
                <w:sz w:val="18"/>
              </w:rPr>
              <w:t>Linear(128 -&gt; 128)</w:t>
            </w:r>
          </w:p>
        </w:tc>
        <w:tc>
          <w:tcPr>
            <w:tcW w:type="dxa" w:w="2592"/>
            <w:shd w:fill="FFFFFF"/>
            <w:tcMar>
              <w:top w:w="90" w:type="dxa"/>
              <w:bottom w:w="90" w:type="dxa"/>
              <w:left w:w="140" w:type="dxa"/>
              <w:right w:w="140" w:type="dxa"/>
            </w:tcMar>
          </w:tcPr>
          <w:p>
            <w:pPr>
              <w:jc w:val="left"/>
            </w:pPr>
            <w:r>
              <w:rPr>
                <w:color w:val="222222"/>
                <w:sz w:val="18"/>
              </w:rPr>
              <w:t>Higher-order metabolic abstraction</w:t>
            </w:r>
          </w:p>
        </w:tc>
        <w:tc>
          <w:tcPr>
            <w:tcW w:type="dxa" w:w="1872"/>
            <w:shd w:fill="FFFFFF"/>
            <w:tcMar>
              <w:top w:w="90" w:type="dxa"/>
              <w:bottom w:w="90" w:type="dxa"/>
              <w:left w:w="140" w:type="dxa"/>
              <w:right w:w="140" w:type="dxa"/>
            </w:tcMar>
          </w:tcPr>
          <w:p>
            <w:pPr>
              <w:jc w:val="left"/>
            </w:pPr>
            <w:r>
              <w:rPr>
                <w:color w:val="222222"/>
                <w:sz w:val="18"/>
              </w:rPr>
              <w:t>GELU + BN + Drop(0.15)</w:t>
            </w:r>
          </w:p>
        </w:tc>
        <w:tc>
          <w:tcPr>
            <w:tcW w:type="dxa" w:w="720"/>
            <w:shd w:fill="FFFFFF"/>
            <w:tcMar>
              <w:top w:w="90" w:type="dxa"/>
              <w:bottom w:w="90" w:type="dxa"/>
              <w:left w:w="140" w:type="dxa"/>
              <w:right w:w="140" w:type="dxa"/>
            </w:tcMar>
          </w:tcPr>
          <w:p>
            <w:pPr>
              <w:jc w:val="left"/>
            </w:pPr>
            <w:r>
              <w:rPr>
                <w:color w:val="222222"/>
                <w:sz w:val="18"/>
              </w:rPr>
              <w:t>16,640</w:t>
            </w:r>
          </w:p>
        </w:tc>
      </w:tr>
      <w:tr>
        <w:tc>
          <w:tcPr>
            <w:tcW w:type="dxa" w:w="2160"/>
            <w:shd w:fill="F4F7FA"/>
            <w:tcMar>
              <w:top w:w="90" w:type="dxa"/>
              <w:bottom w:w="90" w:type="dxa"/>
              <w:left w:w="140" w:type="dxa"/>
              <w:right w:w="140" w:type="dxa"/>
            </w:tcMar>
          </w:tcPr>
          <w:p>
            <w:pPr>
              <w:jc w:val="left"/>
            </w:pPr>
            <w:r>
              <w:rPr>
                <w:color w:val="222222"/>
                <w:sz w:val="18"/>
              </w:rPr>
              <w:t>8. ResBlock 2 Addition</w:t>
            </w:r>
          </w:p>
        </w:tc>
        <w:tc>
          <w:tcPr>
            <w:tcW w:type="dxa" w:w="2016"/>
            <w:shd w:fill="F4F7FA"/>
            <w:tcMar>
              <w:top w:w="90" w:type="dxa"/>
              <w:bottom w:w="90" w:type="dxa"/>
              <w:left w:w="140" w:type="dxa"/>
              <w:right w:w="140" w:type="dxa"/>
            </w:tcMar>
          </w:tcPr>
          <w:p>
            <w:pPr>
              <w:jc w:val="left"/>
            </w:pPr>
            <w:r>
              <w:rPr>
                <w:color w:val="222222"/>
                <w:sz w:val="18"/>
              </w:rPr>
              <w:t>Tensor [B, 128]</w:t>
            </w:r>
          </w:p>
        </w:tc>
        <w:tc>
          <w:tcPr>
            <w:tcW w:type="dxa" w:w="2592"/>
            <w:shd w:fill="F4F7FA"/>
            <w:tcMar>
              <w:top w:w="90" w:type="dxa"/>
              <w:bottom w:w="90" w:type="dxa"/>
              <w:left w:w="140" w:type="dxa"/>
              <w:right w:w="140" w:type="dxa"/>
            </w:tcMar>
          </w:tcPr>
          <w:p>
            <w:pPr>
              <w:jc w:val="left"/>
            </w:pPr>
            <w:r>
              <w:rPr>
                <w:color w:val="222222"/>
                <w:sz w:val="18"/>
              </w:rPr>
              <w:t>Elementwise sum: y = x + F(x)</w:t>
            </w:r>
          </w:p>
        </w:tc>
        <w:tc>
          <w:tcPr>
            <w:tcW w:type="dxa" w:w="1872"/>
            <w:shd w:fill="F4F7FA"/>
            <w:tcMar>
              <w:top w:w="90" w:type="dxa"/>
              <w:bottom w:w="90" w:type="dxa"/>
              <w:left w:w="140" w:type="dxa"/>
              <w:right w:w="140" w:type="dxa"/>
            </w:tcMar>
          </w:tcPr>
          <w:p>
            <w:pPr>
              <w:jc w:val="left"/>
            </w:pPr>
            <w:r>
              <w:rPr>
                <w:color w:val="222222"/>
                <w:sz w:val="18"/>
              </w:rPr>
              <w:t>Identity Skip</w:t>
            </w:r>
          </w:p>
        </w:tc>
        <w:tc>
          <w:tcPr>
            <w:tcW w:type="dxa" w:w="720"/>
            <w:shd w:fill="F4F7FA"/>
            <w:tcMar>
              <w:top w:w="90" w:type="dxa"/>
              <w:bottom w:w="90" w:type="dxa"/>
              <w:left w:w="140" w:type="dxa"/>
              <w:right w:w="140" w:type="dxa"/>
            </w:tcMar>
          </w:tcPr>
          <w:p>
            <w:pPr>
              <w:jc w:val="left"/>
            </w:pPr>
            <w:r>
              <w:rPr>
                <w:color w:val="222222"/>
                <w:sz w:val="18"/>
              </w:rPr>
              <w:t>0</w:t>
            </w:r>
          </w:p>
        </w:tc>
      </w:tr>
      <w:tr>
        <w:tc>
          <w:tcPr>
            <w:tcW w:type="dxa" w:w="2160"/>
            <w:shd w:fill="FFFFFF"/>
            <w:tcMar>
              <w:top w:w="90" w:type="dxa"/>
              <w:bottom w:w="90" w:type="dxa"/>
              <w:left w:w="140" w:type="dxa"/>
              <w:right w:w="140" w:type="dxa"/>
            </w:tcMar>
          </w:tcPr>
          <w:p>
            <w:pPr>
              <w:jc w:val="left"/>
            </w:pPr>
            <w:r>
              <w:rPr>
                <w:color w:val="222222"/>
                <w:sz w:val="18"/>
              </w:rPr>
              <w:t>9. Classifier Dense 1</w:t>
            </w:r>
          </w:p>
        </w:tc>
        <w:tc>
          <w:tcPr>
            <w:tcW w:type="dxa" w:w="2016"/>
            <w:shd w:fill="FFFFFF"/>
            <w:tcMar>
              <w:top w:w="90" w:type="dxa"/>
              <w:bottom w:w="90" w:type="dxa"/>
              <w:left w:w="140" w:type="dxa"/>
              <w:right w:w="140" w:type="dxa"/>
            </w:tcMar>
          </w:tcPr>
          <w:p>
            <w:pPr>
              <w:jc w:val="left"/>
            </w:pPr>
            <w:r>
              <w:rPr>
                <w:color w:val="222222"/>
                <w:sz w:val="18"/>
              </w:rPr>
              <w:t>Linear(128 -&gt; 64)</w:t>
            </w:r>
          </w:p>
        </w:tc>
        <w:tc>
          <w:tcPr>
            <w:tcW w:type="dxa" w:w="2592"/>
            <w:shd w:fill="FFFFFF"/>
            <w:tcMar>
              <w:top w:w="90" w:type="dxa"/>
              <w:bottom w:w="90" w:type="dxa"/>
              <w:left w:w="140" w:type="dxa"/>
              <w:right w:w="140" w:type="dxa"/>
            </w:tcMar>
          </w:tcPr>
          <w:p>
            <w:pPr>
              <w:jc w:val="left"/>
            </w:pPr>
            <w:r>
              <w:rPr>
                <w:color w:val="222222"/>
                <w:sz w:val="18"/>
              </w:rPr>
              <w:t>Dimensionality compression</w:t>
            </w:r>
          </w:p>
        </w:tc>
        <w:tc>
          <w:tcPr>
            <w:tcW w:type="dxa" w:w="1872"/>
            <w:shd w:fill="FFFFFF"/>
            <w:tcMar>
              <w:top w:w="90" w:type="dxa"/>
              <w:bottom w:w="90" w:type="dxa"/>
              <w:left w:w="140" w:type="dxa"/>
              <w:right w:w="140" w:type="dxa"/>
            </w:tcMar>
          </w:tcPr>
          <w:p>
            <w:pPr>
              <w:jc w:val="left"/>
            </w:pPr>
            <w:r>
              <w:rPr>
                <w:color w:val="222222"/>
                <w:sz w:val="18"/>
              </w:rPr>
              <w:t>GELU + BN + Drop(0.10)</w:t>
            </w:r>
          </w:p>
        </w:tc>
        <w:tc>
          <w:tcPr>
            <w:tcW w:type="dxa" w:w="720"/>
            <w:shd w:fill="FFFFFF"/>
            <w:tcMar>
              <w:top w:w="90" w:type="dxa"/>
              <w:bottom w:w="90" w:type="dxa"/>
              <w:left w:w="140" w:type="dxa"/>
              <w:right w:w="140" w:type="dxa"/>
            </w:tcMar>
          </w:tcPr>
          <w:p>
            <w:pPr>
              <w:jc w:val="left"/>
            </w:pPr>
            <w:r>
              <w:rPr>
                <w:color w:val="222222"/>
                <w:sz w:val="18"/>
              </w:rPr>
              <w:t>8,320</w:t>
            </w:r>
          </w:p>
        </w:tc>
      </w:tr>
      <w:tr>
        <w:tc>
          <w:tcPr>
            <w:tcW w:type="dxa" w:w="2160"/>
            <w:shd w:fill="F4F7FA"/>
            <w:tcMar>
              <w:top w:w="90" w:type="dxa"/>
              <w:bottom w:w="90" w:type="dxa"/>
              <w:left w:w="140" w:type="dxa"/>
              <w:right w:w="140" w:type="dxa"/>
            </w:tcMar>
          </w:tcPr>
          <w:p>
            <w:pPr>
              <w:jc w:val="left"/>
            </w:pPr>
            <w:r>
              <w:rPr>
                <w:color w:val="222222"/>
                <w:sz w:val="18"/>
              </w:rPr>
              <w:t>10. Classifier Logits</w:t>
            </w:r>
          </w:p>
        </w:tc>
        <w:tc>
          <w:tcPr>
            <w:tcW w:type="dxa" w:w="2016"/>
            <w:shd w:fill="F4F7FA"/>
            <w:tcMar>
              <w:top w:w="90" w:type="dxa"/>
              <w:bottom w:w="90" w:type="dxa"/>
              <w:left w:w="140" w:type="dxa"/>
              <w:right w:w="140" w:type="dxa"/>
            </w:tcMar>
          </w:tcPr>
          <w:p>
            <w:pPr>
              <w:jc w:val="left"/>
            </w:pPr>
            <w:r>
              <w:rPr>
                <w:color w:val="222222"/>
                <w:sz w:val="18"/>
              </w:rPr>
              <w:t>Linear(64 -&gt; 3)</w:t>
            </w:r>
          </w:p>
        </w:tc>
        <w:tc>
          <w:tcPr>
            <w:tcW w:type="dxa" w:w="2592"/>
            <w:shd w:fill="F4F7FA"/>
            <w:tcMar>
              <w:top w:w="90" w:type="dxa"/>
              <w:bottom w:w="90" w:type="dxa"/>
              <w:left w:w="140" w:type="dxa"/>
              <w:right w:w="140" w:type="dxa"/>
            </w:tcMar>
          </w:tcPr>
          <w:p>
            <w:pPr>
              <w:jc w:val="left"/>
            </w:pPr>
            <w:r>
              <w:rPr>
                <w:color w:val="222222"/>
                <w:sz w:val="18"/>
              </w:rPr>
              <w:t>Unnormalized class logits</w:t>
            </w:r>
          </w:p>
        </w:tc>
        <w:tc>
          <w:tcPr>
            <w:tcW w:type="dxa" w:w="1872"/>
            <w:shd w:fill="F4F7FA"/>
            <w:tcMar>
              <w:top w:w="90" w:type="dxa"/>
              <w:bottom w:w="90" w:type="dxa"/>
              <w:left w:w="140" w:type="dxa"/>
              <w:right w:w="140" w:type="dxa"/>
            </w:tcMar>
          </w:tcPr>
          <w:p>
            <w:pPr>
              <w:jc w:val="left"/>
            </w:pPr>
            <w:r>
              <w:rPr>
                <w:color w:val="222222"/>
                <w:sz w:val="18"/>
              </w:rPr>
              <w:t>Softmax Calibration</w:t>
            </w:r>
          </w:p>
        </w:tc>
        <w:tc>
          <w:tcPr>
            <w:tcW w:type="dxa" w:w="720"/>
            <w:shd w:fill="F4F7FA"/>
            <w:tcMar>
              <w:top w:w="90" w:type="dxa"/>
              <w:bottom w:w="90" w:type="dxa"/>
              <w:left w:w="140" w:type="dxa"/>
              <w:right w:w="140" w:type="dxa"/>
            </w:tcMar>
          </w:tcPr>
          <w:p>
            <w:pPr>
              <w:jc w:val="left"/>
            </w:pPr>
            <w:r>
              <w:rPr>
                <w:color w:val="222222"/>
                <w:sz w:val="18"/>
              </w:rPr>
              <w:t>195</w:t>
            </w:r>
          </w:p>
        </w:tc>
      </w:tr>
      <w:tr>
        <w:tc>
          <w:tcPr>
            <w:tcW w:type="dxa" w:w="2160"/>
            <w:shd w:fill="FFFFFF"/>
            <w:tcMar>
              <w:top w:w="90" w:type="dxa"/>
              <w:bottom w:w="90" w:type="dxa"/>
              <w:left w:w="140" w:type="dxa"/>
              <w:right w:w="140" w:type="dxa"/>
            </w:tcMar>
          </w:tcPr>
          <w:p>
            <w:pPr>
              <w:jc w:val="left"/>
            </w:pPr>
            <w:r>
              <w:rPr>
                <w:color w:val="222222"/>
                <w:sz w:val="18"/>
              </w:rPr>
              <w:t>Total Parameters</w:t>
            </w:r>
          </w:p>
        </w:tc>
        <w:tc>
          <w:tcPr>
            <w:tcW w:type="dxa" w:w="2016"/>
            <w:shd w:fill="FFFFFF"/>
            <w:tcMar>
              <w:top w:w="90" w:type="dxa"/>
              <w:bottom w:w="90" w:type="dxa"/>
              <w:left w:w="140" w:type="dxa"/>
              <w:right w:w="140" w:type="dxa"/>
            </w:tcMar>
          </w:tcPr>
          <w:p>
            <w:pPr>
              <w:jc w:val="left"/>
            </w:pPr>
            <w:r>
              <w:rPr>
                <w:color w:val="222222"/>
                <w:sz w:val="18"/>
              </w:rPr>
              <w:t>76,867 Trainable Parameters</w:t>
            </w:r>
          </w:p>
        </w:tc>
        <w:tc>
          <w:tcPr>
            <w:tcW w:type="dxa" w:w="2592"/>
            <w:shd w:fill="FFFFFF"/>
            <w:tcMar>
              <w:top w:w="90" w:type="dxa"/>
              <w:bottom w:w="90" w:type="dxa"/>
              <w:left w:w="140" w:type="dxa"/>
              <w:right w:w="140" w:type="dxa"/>
            </w:tcMar>
          </w:tcPr>
          <w:p>
            <w:pPr>
              <w:jc w:val="left"/>
            </w:pPr>
            <w:r>
              <w:rPr>
                <w:color w:val="222222"/>
                <w:sz w:val="18"/>
              </w:rPr>
              <w:t>Serialized model file: diabetes_deep_model.pt (331 KB)</w:t>
            </w:r>
          </w:p>
        </w:tc>
        <w:tc>
          <w:tcPr>
            <w:tcW w:type="dxa" w:w="1872"/>
            <w:shd w:fill="FFFFFF"/>
            <w:tcMar>
              <w:top w:w="90" w:type="dxa"/>
              <w:bottom w:w="90" w:type="dxa"/>
              <w:left w:w="140" w:type="dxa"/>
              <w:right w:w="140" w:type="dxa"/>
            </w:tcMar>
          </w:tcPr>
          <w:p>
            <w:pPr>
              <w:jc w:val="left"/>
            </w:pPr>
            <w:r>
              <w:rPr>
                <w:color w:val="222222"/>
                <w:sz w:val="18"/>
              </w:rPr>
              <w:t>Kaeming Normal Init</w:t>
            </w:r>
          </w:p>
        </w:tc>
        <w:tc>
          <w:tcPr>
            <w:tcW w:type="dxa" w:w="720"/>
            <w:shd w:fill="FFFFFF"/>
            <w:tcMar>
              <w:top w:w="90" w:type="dxa"/>
              <w:bottom w:w="90" w:type="dxa"/>
              <w:left w:w="140" w:type="dxa"/>
              <w:right w:w="140" w:type="dxa"/>
            </w:tcMar>
          </w:tcPr>
          <w:p>
            <w:pPr>
              <w:jc w:val="left"/>
            </w:pPr>
            <w:r>
              <w:rPr>
                <w:color w:val="222222"/>
                <w:sz w:val="18"/>
              </w:rPr>
              <w:t>76,867</w:t>
            </w:r>
          </w:p>
        </w:tc>
      </w:tr>
    </w:tbl>
    <w:p/>
    <w:p>
      <w:pPr>
        <w:spacing w:before="160" w:after="8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3_neural_architecture.png"/>
                    <pic:cNvPicPr/>
                  </pic:nvPicPr>
                  <pic:blipFill>
                    <a:blip r:embed="rId14"/>
                    <a:stretch>
                      <a:fillRect/>
                    </a:stretch>
                  </pic:blipFill>
                  <pic:spPr>
                    <a:xfrm>
                      <a:off x="0" y="0"/>
                      <a:ext cx="5669280" cy="3401568"/>
                    </a:xfrm>
                    <a:prstGeom prst="rect"/>
                  </pic:spPr>
                </pic:pic>
              </a:graphicData>
            </a:graphic>
          </wp:inline>
        </w:drawing>
      </w:r>
    </w:p>
    <w:p>
      <w:pPr>
        <w:spacing w:after="240"/>
        <w:jc w:val="center"/>
      </w:pPr>
      <w:r>
        <w:rPr>
          <w:i/>
          <w:color w:val="64748B"/>
          <w:sz w:val="18"/>
        </w:rPr>
        <w:t>Figure 5.1: Deep Tabular ResNet (DiabetesTabularResNet) Neural Architecture Schematic.</w:t>
      </w:r>
    </w:p>
    <w:p>
      <w:pPr>
        <w:keepNext/>
        <w:spacing w:before="360" w:after="160"/>
      </w:pPr>
      <w:r>
        <w:rPr>
          <w:rFonts w:ascii="Arial" w:hAnsi="Arial"/>
          <w:b/>
          <w:color w:val="1B365D"/>
          <w:sz w:val="36"/>
        </w:rPr>
        <w:t>Chapter 6: Training Methodology &amp; Regularization Strategies</w:t>
      </w:r>
    </w:p>
    <w:p>
      <w:r>
        <w:t>To achieve 98.60% out-of-sample accuracy without overfitting the 1,898 cohort records, modern deep learning training recipes were synthesized and adapted for tabular tensors:</w:t>
      </w:r>
    </w:p>
    <w:p>
      <w:r>
        <w:t>1. 3-Way Stratified Data Splitting:</w:t>
        <w:br/>
        <w:t>The dataset was partitioned into 70% Training (1,328 patients), 15% Validation (285 patients), and 15% Test (285 patients). Stratification guaranteed identical class ratios across all partitions.</w:t>
      </w:r>
    </w:p>
    <w:p>
      <w:r>
        <w:t>2. MixUp Data Augmentation:</w:t>
        <w:br/>
        <w:t>MixUp creates synthetic virtual training examples by convex combinations of pairs of examples and their one-hot labels: x' = λ x_i + (1 - λ) x_j, where λ ~ Beta(0.2, 0.2). Applied with a 50% probability, MixUp regularizes the neural network by enforcing linear behavior between discrete training clusters.</w:t>
      </w:r>
    </w:p>
    <w:p>
      <w:r>
        <w:t>3. Label Smoothing Cross-Entropy:</w:t>
        <w:br/>
        <w:t>Standard one-hot targets encourage the network to output extreme logit values, leading to overconfident misclassifications on borderline patients. Label smoothing (ε = 0.03) replaces hard targets with soft targets: y_smooth = (1 - ε) y + ε / K.</w:t>
      </w:r>
    </w:p>
    <w:p>
      <w:r>
        <w:t>4. AdamW Optimizer with Cosine Annealing:</w:t>
        <w:br/>
        <w:t>The AdamW optimizer decouples weight decay (1e-4) from gradient updates. The learning rate begins at 3e-3 and follows a Cosine Annealing schedule across 500 epochs down to η_min = 1e-5.</w:t>
      </w:r>
    </w:p>
    <w:p>
      <w:pPr>
        <w:keepNext/>
        <w:spacing w:before="360" w:after="160"/>
      </w:pPr>
      <w:r>
        <w:rPr>
          <w:rFonts w:ascii="Arial" w:hAnsi="Arial"/>
          <w:b/>
          <w:color w:val="1B365D"/>
          <w:sz w:val="36"/>
        </w:rPr>
        <w:t>Chapter 7: Model Evaluation, Multi-Class Benchmarks &amp; Validation Metrics</w:t>
      </w:r>
    </w:p>
    <w:p>
      <w:r>
        <w:t>Model performance was finalized on the 285-patient holdout test partition. The model achieved 98.60% overall accuracy (281 / 285 correct). The complete classification metrics per risk tier are reported in Table 7.1:</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3024"/>
            <w:shd w:fill="1B365D"/>
            <w:tcMar>
              <w:top w:w="120" w:type="dxa"/>
              <w:bottom w:w="120" w:type="dxa"/>
              <w:left w:w="140" w:type="dxa"/>
              <w:right w:w="140" w:type="dxa"/>
            </w:tcMar>
          </w:tcPr>
          <w:p>
            <w:pPr>
              <w:jc w:val="left"/>
            </w:pPr>
            <w:r>
              <w:rPr>
                <w:b/>
                <w:color w:val="FFFFFF"/>
                <w:sz w:val="19"/>
              </w:rPr>
              <w:t>Clinical Risk Category</w:t>
            </w:r>
          </w:p>
        </w:tc>
        <w:tc>
          <w:tcPr>
            <w:tcW w:type="dxa" w:w="1584"/>
            <w:shd w:fill="1B365D"/>
            <w:tcMar>
              <w:top w:w="120" w:type="dxa"/>
              <w:bottom w:w="120" w:type="dxa"/>
              <w:left w:w="140" w:type="dxa"/>
              <w:right w:w="140" w:type="dxa"/>
            </w:tcMar>
          </w:tcPr>
          <w:p>
            <w:pPr>
              <w:jc w:val="left"/>
            </w:pPr>
            <w:r>
              <w:rPr>
                <w:b/>
                <w:color w:val="FFFFFF"/>
                <w:sz w:val="19"/>
              </w:rPr>
              <w:t>Precision</w:t>
            </w:r>
          </w:p>
        </w:tc>
        <w:tc>
          <w:tcPr>
            <w:tcW w:type="dxa" w:w="1872"/>
            <w:shd w:fill="1B365D"/>
            <w:tcMar>
              <w:top w:w="120" w:type="dxa"/>
              <w:bottom w:w="120" w:type="dxa"/>
              <w:left w:w="140" w:type="dxa"/>
              <w:right w:w="140" w:type="dxa"/>
            </w:tcMar>
          </w:tcPr>
          <w:p>
            <w:pPr>
              <w:jc w:val="left"/>
            </w:pPr>
            <w:r>
              <w:rPr>
                <w:b/>
                <w:color w:val="FFFFFF"/>
                <w:sz w:val="19"/>
              </w:rPr>
              <w:t>Recall (Sensitivity)</w:t>
            </w:r>
          </w:p>
        </w:tc>
        <w:tc>
          <w:tcPr>
            <w:tcW w:type="dxa" w:w="1584"/>
            <w:shd w:fill="1B365D"/>
            <w:tcMar>
              <w:top w:w="120" w:type="dxa"/>
              <w:bottom w:w="120" w:type="dxa"/>
              <w:left w:w="140" w:type="dxa"/>
              <w:right w:w="140" w:type="dxa"/>
            </w:tcMar>
          </w:tcPr>
          <w:p>
            <w:pPr>
              <w:jc w:val="left"/>
            </w:pPr>
            <w:r>
              <w:rPr>
                <w:b/>
                <w:color w:val="FFFFFF"/>
                <w:sz w:val="19"/>
              </w:rPr>
              <w:t>F1-Score</w:t>
            </w:r>
          </w:p>
        </w:tc>
        <w:tc>
          <w:tcPr>
            <w:tcW w:type="dxa" w:w="1296"/>
            <w:shd w:fill="1B365D"/>
            <w:tcMar>
              <w:top w:w="120" w:type="dxa"/>
              <w:bottom w:w="120" w:type="dxa"/>
              <w:left w:w="140" w:type="dxa"/>
              <w:right w:w="140" w:type="dxa"/>
            </w:tcMar>
          </w:tcPr>
          <w:p>
            <w:pPr>
              <w:jc w:val="left"/>
            </w:pPr>
            <w:r>
              <w:rPr>
                <w:b/>
                <w:color w:val="FFFFFF"/>
                <w:sz w:val="19"/>
              </w:rPr>
              <w:t>Test Support</w:t>
            </w:r>
          </w:p>
        </w:tc>
      </w:tr>
      <w:tr>
        <w:tc>
          <w:tcPr>
            <w:tcW w:type="dxa" w:w="3024"/>
            <w:shd w:fill="FFFFFF"/>
            <w:tcMar>
              <w:top w:w="90" w:type="dxa"/>
              <w:bottom w:w="90" w:type="dxa"/>
              <w:left w:w="140" w:type="dxa"/>
              <w:right w:w="140" w:type="dxa"/>
            </w:tcMar>
          </w:tcPr>
          <w:p>
            <w:pPr>
              <w:jc w:val="left"/>
            </w:pPr>
            <w:r>
              <w:rPr>
                <w:color w:val="222222"/>
                <w:sz w:val="18"/>
              </w:rPr>
              <w:t>Low Risk (&lt; 5.7%)</w:t>
            </w:r>
          </w:p>
        </w:tc>
        <w:tc>
          <w:tcPr>
            <w:tcW w:type="dxa" w:w="1584"/>
            <w:shd w:fill="FFFFFF"/>
            <w:tcMar>
              <w:top w:w="90" w:type="dxa"/>
              <w:bottom w:w="90" w:type="dxa"/>
              <w:left w:w="140" w:type="dxa"/>
              <w:right w:w="140" w:type="dxa"/>
            </w:tcMar>
          </w:tcPr>
          <w:p>
            <w:pPr>
              <w:jc w:val="left"/>
            </w:pPr>
            <w:r>
              <w:rPr>
                <w:color w:val="222222"/>
                <w:sz w:val="18"/>
              </w:rPr>
              <w:t>0.9919 (99.2%)</w:t>
            </w:r>
          </w:p>
        </w:tc>
        <w:tc>
          <w:tcPr>
            <w:tcW w:type="dxa" w:w="1872"/>
            <w:shd w:fill="FFFFFF"/>
            <w:tcMar>
              <w:top w:w="90" w:type="dxa"/>
              <w:bottom w:w="90" w:type="dxa"/>
              <w:left w:w="140" w:type="dxa"/>
              <w:right w:w="140" w:type="dxa"/>
            </w:tcMar>
          </w:tcPr>
          <w:p>
            <w:pPr>
              <w:jc w:val="left"/>
            </w:pPr>
            <w:r>
              <w:rPr>
                <w:color w:val="222222"/>
                <w:sz w:val="18"/>
              </w:rPr>
              <w:t>0.9919 (99.2%)</w:t>
            </w:r>
          </w:p>
        </w:tc>
        <w:tc>
          <w:tcPr>
            <w:tcW w:type="dxa" w:w="1584"/>
            <w:shd w:fill="FFFFFF"/>
            <w:tcMar>
              <w:top w:w="90" w:type="dxa"/>
              <w:bottom w:w="90" w:type="dxa"/>
              <w:left w:w="140" w:type="dxa"/>
              <w:right w:w="140" w:type="dxa"/>
            </w:tcMar>
          </w:tcPr>
          <w:p>
            <w:pPr>
              <w:jc w:val="left"/>
            </w:pPr>
            <w:r>
              <w:rPr>
                <w:color w:val="222222"/>
                <w:sz w:val="18"/>
              </w:rPr>
              <w:t>0.9919 (99.2%)</w:t>
            </w:r>
          </w:p>
        </w:tc>
        <w:tc>
          <w:tcPr>
            <w:tcW w:type="dxa" w:w="1296"/>
            <w:shd w:fill="FFFFFF"/>
            <w:tcMar>
              <w:top w:w="90" w:type="dxa"/>
              <w:bottom w:w="90" w:type="dxa"/>
              <w:left w:w="140" w:type="dxa"/>
              <w:right w:w="140" w:type="dxa"/>
            </w:tcMar>
          </w:tcPr>
          <w:p>
            <w:pPr>
              <w:jc w:val="left"/>
            </w:pPr>
            <w:r>
              <w:rPr>
                <w:color w:val="222222"/>
                <w:sz w:val="18"/>
              </w:rPr>
              <w:t>123 patients</w:t>
            </w:r>
          </w:p>
        </w:tc>
      </w:tr>
      <w:tr>
        <w:tc>
          <w:tcPr>
            <w:tcW w:type="dxa" w:w="3024"/>
            <w:shd w:fill="F4F7FA"/>
            <w:tcMar>
              <w:top w:w="90" w:type="dxa"/>
              <w:bottom w:w="90" w:type="dxa"/>
              <w:left w:w="140" w:type="dxa"/>
              <w:right w:w="140" w:type="dxa"/>
            </w:tcMar>
          </w:tcPr>
          <w:p>
            <w:pPr>
              <w:jc w:val="left"/>
            </w:pPr>
            <w:r>
              <w:rPr>
                <w:color w:val="222222"/>
                <w:sz w:val="18"/>
              </w:rPr>
              <w:t>Medium Risk (5.7% – 6.4%)</w:t>
            </w:r>
          </w:p>
        </w:tc>
        <w:tc>
          <w:tcPr>
            <w:tcW w:type="dxa" w:w="1584"/>
            <w:shd w:fill="F4F7FA"/>
            <w:tcMar>
              <w:top w:w="90" w:type="dxa"/>
              <w:bottom w:w="90" w:type="dxa"/>
              <w:left w:w="140" w:type="dxa"/>
              <w:right w:w="140" w:type="dxa"/>
            </w:tcMar>
          </w:tcPr>
          <w:p>
            <w:pPr>
              <w:jc w:val="left"/>
            </w:pPr>
            <w:r>
              <w:rPr>
                <w:color w:val="222222"/>
                <w:sz w:val="18"/>
              </w:rPr>
              <w:t>0.9677 (96.8%)</w:t>
            </w:r>
          </w:p>
        </w:tc>
        <w:tc>
          <w:tcPr>
            <w:tcW w:type="dxa" w:w="1872"/>
            <w:shd w:fill="F4F7FA"/>
            <w:tcMar>
              <w:top w:w="90" w:type="dxa"/>
              <w:bottom w:w="90" w:type="dxa"/>
              <w:left w:w="140" w:type="dxa"/>
              <w:right w:w="140" w:type="dxa"/>
            </w:tcMar>
          </w:tcPr>
          <w:p>
            <w:pPr>
              <w:jc w:val="left"/>
            </w:pPr>
            <w:r>
              <w:rPr>
                <w:color w:val="222222"/>
                <w:sz w:val="18"/>
              </w:rPr>
              <w:t>0.9890 (98.9%)</w:t>
            </w:r>
          </w:p>
        </w:tc>
        <w:tc>
          <w:tcPr>
            <w:tcW w:type="dxa" w:w="1584"/>
            <w:shd w:fill="F4F7FA"/>
            <w:tcMar>
              <w:top w:w="90" w:type="dxa"/>
              <w:bottom w:w="90" w:type="dxa"/>
              <w:left w:w="140" w:type="dxa"/>
              <w:right w:w="140" w:type="dxa"/>
            </w:tcMar>
          </w:tcPr>
          <w:p>
            <w:pPr>
              <w:jc w:val="left"/>
            </w:pPr>
            <w:r>
              <w:rPr>
                <w:color w:val="222222"/>
                <w:sz w:val="18"/>
              </w:rPr>
              <w:t>0.9783 (97.8%)</w:t>
            </w:r>
          </w:p>
        </w:tc>
        <w:tc>
          <w:tcPr>
            <w:tcW w:type="dxa" w:w="1296"/>
            <w:shd w:fill="F4F7FA"/>
            <w:tcMar>
              <w:top w:w="90" w:type="dxa"/>
              <w:bottom w:w="90" w:type="dxa"/>
              <w:left w:w="140" w:type="dxa"/>
              <w:right w:w="140" w:type="dxa"/>
            </w:tcMar>
          </w:tcPr>
          <w:p>
            <w:pPr>
              <w:jc w:val="left"/>
            </w:pPr>
            <w:r>
              <w:rPr>
                <w:color w:val="222222"/>
                <w:sz w:val="18"/>
              </w:rPr>
              <w:t>91 patients</w:t>
            </w:r>
          </w:p>
        </w:tc>
      </w:tr>
      <w:tr>
        <w:tc>
          <w:tcPr>
            <w:tcW w:type="dxa" w:w="3024"/>
            <w:shd w:fill="FFFFFF"/>
            <w:tcMar>
              <w:top w:w="90" w:type="dxa"/>
              <w:bottom w:w="90" w:type="dxa"/>
              <w:left w:w="140" w:type="dxa"/>
              <w:right w:w="140" w:type="dxa"/>
            </w:tcMar>
          </w:tcPr>
          <w:p>
            <w:pPr>
              <w:jc w:val="left"/>
            </w:pPr>
            <w:r>
              <w:rPr>
                <w:color w:val="222222"/>
                <w:sz w:val="18"/>
              </w:rPr>
              <w:t>High Risk (≥ 6.5%)</w:t>
            </w:r>
          </w:p>
        </w:tc>
        <w:tc>
          <w:tcPr>
            <w:tcW w:type="dxa" w:w="1584"/>
            <w:shd w:fill="FFFFFF"/>
            <w:tcMar>
              <w:top w:w="90" w:type="dxa"/>
              <w:bottom w:w="90" w:type="dxa"/>
              <w:left w:w="140" w:type="dxa"/>
              <w:right w:w="140" w:type="dxa"/>
            </w:tcMar>
          </w:tcPr>
          <w:p>
            <w:pPr>
              <w:jc w:val="left"/>
            </w:pPr>
            <w:r>
              <w:rPr>
                <w:color w:val="222222"/>
                <w:sz w:val="18"/>
              </w:rPr>
              <w:t>1.0000 (100.0%)</w:t>
            </w:r>
          </w:p>
        </w:tc>
        <w:tc>
          <w:tcPr>
            <w:tcW w:type="dxa" w:w="1872"/>
            <w:shd w:fill="FFFFFF"/>
            <w:tcMar>
              <w:top w:w="90" w:type="dxa"/>
              <w:bottom w:w="90" w:type="dxa"/>
              <w:left w:w="140" w:type="dxa"/>
              <w:right w:w="140" w:type="dxa"/>
            </w:tcMar>
          </w:tcPr>
          <w:p>
            <w:pPr>
              <w:jc w:val="left"/>
            </w:pPr>
            <w:r>
              <w:rPr>
                <w:color w:val="222222"/>
                <w:sz w:val="18"/>
              </w:rPr>
              <w:t>0.9718 (97.2%)</w:t>
            </w:r>
          </w:p>
        </w:tc>
        <w:tc>
          <w:tcPr>
            <w:tcW w:type="dxa" w:w="1584"/>
            <w:shd w:fill="FFFFFF"/>
            <w:tcMar>
              <w:top w:w="90" w:type="dxa"/>
              <w:bottom w:w="90" w:type="dxa"/>
              <w:left w:w="140" w:type="dxa"/>
              <w:right w:w="140" w:type="dxa"/>
            </w:tcMar>
          </w:tcPr>
          <w:p>
            <w:pPr>
              <w:jc w:val="left"/>
            </w:pPr>
            <w:r>
              <w:rPr>
                <w:color w:val="222222"/>
                <w:sz w:val="18"/>
              </w:rPr>
              <w:t>0.9857 (98.6%)</w:t>
            </w:r>
          </w:p>
        </w:tc>
        <w:tc>
          <w:tcPr>
            <w:tcW w:type="dxa" w:w="1296"/>
            <w:shd w:fill="FFFFFF"/>
            <w:tcMar>
              <w:top w:w="90" w:type="dxa"/>
              <w:bottom w:w="90" w:type="dxa"/>
              <w:left w:w="140" w:type="dxa"/>
              <w:right w:w="140" w:type="dxa"/>
            </w:tcMar>
          </w:tcPr>
          <w:p>
            <w:pPr>
              <w:jc w:val="left"/>
            </w:pPr>
            <w:r>
              <w:rPr>
                <w:color w:val="222222"/>
                <w:sz w:val="18"/>
              </w:rPr>
              <w:t>71 patients</w:t>
            </w:r>
          </w:p>
        </w:tc>
      </w:tr>
      <w:tr>
        <w:tc>
          <w:tcPr>
            <w:tcW w:type="dxa" w:w="3024"/>
            <w:shd w:fill="F4F7FA"/>
            <w:tcMar>
              <w:top w:w="90" w:type="dxa"/>
              <w:bottom w:w="90" w:type="dxa"/>
              <w:left w:w="140" w:type="dxa"/>
              <w:right w:w="140" w:type="dxa"/>
            </w:tcMar>
          </w:tcPr>
          <w:p>
            <w:pPr>
              <w:jc w:val="left"/>
            </w:pPr>
            <w:r>
              <w:rPr>
                <w:color w:val="222222"/>
                <w:sz w:val="18"/>
              </w:rPr>
              <w:t>Macro Average</w:t>
            </w:r>
          </w:p>
        </w:tc>
        <w:tc>
          <w:tcPr>
            <w:tcW w:type="dxa" w:w="1584"/>
            <w:shd w:fill="F4F7FA"/>
            <w:tcMar>
              <w:top w:w="90" w:type="dxa"/>
              <w:bottom w:w="90" w:type="dxa"/>
              <w:left w:w="140" w:type="dxa"/>
              <w:right w:w="140" w:type="dxa"/>
            </w:tcMar>
          </w:tcPr>
          <w:p>
            <w:pPr>
              <w:jc w:val="left"/>
            </w:pPr>
            <w:r>
              <w:rPr>
                <w:color w:val="222222"/>
                <w:sz w:val="18"/>
              </w:rPr>
              <w:t>0.9865 (98.7%)</w:t>
            </w:r>
          </w:p>
        </w:tc>
        <w:tc>
          <w:tcPr>
            <w:tcW w:type="dxa" w:w="1872"/>
            <w:shd w:fill="F4F7FA"/>
            <w:tcMar>
              <w:top w:w="90" w:type="dxa"/>
              <w:bottom w:w="90" w:type="dxa"/>
              <w:left w:w="140" w:type="dxa"/>
              <w:right w:w="140" w:type="dxa"/>
            </w:tcMar>
          </w:tcPr>
          <w:p>
            <w:pPr>
              <w:jc w:val="left"/>
            </w:pPr>
            <w:r>
              <w:rPr>
                <w:color w:val="222222"/>
                <w:sz w:val="18"/>
              </w:rPr>
              <w:t>0.9842 (98.4%)</w:t>
            </w:r>
          </w:p>
        </w:tc>
        <w:tc>
          <w:tcPr>
            <w:tcW w:type="dxa" w:w="1584"/>
            <w:shd w:fill="F4F7FA"/>
            <w:tcMar>
              <w:top w:w="90" w:type="dxa"/>
              <w:bottom w:w="90" w:type="dxa"/>
              <w:left w:w="140" w:type="dxa"/>
              <w:right w:w="140" w:type="dxa"/>
            </w:tcMar>
          </w:tcPr>
          <w:p>
            <w:pPr>
              <w:jc w:val="left"/>
            </w:pPr>
            <w:r>
              <w:rPr>
                <w:color w:val="222222"/>
                <w:sz w:val="18"/>
              </w:rPr>
              <w:t>0.9853 (98.5%)</w:t>
            </w:r>
          </w:p>
        </w:tc>
        <w:tc>
          <w:tcPr>
            <w:tcW w:type="dxa" w:w="1296"/>
            <w:shd w:fill="F4F7FA"/>
            <w:tcMar>
              <w:top w:w="90" w:type="dxa"/>
              <w:bottom w:w="90" w:type="dxa"/>
              <w:left w:w="140" w:type="dxa"/>
              <w:right w:w="140" w:type="dxa"/>
            </w:tcMar>
          </w:tcPr>
          <w:p>
            <w:pPr>
              <w:jc w:val="left"/>
            </w:pPr>
            <w:r>
              <w:rPr>
                <w:color w:val="222222"/>
                <w:sz w:val="18"/>
              </w:rPr>
              <w:t>285 patients</w:t>
            </w:r>
          </w:p>
        </w:tc>
      </w:tr>
      <w:tr>
        <w:tc>
          <w:tcPr>
            <w:tcW w:type="dxa" w:w="3024"/>
            <w:shd w:fill="FFFFFF"/>
            <w:tcMar>
              <w:top w:w="90" w:type="dxa"/>
              <w:bottom w:w="90" w:type="dxa"/>
              <w:left w:w="140" w:type="dxa"/>
              <w:right w:w="140" w:type="dxa"/>
            </w:tcMar>
          </w:tcPr>
          <w:p>
            <w:pPr>
              <w:jc w:val="left"/>
            </w:pPr>
            <w:r>
              <w:rPr>
                <w:color w:val="222222"/>
                <w:sz w:val="18"/>
              </w:rPr>
              <w:t>Weighted Average</w:t>
            </w:r>
          </w:p>
        </w:tc>
        <w:tc>
          <w:tcPr>
            <w:tcW w:type="dxa" w:w="1584"/>
            <w:shd w:fill="FFFFFF"/>
            <w:tcMar>
              <w:top w:w="90" w:type="dxa"/>
              <w:bottom w:w="90" w:type="dxa"/>
              <w:left w:w="140" w:type="dxa"/>
              <w:right w:w="140" w:type="dxa"/>
            </w:tcMar>
          </w:tcPr>
          <w:p>
            <w:pPr>
              <w:jc w:val="left"/>
            </w:pPr>
            <w:r>
              <w:rPr>
                <w:color w:val="222222"/>
                <w:sz w:val="18"/>
              </w:rPr>
              <w:t>0.9862 (98.6%)</w:t>
            </w:r>
          </w:p>
        </w:tc>
        <w:tc>
          <w:tcPr>
            <w:tcW w:type="dxa" w:w="1872"/>
            <w:shd w:fill="FFFFFF"/>
            <w:tcMar>
              <w:top w:w="90" w:type="dxa"/>
              <w:bottom w:w="90" w:type="dxa"/>
              <w:left w:w="140" w:type="dxa"/>
              <w:right w:w="140" w:type="dxa"/>
            </w:tcMar>
          </w:tcPr>
          <w:p>
            <w:pPr>
              <w:jc w:val="left"/>
            </w:pPr>
            <w:r>
              <w:rPr>
                <w:color w:val="222222"/>
                <w:sz w:val="18"/>
              </w:rPr>
              <w:t>0.9860 (98.6%)</w:t>
            </w:r>
          </w:p>
        </w:tc>
        <w:tc>
          <w:tcPr>
            <w:tcW w:type="dxa" w:w="1584"/>
            <w:shd w:fill="FFFFFF"/>
            <w:tcMar>
              <w:top w:w="90" w:type="dxa"/>
              <w:bottom w:w="90" w:type="dxa"/>
              <w:left w:w="140" w:type="dxa"/>
              <w:right w:w="140" w:type="dxa"/>
            </w:tcMar>
          </w:tcPr>
          <w:p>
            <w:pPr>
              <w:jc w:val="left"/>
            </w:pPr>
            <w:r>
              <w:rPr>
                <w:color w:val="222222"/>
                <w:sz w:val="18"/>
              </w:rPr>
              <w:t>0.9860 (98.6%)</w:t>
            </w:r>
          </w:p>
        </w:tc>
        <w:tc>
          <w:tcPr>
            <w:tcW w:type="dxa" w:w="1296"/>
            <w:shd w:fill="FFFFFF"/>
            <w:tcMar>
              <w:top w:w="90" w:type="dxa"/>
              <w:bottom w:w="90" w:type="dxa"/>
              <w:left w:w="140" w:type="dxa"/>
              <w:right w:w="140" w:type="dxa"/>
            </w:tcMar>
          </w:tcPr>
          <w:p>
            <w:pPr>
              <w:jc w:val="left"/>
            </w:pPr>
            <w:r>
              <w:rPr>
                <w:color w:val="222222"/>
                <w:sz w:val="18"/>
              </w:rPr>
              <w:t>285 patients</w:t>
            </w:r>
          </w:p>
        </w:tc>
      </w:tr>
    </w:tbl>
    <w:p/>
    <w:p>
      <w:pPr>
        <w:keepNext/>
        <w:spacing w:before="280" w:after="120"/>
      </w:pPr>
      <w:r>
        <w:rPr>
          <w:rFonts w:ascii="Arial" w:hAnsi="Arial"/>
          <w:b/>
          <w:color w:val="2B547E"/>
          <w:sz w:val="27"/>
        </w:rPr>
        <w:t>7.1 Comparative Model Benchmark</w:t>
      </w:r>
    </w:p>
    <w:p>
      <w:r>
        <w:t>Table 7.2 contrasts DiabetesTabularResNet against classic machine learning algorithms and baseline architectures trained on the exact same dataset: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3168"/>
            <w:shd w:fill="1B365D"/>
            <w:tcMar>
              <w:top w:w="120" w:type="dxa"/>
              <w:bottom w:w="120" w:type="dxa"/>
              <w:left w:w="140" w:type="dxa"/>
              <w:right w:w="140" w:type="dxa"/>
            </w:tcMar>
          </w:tcPr>
          <w:p>
            <w:pPr>
              <w:jc w:val="left"/>
            </w:pPr>
            <w:r>
              <w:rPr>
                <w:b/>
                <w:color w:val="FFFFFF"/>
                <w:sz w:val="19"/>
              </w:rPr>
              <w:t>Algorithm / Architecture</w:t>
            </w:r>
          </w:p>
        </w:tc>
        <w:tc>
          <w:tcPr>
            <w:tcW w:type="dxa" w:w="1440"/>
            <w:shd w:fill="1B365D"/>
            <w:tcMar>
              <w:top w:w="120" w:type="dxa"/>
              <w:bottom w:w="120" w:type="dxa"/>
              <w:left w:w="140" w:type="dxa"/>
              <w:right w:w="140" w:type="dxa"/>
            </w:tcMar>
          </w:tcPr>
          <w:p>
            <w:pPr>
              <w:jc w:val="left"/>
            </w:pPr>
            <w:r>
              <w:rPr>
                <w:b/>
                <w:color w:val="FFFFFF"/>
                <w:sz w:val="19"/>
              </w:rPr>
              <w:t>Test Accuracy</w:t>
            </w:r>
          </w:p>
        </w:tc>
        <w:tc>
          <w:tcPr>
            <w:tcW w:type="dxa" w:w="1296"/>
            <w:shd w:fill="1B365D"/>
            <w:tcMar>
              <w:top w:w="120" w:type="dxa"/>
              <w:bottom w:w="120" w:type="dxa"/>
              <w:left w:w="140" w:type="dxa"/>
              <w:right w:w="140" w:type="dxa"/>
            </w:tcMar>
          </w:tcPr>
          <w:p>
            <w:pPr>
              <w:jc w:val="left"/>
            </w:pPr>
            <w:r>
              <w:rPr>
                <w:b/>
                <w:color w:val="FFFFFF"/>
                <w:sz w:val="19"/>
              </w:rPr>
              <w:t>Macro F1</w:t>
            </w:r>
          </w:p>
        </w:tc>
        <w:tc>
          <w:tcPr>
            <w:tcW w:type="dxa" w:w="1440"/>
            <w:shd w:fill="1B365D"/>
            <w:tcMar>
              <w:top w:w="120" w:type="dxa"/>
              <w:bottom w:w="120" w:type="dxa"/>
              <w:left w:w="140" w:type="dxa"/>
              <w:right w:w="140" w:type="dxa"/>
            </w:tcMar>
          </w:tcPr>
          <w:p>
            <w:pPr>
              <w:jc w:val="left"/>
            </w:pPr>
            <w:r>
              <w:rPr>
                <w:b/>
                <w:color w:val="FFFFFF"/>
                <w:sz w:val="19"/>
              </w:rPr>
              <w:t>Macro ROC-AUC</w:t>
            </w:r>
          </w:p>
        </w:tc>
        <w:tc>
          <w:tcPr>
            <w:tcW w:type="dxa" w:w="2016"/>
            <w:shd w:fill="1B365D"/>
            <w:tcMar>
              <w:top w:w="120" w:type="dxa"/>
              <w:bottom w:w="120" w:type="dxa"/>
              <w:left w:w="140" w:type="dxa"/>
              <w:right w:w="140" w:type="dxa"/>
            </w:tcMar>
          </w:tcPr>
          <w:p>
            <w:pPr>
              <w:jc w:val="left"/>
            </w:pPr>
            <w:r>
              <w:rPr>
                <w:b/>
                <w:color w:val="FFFFFF"/>
                <w:sz w:val="19"/>
              </w:rPr>
              <w:t>Clinical Diagnostic Observation</w:t>
            </w:r>
          </w:p>
        </w:tc>
      </w:tr>
      <w:tr>
        <w:tc>
          <w:tcPr>
            <w:tcW w:type="dxa" w:w="3168"/>
            <w:shd w:fill="FFFFFF"/>
            <w:tcMar>
              <w:top w:w="90" w:type="dxa"/>
              <w:bottom w:w="90" w:type="dxa"/>
              <w:left w:w="140" w:type="dxa"/>
              <w:right w:w="140" w:type="dxa"/>
            </w:tcMar>
          </w:tcPr>
          <w:p>
            <w:pPr>
              <w:jc w:val="left"/>
            </w:pPr>
            <w:r>
              <w:rPr>
                <w:color w:val="222222"/>
                <w:sz w:val="18"/>
              </w:rPr>
              <w:t>Support Vector Machine (Linear Kernel)</w:t>
            </w:r>
          </w:p>
        </w:tc>
        <w:tc>
          <w:tcPr>
            <w:tcW w:type="dxa" w:w="1440"/>
            <w:shd w:fill="FFFFFF"/>
            <w:tcMar>
              <w:top w:w="90" w:type="dxa"/>
              <w:bottom w:w="90" w:type="dxa"/>
              <w:left w:w="140" w:type="dxa"/>
              <w:right w:w="140" w:type="dxa"/>
            </w:tcMar>
          </w:tcPr>
          <w:p>
            <w:pPr>
              <w:jc w:val="left"/>
            </w:pPr>
            <w:r>
              <w:rPr>
                <w:color w:val="222222"/>
                <w:sz w:val="18"/>
              </w:rPr>
              <w:t>82.46%</w:t>
            </w:r>
          </w:p>
        </w:tc>
        <w:tc>
          <w:tcPr>
            <w:tcW w:type="dxa" w:w="1296"/>
            <w:shd w:fill="FFFFFF"/>
            <w:tcMar>
              <w:top w:w="90" w:type="dxa"/>
              <w:bottom w:w="90" w:type="dxa"/>
              <w:left w:w="140" w:type="dxa"/>
              <w:right w:w="140" w:type="dxa"/>
            </w:tcMar>
          </w:tcPr>
          <w:p>
            <w:pPr>
              <w:jc w:val="left"/>
            </w:pPr>
            <w:r>
              <w:rPr>
                <w:color w:val="222222"/>
                <w:sz w:val="18"/>
              </w:rPr>
              <w:t>0.812</w:t>
            </w:r>
          </w:p>
        </w:tc>
        <w:tc>
          <w:tcPr>
            <w:tcW w:type="dxa" w:w="1440"/>
            <w:shd w:fill="FFFFFF"/>
            <w:tcMar>
              <w:top w:w="90" w:type="dxa"/>
              <w:bottom w:w="90" w:type="dxa"/>
              <w:left w:w="140" w:type="dxa"/>
              <w:right w:w="140" w:type="dxa"/>
            </w:tcMar>
          </w:tcPr>
          <w:p>
            <w:pPr>
              <w:jc w:val="left"/>
            </w:pPr>
            <w:r>
              <w:rPr>
                <w:color w:val="222222"/>
                <w:sz w:val="18"/>
              </w:rPr>
              <w:t>0.894</w:t>
            </w:r>
          </w:p>
        </w:tc>
        <w:tc>
          <w:tcPr>
            <w:tcW w:type="dxa" w:w="2016"/>
            <w:shd w:fill="FFFFFF"/>
            <w:tcMar>
              <w:top w:w="90" w:type="dxa"/>
              <w:bottom w:w="90" w:type="dxa"/>
              <w:left w:w="140" w:type="dxa"/>
              <w:right w:w="140" w:type="dxa"/>
            </w:tcMar>
          </w:tcPr>
          <w:p>
            <w:pPr>
              <w:jc w:val="left"/>
            </w:pPr>
            <w:r>
              <w:rPr>
                <w:color w:val="222222"/>
                <w:sz w:val="18"/>
              </w:rPr>
              <w:t>High underfitting on non-linear boundaries</w:t>
            </w:r>
          </w:p>
        </w:tc>
      </w:tr>
      <w:tr>
        <w:tc>
          <w:tcPr>
            <w:tcW w:type="dxa" w:w="3168"/>
            <w:shd w:fill="F4F7FA"/>
            <w:tcMar>
              <w:top w:w="90" w:type="dxa"/>
              <w:bottom w:w="90" w:type="dxa"/>
              <w:left w:w="140" w:type="dxa"/>
              <w:right w:w="140" w:type="dxa"/>
            </w:tcMar>
          </w:tcPr>
          <w:p>
            <w:pPr>
              <w:jc w:val="left"/>
            </w:pPr>
            <w:r>
              <w:rPr>
                <w:color w:val="222222"/>
                <w:sz w:val="18"/>
              </w:rPr>
              <w:t>Support Vector Machine (RBF Kernel)</w:t>
            </w:r>
          </w:p>
        </w:tc>
        <w:tc>
          <w:tcPr>
            <w:tcW w:type="dxa" w:w="1440"/>
            <w:shd w:fill="F4F7FA"/>
            <w:tcMar>
              <w:top w:w="90" w:type="dxa"/>
              <w:bottom w:w="90" w:type="dxa"/>
              <w:left w:w="140" w:type="dxa"/>
              <w:right w:w="140" w:type="dxa"/>
            </w:tcMar>
          </w:tcPr>
          <w:p>
            <w:pPr>
              <w:jc w:val="left"/>
            </w:pPr>
            <w:r>
              <w:rPr>
                <w:color w:val="222222"/>
                <w:sz w:val="18"/>
              </w:rPr>
              <w:t>87.72%</w:t>
            </w:r>
          </w:p>
        </w:tc>
        <w:tc>
          <w:tcPr>
            <w:tcW w:type="dxa" w:w="1296"/>
            <w:shd w:fill="F4F7FA"/>
            <w:tcMar>
              <w:top w:w="90" w:type="dxa"/>
              <w:bottom w:w="90" w:type="dxa"/>
              <w:left w:w="140" w:type="dxa"/>
              <w:right w:w="140" w:type="dxa"/>
            </w:tcMar>
          </w:tcPr>
          <w:p>
            <w:pPr>
              <w:jc w:val="left"/>
            </w:pPr>
            <w:r>
              <w:rPr>
                <w:color w:val="222222"/>
                <w:sz w:val="18"/>
              </w:rPr>
              <w:t>0.865</w:t>
            </w:r>
          </w:p>
        </w:tc>
        <w:tc>
          <w:tcPr>
            <w:tcW w:type="dxa" w:w="1440"/>
            <w:shd w:fill="F4F7FA"/>
            <w:tcMar>
              <w:top w:w="90" w:type="dxa"/>
              <w:bottom w:w="90" w:type="dxa"/>
              <w:left w:w="140" w:type="dxa"/>
              <w:right w:w="140" w:type="dxa"/>
            </w:tcMar>
          </w:tcPr>
          <w:p>
            <w:pPr>
              <w:jc w:val="left"/>
            </w:pPr>
            <w:r>
              <w:rPr>
                <w:color w:val="222222"/>
                <w:sz w:val="18"/>
              </w:rPr>
              <w:t>0.941</w:t>
            </w:r>
          </w:p>
        </w:tc>
        <w:tc>
          <w:tcPr>
            <w:tcW w:type="dxa" w:w="2016"/>
            <w:shd w:fill="F4F7FA"/>
            <w:tcMar>
              <w:top w:w="90" w:type="dxa"/>
              <w:bottom w:w="90" w:type="dxa"/>
              <w:left w:w="140" w:type="dxa"/>
              <w:right w:w="140" w:type="dxa"/>
            </w:tcMar>
          </w:tcPr>
          <w:p>
            <w:pPr>
              <w:jc w:val="left"/>
            </w:pPr>
            <w:r>
              <w:rPr>
                <w:color w:val="222222"/>
                <w:sz w:val="18"/>
              </w:rPr>
              <w:t>Sensitive to continuous parameter scaling</w:t>
            </w:r>
          </w:p>
        </w:tc>
      </w:tr>
      <w:tr>
        <w:tc>
          <w:tcPr>
            <w:tcW w:type="dxa" w:w="3168"/>
            <w:shd w:fill="FFFFFF"/>
            <w:tcMar>
              <w:top w:w="90" w:type="dxa"/>
              <w:bottom w:w="90" w:type="dxa"/>
              <w:left w:w="140" w:type="dxa"/>
              <w:right w:w="140" w:type="dxa"/>
            </w:tcMar>
          </w:tcPr>
          <w:p>
            <w:pPr>
              <w:jc w:val="left"/>
            </w:pPr>
            <w:r>
              <w:rPr>
                <w:color w:val="222222"/>
                <w:sz w:val="18"/>
              </w:rPr>
              <w:t>Random Forest (100 Trees)</w:t>
            </w:r>
          </w:p>
        </w:tc>
        <w:tc>
          <w:tcPr>
            <w:tcW w:type="dxa" w:w="1440"/>
            <w:shd w:fill="FFFFFF"/>
            <w:tcMar>
              <w:top w:w="90" w:type="dxa"/>
              <w:bottom w:w="90" w:type="dxa"/>
              <w:left w:w="140" w:type="dxa"/>
              <w:right w:w="140" w:type="dxa"/>
            </w:tcMar>
          </w:tcPr>
          <w:p>
            <w:pPr>
              <w:jc w:val="left"/>
            </w:pPr>
            <w:r>
              <w:rPr>
                <w:color w:val="222222"/>
                <w:sz w:val="18"/>
              </w:rPr>
              <w:t>93.68%</w:t>
            </w:r>
          </w:p>
        </w:tc>
        <w:tc>
          <w:tcPr>
            <w:tcW w:type="dxa" w:w="1296"/>
            <w:shd w:fill="FFFFFF"/>
            <w:tcMar>
              <w:top w:w="90" w:type="dxa"/>
              <w:bottom w:w="90" w:type="dxa"/>
              <w:left w:w="140" w:type="dxa"/>
              <w:right w:w="140" w:type="dxa"/>
            </w:tcMar>
          </w:tcPr>
          <w:p>
            <w:pPr>
              <w:jc w:val="left"/>
            </w:pPr>
            <w:r>
              <w:rPr>
                <w:color w:val="222222"/>
                <w:sz w:val="18"/>
              </w:rPr>
              <w:t>0.931</w:t>
            </w:r>
          </w:p>
        </w:tc>
        <w:tc>
          <w:tcPr>
            <w:tcW w:type="dxa" w:w="1440"/>
            <w:shd w:fill="FFFFFF"/>
            <w:tcMar>
              <w:top w:w="90" w:type="dxa"/>
              <w:bottom w:w="90" w:type="dxa"/>
              <w:left w:w="140" w:type="dxa"/>
              <w:right w:w="140" w:type="dxa"/>
            </w:tcMar>
          </w:tcPr>
          <w:p>
            <w:pPr>
              <w:jc w:val="left"/>
            </w:pPr>
            <w:r>
              <w:rPr>
                <w:color w:val="222222"/>
                <w:sz w:val="18"/>
              </w:rPr>
              <w:t>0.981</w:t>
            </w:r>
          </w:p>
        </w:tc>
        <w:tc>
          <w:tcPr>
            <w:tcW w:type="dxa" w:w="2016"/>
            <w:shd w:fill="FFFFFF"/>
            <w:tcMar>
              <w:top w:w="90" w:type="dxa"/>
              <w:bottom w:w="90" w:type="dxa"/>
              <w:left w:w="140" w:type="dxa"/>
              <w:right w:w="140" w:type="dxa"/>
            </w:tcMar>
          </w:tcPr>
          <w:p>
            <w:pPr>
              <w:jc w:val="left"/>
            </w:pPr>
            <w:r>
              <w:rPr>
                <w:color w:val="222222"/>
                <w:sz w:val="18"/>
              </w:rPr>
              <w:t>Orthogonal splits limit continuous biomarker modeling</w:t>
            </w:r>
          </w:p>
        </w:tc>
      </w:tr>
      <w:tr>
        <w:tc>
          <w:tcPr>
            <w:tcW w:type="dxa" w:w="3168"/>
            <w:shd w:fill="F4F7FA"/>
            <w:tcMar>
              <w:top w:w="90" w:type="dxa"/>
              <w:bottom w:w="90" w:type="dxa"/>
              <w:left w:w="140" w:type="dxa"/>
              <w:right w:w="140" w:type="dxa"/>
            </w:tcMar>
          </w:tcPr>
          <w:p>
            <w:pPr>
              <w:jc w:val="left"/>
            </w:pPr>
            <w:r>
              <w:rPr>
                <w:color w:val="222222"/>
                <w:sz w:val="18"/>
              </w:rPr>
              <w:t>XGBoost (Gradient Boosted Trees)</w:t>
            </w:r>
          </w:p>
        </w:tc>
        <w:tc>
          <w:tcPr>
            <w:tcW w:type="dxa" w:w="1440"/>
            <w:shd w:fill="F4F7FA"/>
            <w:tcMar>
              <w:top w:w="90" w:type="dxa"/>
              <w:bottom w:w="90" w:type="dxa"/>
              <w:left w:w="140" w:type="dxa"/>
              <w:right w:w="140" w:type="dxa"/>
            </w:tcMar>
          </w:tcPr>
          <w:p>
            <w:pPr>
              <w:jc w:val="left"/>
            </w:pPr>
            <w:r>
              <w:rPr>
                <w:color w:val="222222"/>
                <w:sz w:val="18"/>
              </w:rPr>
              <w:t>95.44%</w:t>
            </w:r>
          </w:p>
        </w:tc>
        <w:tc>
          <w:tcPr>
            <w:tcW w:type="dxa" w:w="1296"/>
            <w:shd w:fill="F4F7FA"/>
            <w:tcMar>
              <w:top w:w="90" w:type="dxa"/>
              <w:bottom w:w="90" w:type="dxa"/>
              <w:left w:w="140" w:type="dxa"/>
              <w:right w:w="140" w:type="dxa"/>
            </w:tcMar>
          </w:tcPr>
          <w:p>
            <w:pPr>
              <w:jc w:val="left"/>
            </w:pPr>
            <w:r>
              <w:rPr>
                <w:color w:val="222222"/>
                <w:sz w:val="18"/>
              </w:rPr>
              <w:t>0.952</w:t>
            </w:r>
          </w:p>
        </w:tc>
        <w:tc>
          <w:tcPr>
            <w:tcW w:type="dxa" w:w="1440"/>
            <w:shd w:fill="F4F7FA"/>
            <w:tcMar>
              <w:top w:w="90" w:type="dxa"/>
              <w:bottom w:w="90" w:type="dxa"/>
              <w:left w:w="140" w:type="dxa"/>
              <w:right w:w="140" w:type="dxa"/>
            </w:tcMar>
          </w:tcPr>
          <w:p>
            <w:pPr>
              <w:jc w:val="left"/>
            </w:pPr>
            <w:r>
              <w:rPr>
                <w:color w:val="222222"/>
                <w:sz w:val="18"/>
              </w:rPr>
              <w:t>0.989</w:t>
            </w:r>
          </w:p>
        </w:tc>
        <w:tc>
          <w:tcPr>
            <w:tcW w:type="dxa" w:w="2016"/>
            <w:shd w:fill="F4F7FA"/>
            <w:tcMar>
              <w:top w:w="90" w:type="dxa"/>
              <w:bottom w:w="90" w:type="dxa"/>
              <w:left w:w="140" w:type="dxa"/>
              <w:right w:w="140" w:type="dxa"/>
            </w:tcMar>
          </w:tcPr>
          <w:p>
            <w:pPr>
              <w:jc w:val="left"/>
            </w:pPr>
            <w:r>
              <w:rPr>
                <w:color w:val="222222"/>
                <w:sz w:val="18"/>
              </w:rPr>
              <w:t>Strong tabular baseline, slight overfitting</w:t>
            </w:r>
          </w:p>
        </w:tc>
      </w:tr>
      <w:tr>
        <w:tc>
          <w:tcPr>
            <w:tcW w:type="dxa" w:w="3168"/>
            <w:shd w:fill="FFFFFF"/>
            <w:tcMar>
              <w:top w:w="90" w:type="dxa"/>
              <w:bottom w:w="90" w:type="dxa"/>
              <w:left w:w="140" w:type="dxa"/>
              <w:right w:w="140" w:type="dxa"/>
            </w:tcMar>
          </w:tcPr>
          <w:p>
            <w:pPr>
              <w:jc w:val="left"/>
            </w:pPr>
            <w:r>
              <w:rPr>
                <w:color w:val="222222"/>
                <w:sz w:val="18"/>
              </w:rPr>
              <w:t>Standard Multi-Layer Perceptron (MLP)</w:t>
            </w:r>
          </w:p>
        </w:tc>
        <w:tc>
          <w:tcPr>
            <w:tcW w:type="dxa" w:w="1440"/>
            <w:shd w:fill="FFFFFF"/>
            <w:tcMar>
              <w:top w:w="90" w:type="dxa"/>
              <w:bottom w:w="90" w:type="dxa"/>
              <w:left w:w="140" w:type="dxa"/>
              <w:right w:w="140" w:type="dxa"/>
            </w:tcMar>
          </w:tcPr>
          <w:p>
            <w:pPr>
              <w:jc w:val="left"/>
            </w:pPr>
            <w:r>
              <w:rPr>
                <w:color w:val="222222"/>
                <w:sz w:val="18"/>
              </w:rPr>
              <w:t>92.28%</w:t>
            </w:r>
          </w:p>
        </w:tc>
        <w:tc>
          <w:tcPr>
            <w:tcW w:type="dxa" w:w="1296"/>
            <w:shd w:fill="FFFFFF"/>
            <w:tcMar>
              <w:top w:w="90" w:type="dxa"/>
              <w:bottom w:w="90" w:type="dxa"/>
              <w:left w:w="140" w:type="dxa"/>
              <w:right w:w="140" w:type="dxa"/>
            </w:tcMar>
          </w:tcPr>
          <w:p>
            <w:pPr>
              <w:jc w:val="left"/>
            </w:pPr>
            <w:r>
              <w:rPr>
                <w:color w:val="222222"/>
                <w:sz w:val="18"/>
              </w:rPr>
              <w:t>0.919</w:t>
            </w:r>
          </w:p>
        </w:tc>
        <w:tc>
          <w:tcPr>
            <w:tcW w:type="dxa" w:w="1440"/>
            <w:shd w:fill="FFFFFF"/>
            <w:tcMar>
              <w:top w:w="90" w:type="dxa"/>
              <w:bottom w:w="90" w:type="dxa"/>
              <w:left w:w="140" w:type="dxa"/>
              <w:right w:w="140" w:type="dxa"/>
            </w:tcMar>
          </w:tcPr>
          <w:p>
            <w:pPr>
              <w:jc w:val="left"/>
            </w:pPr>
            <w:r>
              <w:rPr>
                <w:color w:val="222222"/>
                <w:sz w:val="18"/>
              </w:rPr>
              <w:t>0.973</w:t>
            </w:r>
          </w:p>
        </w:tc>
        <w:tc>
          <w:tcPr>
            <w:tcW w:type="dxa" w:w="2016"/>
            <w:shd w:fill="FFFFFF"/>
            <w:tcMar>
              <w:top w:w="90" w:type="dxa"/>
              <w:bottom w:w="90" w:type="dxa"/>
              <w:left w:w="140" w:type="dxa"/>
              <w:right w:w="140" w:type="dxa"/>
            </w:tcMar>
          </w:tcPr>
          <w:p>
            <w:pPr>
              <w:jc w:val="left"/>
            </w:pPr>
            <w:r>
              <w:rPr>
                <w:color w:val="222222"/>
                <w:sz w:val="18"/>
              </w:rPr>
              <w:t>Vanishing gradients limit deeper representation</w:t>
            </w:r>
          </w:p>
        </w:tc>
      </w:tr>
      <w:tr>
        <w:tc>
          <w:tcPr>
            <w:tcW w:type="dxa" w:w="3168"/>
            <w:shd w:fill="F4F7FA"/>
            <w:tcMar>
              <w:top w:w="90" w:type="dxa"/>
              <w:bottom w:w="90" w:type="dxa"/>
              <w:left w:w="140" w:type="dxa"/>
              <w:right w:w="140" w:type="dxa"/>
            </w:tcMar>
          </w:tcPr>
          <w:p>
            <w:pPr>
              <w:jc w:val="left"/>
            </w:pPr>
            <w:r>
              <w:rPr>
                <w:color w:val="222222"/>
                <w:sz w:val="18"/>
              </w:rPr>
              <w:t>DiabetesTabularResNet (This Model)</w:t>
            </w:r>
          </w:p>
        </w:tc>
        <w:tc>
          <w:tcPr>
            <w:tcW w:type="dxa" w:w="1440"/>
            <w:shd w:fill="F4F7FA"/>
            <w:tcMar>
              <w:top w:w="90" w:type="dxa"/>
              <w:bottom w:w="90" w:type="dxa"/>
              <w:left w:w="140" w:type="dxa"/>
              <w:right w:w="140" w:type="dxa"/>
            </w:tcMar>
          </w:tcPr>
          <w:p>
            <w:pPr>
              <w:jc w:val="left"/>
            </w:pPr>
            <w:r>
              <w:rPr>
                <w:color w:val="222222"/>
                <w:sz w:val="18"/>
              </w:rPr>
              <w:t>98.60%</w:t>
            </w:r>
          </w:p>
        </w:tc>
        <w:tc>
          <w:tcPr>
            <w:tcW w:type="dxa" w:w="1296"/>
            <w:shd w:fill="F4F7FA"/>
            <w:tcMar>
              <w:top w:w="90" w:type="dxa"/>
              <w:bottom w:w="90" w:type="dxa"/>
              <w:left w:w="140" w:type="dxa"/>
              <w:right w:w="140" w:type="dxa"/>
            </w:tcMar>
          </w:tcPr>
          <w:p>
            <w:pPr>
              <w:jc w:val="left"/>
            </w:pPr>
            <w:r>
              <w:rPr>
                <w:color w:val="222222"/>
                <w:sz w:val="18"/>
              </w:rPr>
              <w:t>0.985</w:t>
            </w:r>
          </w:p>
        </w:tc>
        <w:tc>
          <w:tcPr>
            <w:tcW w:type="dxa" w:w="1440"/>
            <w:shd w:fill="F4F7FA"/>
            <w:tcMar>
              <w:top w:w="90" w:type="dxa"/>
              <w:bottom w:w="90" w:type="dxa"/>
              <w:left w:w="140" w:type="dxa"/>
              <w:right w:w="140" w:type="dxa"/>
            </w:tcMar>
          </w:tcPr>
          <w:p>
            <w:pPr>
              <w:jc w:val="left"/>
            </w:pPr>
            <w:r>
              <w:rPr>
                <w:color w:val="222222"/>
                <w:sz w:val="18"/>
              </w:rPr>
              <w:t>0.999</w:t>
            </w:r>
          </w:p>
        </w:tc>
        <w:tc>
          <w:tcPr>
            <w:tcW w:type="dxa" w:w="2016"/>
            <w:shd w:fill="F4F7FA"/>
            <w:tcMar>
              <w:top w:w="90" w:type="dxa"/>
              <w:bottom w:w="90" w:type="dxa"/>
              <w:left w:w="140" w:type="dxa"/>
              <w:right w:w="140" w:type="dxa"/>
            </w:tcMar>
          </w:tcPr>
          <w:p>
            <w:pPr>
              <w:jc w:val="left"/>
            </w:pPr>
            <w:r>
              <w:rPr>
                <w:color w:val="222222"/>
                <w:sz w:val="18"/>
              </w:rPr>
              <w:t>Residual skip connections + MixUp regularization</w:t>
            </w:r>
          </w:p>
        </w:tc>
      </w:tr>
    </w:tbl>
    <w:p/>
    <w:p>
      <w:pPr>
        <w:spacing w:before="160" w:after="80"/>
        <w:jc w:val="center"/>
      </w:pPr>
      <w:r>
        <w:drawing>
          <wp:inline xmlns:a="http://schemas.openxmlformats.org/drawingml/2006/main" xmlns:pic="http://schemas.openxmlformats.org/drawingml/2006/picture">
            <wp:extent cx="5669280" cy="2456688"/>
            <wp:docPr id="5" name="Picture 5"/>
            <wp:cNvGraphicFramePr>
              <a:graphicFrameLocks noChangeAspect="1"/>
            </wp:cNvGraphicFramePr>
            <a:graphic>
              <a:graphicData uri="http://schemas.openxmlformats.org/drawingml/2006/picture">
                <pic:pic>
                  <pic:nvPicPr>
                    <pic:cNvPr id="0" name="fig4_confusion_matrix.png"/>
                    <pic:cNvPicPr/>
                  </pic:nvPicPr>
                  <pic:blipFill>
                    <a:blip r:embed="rId15"/>
                    <a:stretch>
                      <a:fillRect/>
                    </a:stretch>
                  </pic:blipFill>
                  <pic:spPr>
                    <a:xfrm>
                      <a:off x="0" y="0"/>
                      <a:ext cx="5669280" cy="2456688"/>
                    </a:xfrm>
                    <a:prstGeom prst="rect"/>
                  </pic:spPr>
                </pic:pic>
              </a:graphicData>
            </a:graphic>
          </wp:inline>
        </w:drawing>
      </w:r>
    </w:p>
    <w:p>
      <w:pPr>
        <w:spacing w:after="240"/>
        <w:jc w:val="center"/>
      </w:pPr>
      <w:r>
        <w:rPr>
          <w:i/>
          <w:color w:val="64748B"/>
          <w:sz w:val="18"/>
        </w:rPr>
        <w:t>Figure 7.1: Out-of-Sample Confusion Matrix (N = 285) &amp; Per-Class Precision, Recall, and F1-Scores.</w:t>
      </w:r>
    </w:p>
    <w:p>
      <w:pPr>
        <w:spacing w:before="160" w:after="80"/>
        <w:jc w:val="center"/>
      </w:pPr>
      <w:r>
        <w:drawing>
          <wp:inline xmlns:a="http://schemas.openxmlformats.org/drawingml/2006/main" xmlns:pic="http://schemas.openxmlformats.org/drawingml/2006/picture">
            <wp:extent cx="5669280" cy="2456688"/>
            <wp:docPr id="6" name="Picture 6"/>
            <wp:cNvGraphicFramePr>
              <a:graphicFrameLocks noChangeAspect="1"/>
            </wp:cNvGraphicFramePr>
            <a:graphic>
              <a:graphicData uri="http://schemas.openxmlformats.org/drawingml/2006/picture">
                <pic:pic>
                  <pic:nvPicPr>
                    <pic:cNvPr id="0" name="fig5_roc_curves.png"/>
                    <pic:cNvPicPr/>
                  </pic:nvPicPr>
                  <pic:blipFill>
                    <a:blip r:embed="rId16"/>
                    <a:stretch>
                      <a:fillRect/>
                    </a:stretch>
                  </pic:blipFill>
                  <pic:spPr>
                    <a:xfrm>
                      <a:off x="0" y="0"/>
                      <a:ext cx="5669280" cy="2456688"/>
                    </a:xfrm>
                    <a:prstGeom prst="rect"/>
                  </pic:spPr>
                </pic:pic>
              </a:graphicData>
            </a:graphic>
          </wp:inline>
        </w:drawing>
      </w:r>
    </w:p>
    <w:p>
      <w:pPr>
        <w:spacing w:after="240"/>
        <w:jc w:val="center"/>
      </w:pPr>
      <w:r>
        <w:rPr>
          <w:i/>
          <w:color w:val="64748B"/>
          <w:sz w:val="18"/>
        </w:rPr>
        <w:t>Figure 7.2: Multi-Class Receiver Operating Characteristic (ROC) &amp; Precision-Recall Curves (Macro AUC = 0.9993).</w:t>
      </w:r>
    </w:p>
    <w:p>
      <w:pPr>
        <w:keepNext/>
        <w:spacing w:before="360" w:after="160"/>
      </w:pPr>
      <w:r>
        <w:rPr>
          <w:rFonts w:ascii="Arial" w:hAnsi="Arial"/>
          <w:b/>
          <w:color w:val="1B365D"/>
          <w:sz w:val="36"/>
        </w:rPr>
        <w:t>Chapter 8: Production REST API Design &amp; Architecture</w:t>
      </w:r>
    </w:p>
    <w:p>
      <w:r>
        <w:t>To deliver the PyTorch ResNet model to clinical applications, web frontends, and hospital information systems, the service is wrapped in an asynchronous FastAPI microservice managed by Uvicorn ASGI runtime on port 7860. FastAPI provides native OpenAPI 3.0 (Swagger) schema generation, sub-millisecond route dispatching, and high-concurrency asynchronous I/O.</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1440"/>
            <w:shd w:fill="1B365D"/>
            <w:tcMar>
              <w:top w:w="120" w:type="dxa"/>
              <w:bottom w:w="120" w:type="dxa"/>
              <w:left w:w="140" w:type="dxa"/>
              <w:right w:w="140" w:type="dxa"/>
            </w:tcMar>
          </w:tcPr>
          <w:p>
            <w:pPr>
              <w:jc w:val="left"/>
            </w:pPr>
            <w:r>
              <w:rPr>
                <w:b/>
                <w:color w:val="FFFFFF"/>
                <w:sz w:val="19"/>
              </w:rPr>
              <w:t>Method</w:t>
            </w:r>
          </w:p>
        </w:tc>
        <w:tc>
          <w:tcPr>
            <w:tcW w:type="dxa" w:w="2304"/>
            <w:shd w:fill="1B365D"/>
            <w:tcMar>
              <w:top w:w="120" w:type="dxa"/>
              <w:bottom w:w="120" w:type="dxa"/>
              <w:left w:w="140" w:type="dxa"/>
              <w:right w:w="140" w:type="dxa"/>
            </w:tcMar>
          </w:tcPr>
          <w:p>
            <w:pPr>
              <w:jc w:val="left"/>
            </w:pPr>
            <w:r>
              <w:rPr>
                <w:b/>
                <w:color w:val="FFFFFF"/>
                <w:sz w:val="19"/>
              </w:rPr>
              <w:t>Route Path</w:t>
            </w:r>
          </w:p>
        </w:tc>
        <w:tc>
          <w:tcPr>
            <w:tcW w:type="dxa" w:w="5616"/>
            <w:shd w:fill="1B365D"/>
            <w:tcMar>
              <w:top w:w="120" w:type="dxa"/>
              <w:bottom w:w="120" w:type="dxa"/>
              <w:left w:w="140" w:type="dxa"/>
              <w:right w:w="140" w:type="dxa"/>
            </w:tcMar>
          </w:tcPr>
          <w:p>
            <w:pPr>
              <w:jc w:val="left"/>
            </w:pPr>
            <w:r>
              <w:rPr>
                <w:b/>
                <w:color w:val="FFFFFF"/>
                <w:sz w:val="19"/>
              </w:rPr>
              <w:t>Functional Architecture Description</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w:t>
            </w:r>
          </w:p>
        </w:tc>
        <w:tc>
          <w:tcPr>
            <w:tcW w:type="dxa" w:w="5616"/>
            <w:shd w:fill="FFFFFF"/>
            <w:tcMar>
              <w:top w:w="90" w:type="dxa"/>
              <w:bottom w:w="90" w:type="dxa"/>
              <w:left w:w="140" w:type="dxa"/>
              <w:right w:w="140" w:type="dxa"/>
            </w:tcMar>
          </w:tcPr>
          <w:p>
            <w:pPr>
              <w:jc w:val="left"/>
            </w:pPr>
            <w:r>
              <w:rPr>
                <w:color w:val="222222"/>
                <w:sz w:val="18"/>
              </w:rPr>
              <w:t>Interactive Web Dashboard (HTML5) when accessed via browser; API root specification for JSON clients</w:t>
            </w:r>
          </w:p>
        </w:tc>
      </w:tr>
      <w:tr>
        <w:tc>
          <w:tcPr>
            <w:tcW w:type="dxa" w:w="1440"/>
            <w:shd w:fill="F4F7FA"/>
            <w:tcMar>
              <w:top w:w="90" w:type="dxa"/>
              <w:bottom w:w="90" w:type="dxa"/>
              <w:left w:w="140" w:type="dxa"/>
              <w:right w:w="140" w:type="dxa"/>
            </w:tcMar>
          </w:tcPr>
          <w:p>
            <w:pPr>
              <w:jc w:val="left"/>
            </w:pPr>
            <w:r>
              <w:rPr>
                <w:color w:val="222222"/>
                <w:sz w:val="18"/>
              </w:rPr>
              <w:t>POST</w:t>
            </w:r>
          </w:p>
        </w:tc>
        <w:tc>
          <w:tcPr>
            <w:tcW w:type="dxa" w:w="2304"/>
            <w:shd w:fill="F4F7FA"/>
            <w:tcMar>
              <w:top w:w="90" w:type="dxa"/>
              <w:bottom w:w="90" w:type="dxa"/>
              <w:left w:w="140" w:type="dxa"/>
              <w:right w:w="140" w:type="dxa"/>
            </w:tcMar>
          </w:tcPr>
          <w:p>
            <w:pPr>
              <w:jc w:val="left"/>
            </w:pPr>
            <w:r>
              <w:rPr>
                <w:color w:val="222222"/>
                <w:sz w:val="18"/>
              </w:rPr>
              <w:t>/</w:t>
            </w:r>
          </w:p>
        </w:tc>
        <w:tc>
          <w:tcPr>
            <w:tcW w:type="dxa" w:w="5616"/>
            <w:shd w:fill="F4F7FA"/>
            <w:tcMar>
              <w:top w:w="90" w:type="dxa"/>
              <w:bottom w:w="90" w:type="dxa"/>
              <w:left w:w="140" w:type="dxa"/>
              <w:right w:w="140" w:type="dxa"/>
            </w:tcMar>
          </w:tcPr>
          <w:p>
            <w:pPr>
              <w:jc w:val="left"/>
            </w:pPr>
            <w:r>
              <w:rPr>
                <w:color w:val="222222"/>
                <w:sz w:val="18"/>
              </w:rPr>
              <w:t>Transparent root POST fallback: routes patient payloads directly to /predict, eliminating 405 errors</w:t>
            </w:r>
          </w:p>
        </w:tc>
      </w:tr>
      <w:tr>
        <w:tc>
          <w:tcPr>
            <w:tcW w:type="dxa" w:w="1440"/>
            <w:shd w:fill="FFFFFF"/>
            <w:tcMar>
              <w:top w:w="90" w:type="dxa"/>
              <w:bottom w:w="90" w:type="dxa"/>
              <w:left w:w="140" w:type="dxa"/>
              <w:right w:w="140" w:type="dxa"/>
            </w:tcMar>
          </w:tcPr>
          <w:p>
            <w:pPr>
              <w:jc w:val="left"/>
            </w:pPr>
            <w:r>
              <w:rPr>
                <w:color w:val="222222"/>
                <w:sz w:val="18"/>
              </w:rPr>
              <w:t>POST</w:t>
            </w:r>
          </w:p>
        </w:tc>
        <w:tc>
          <w:tcPr>
            <w:tcW w:type="dxa" w:w="2304"/>
            <w:shd w:fill="FFFFFF"/>
            <w:tcMar>
              <w:top w:w="90" w:type="dxa"/>
              <w:bottom w:w="90" w:type="dxa"/>
              <w:left w:w="140" w:type="dxa"/>
              <w:right w:w="140" w:type="dxa"/>
            </w:tcMar>
          </w:tcPr>
          <w:p>
            <w:pPr>
              <w:jc w:val="left"/>
            </w:pPr>
            <w:r>
              <w:rPr>
                <w:color w:val="222222"/>
                <w:sz w:val="18"/>
              </w:rPr>
              <w:t>/predict</w:t>
            </w:r>
          </w:p>
        </w:tc>
        <w:tc>
          <w:tcPr>
            <w:tcW w:type="dxa" w:w="5616"/>
            <w:shd w:fill="FFFFFF"/>
            <w:tcMar>
              <w:top w:w="90" w:type="dxa"/>
              <w:bottom w:w="90" w:type="dxa"/>
              <w:left w:w="140" w:type="dxa"/>
              <w:right w:w="140" w:type="dxa"/>
            </w:tcMar>
          </w:tcPr>
          <w:p>
            <w:pPr>
              <w:jc w:val="left"/>
            </w:pPr>
            <w:r>
              <w:rPr>
                <w:color w:val="222222"/>
                <w:sz w:val="18"/>
              </w:rPr>
              <w:t>Core prediction endpoint: evaluates single patient clinical metrics and returns severity &amp; confidence</w:t>
            </w:r>
          </w:p>
        </w:tc>
      </w:tr>
      <w:tr>
        <w:tc>
          <w:tcPr>
            <w:tcW w:type="dxa" w:w="1440"/>
            <w:shd w:fill="F4F7FA"/>
            <w:tcMar>
              <w:top w:w="90" w:type="dxa"/>
              <w:bottom w:w="90" w:type="dxa"/>
              <w:left w:w="140" w:type="dxa"/>
              <w:right w:w="140" w:type="dxa"/>
            </w:tcMar>
          </w:tcPr>
          <w:p>
            <w:pPr>
              <w:jc w:val="left"/>
            </w:pPr>
            <w:r>
              <w:rPr>
                <w:color w:val="222222"/>
                <w:sz w:val="18"/>
              </w:rPr>
              <w:t>POST</w:t>
            </w:r>
          </w:p>
        </w:tc>
        <w:tc>
          <w:tcPr>
            <w:tcW w:type="dxa" w:w="2304"/>
            <w:shd w:fill="F4F7FA"/>
            <w:tcMar>
              <w:top w:w="90" w:type="dxa"/>
              <w:bottom w:w="90" w:type="dxa"/>
              <w:left w:w="140" w:type="dxa"/>
              <w:right w:w="140" w:type="dxa"/>
            </w:tcMar>
          </w:tcPr>
          <w:p>
            <w:pPr>
              <w:jc w:val="left"/>
            </w:pPr>
            <w:r>
              <w:rPr>
                <w:color w:val="222222"/>
                <w:sz w:val="18"/>
              </w:rPr>
              <w:t>/predict/batch</w:t>
            </w:r>
          </w:p>
        </w:tc>
        <w:tc>
          <w:tcPr>
            <w:tcW w:type="dxa" w:w="5616"/>
            <w:shd w:fill="F4F7FA"/>
            <w:tcMar>
              <w:top w:w="90" w:type="dxa"/>
              <w:bottom w:w="90" w:type="dxa"/>
              <w:left w:w="140" w:type="dxa"/>
              <w:right w:w="140" w:type="dxa"/>
            </w:tcMar>
          </w:tcPr>
          <w:p>
            <w:pPr>
              <w:jc w:val="left"/>
            </w:pPr>
            <w:r>
              <w:rPr>
                <w:color w:val="222222"/>
                <w:sz w:val="18"/>
              </w:rPr>
              <w:t>Batch prediction endpoint: processes arrays of up to 500 patient records in a single vector forward pass</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/health</w:t>
            </w:r>
          </w:p>
        </w:tc>
        <w:tc>
          <w:tcPr>
            <w:tcW w:type="dxa" w:w="5616"/>
            <w:shd w:fill="FFFFFF"/>
            <w:tcMar>
              <w:top w:w="90" w:type="dxa"/>
              <w:bottom w:w="90" w:type="dxa"/>
              <w:left w:w="140" w:type="dxa"/>
              <w:right w:w="140" w:type="dxa"/>
            </w:tcMar>
          </w:tcPr>
          <w:p>
            <w:pPr>
              <w:jc w:val="left"/>
            </w:pPr>
            <w:r>
              <w:rPr>
                <w:color w:val="222222"/>
                <w:sz w:val="18"/>
              </w:rPr>
              <w:t>System health check: verifies neural weights loaded, runtime status, and model metadata</w:t>
            </w:r>
          </w:p>
        </w:tc>
      </w:tr>
      <w:tr>
        <w:tc>
          <w:tcPr>
            <w:tcW w:type="dxa" w:w="1440"/>
            <w:shd w:fill="F4F7FA"/>
            <w:tcMar>
              <w:top w:w="90" w:type="dxa"/>
              <w:bottom w:w="90" w:type="dxa"/>
              <w:left w:w="140" w:type="dxa"/>
              <w:right w:w="140" w:type="dxa"/>
            </w:tcMar>
          </w:tcPr>
          <w:p>
            <w:pPr>
              <w:jc w:val="left"/>
            </w:pPr>
            <w:r>
              <w:rPr>
                <w:color w:val="222222"/>
                <w:sz w:val="18"/>
              </w:rPr>
              <w:t>GET</w:t>
            </w:r>
          </w:p>
        </w:tc>
        <w:tc>
          <w:tcPr>
            <w:tcW w:type="dxa" w:w="2304"/>
            <w:shd w:fill="F4F7FA"/>
            <w:tcMar>
              <w:top w:w="90" w:type="dxa"/>
              <w:bottom w:w="90" w:type="dxa"/>
              <w:left w:w="140" w:type="dxa"/>
              <w:right w:w="140" w:type="dxa"/>
            </w:tcMar>
          </w:tcPr>
          <w:p>
            <w:pPr>
              <w:jc w:val="left"/>
            </w:pPr>
            <w:r>
              <w:rPr>
                <w:color w:val="222222"/>
                <w:sz w:val="18"/>
              </w:rPr>
              <w:t>/model-info</w:t>
            </w:r>
          </w:p>
        </w:tc>
        <w:tc>
          <w:tcPr>
            <w:tcW w:type="dxa" w:w="5616"/>
            <w:shd w:fill="F4F7FA"/>
            <w:tcMar>
              <w:top w:w="90" w:type="dxa"/>
              <w:bottom w:w="90" w:type="dxa"/>
              <w:left w:w="140" w:type="dxa"/>
              <w:right w:w="140" w:type="dxa"/>
            </w:tcMar>
          </w:tcPr>
          <w:p>
            <w:pPr>
              <w:jc w:val="left"/>
            </w:pPr>
            <w:r>
              <w:rPr>
                <w:color w:val="222222"/>
                <w:sz w:val="18"/>
              </w:rPr>
              <w:t>Metadata endpoint: inspects training accuracy, architecture, feature names, scaler means, and scales</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/data/stats</w:t>
            </w:r>
          </w:p>
        </w:tc>
        <w:tc>
          <w:tcPr>
            <w:tcW w:type="dxa" w:w="5616"/>
            <w:shd w:fill="FFFFFF"/>
            <w:tcMar>
              <w:top w:w="90" w:type="dxa"/>
              <w:bottom w:w="90" w:type="dxa"/>
              <w:left w:w="140" w:type="dxa"/>
              <w:right w:w="140" w:type="dxa"/>
            </w:tcMar>
          </w:tcPr>
          <w:p>
            <w:pPr>
              <w:jc w:val="left"/>
            </w:pPr>
            <w:r>
              <w:rPr>
                <w:color w:val="222222"/>
                <w:sz w:val="18"/>
              </w:rPr>
              <w:t>Exploratory statistics: class distribution and numeric summary of the 1,898 reference records</w:t>
            </w:r>
          </w:p>
        </w:tc>
      </w:tr>
      <w:tr>
        <w:tc>
          <w:tcPr>
            <w:tcW w:type="dxa" w:w="1440"/>
            <w:shd w:fill="F4F7FA"/>
            <w:tcMar>
              <w:top w:w="90" w:type="dxa"/>
              <w:bottom w:w="90" w:type="dxa"/>
              <w:left w:w="140" w:type="dxa"/>
              <w:right w:w="140" w:type="dxa"/>
            </w:tcMar>
          </w:tcPr>
          <w:p>
            <w:pPr>
              <w:jc w:val="left"/>
            </w:pPr>
            <w:r>
              <w:rPr>
                <w:color w:val="222222"/>
                <w:sz w:val="18"/>
              </w:rPr>
              <w:t>GET</w:t>
            </w:r>
          </w:p>
        </w:tc>
        <w:tc>
          <w:tcPr>
            <w:tcW w:type="dxa" w:w="2304"/>
            <w:shd w:fill="F4F7FA"/>
            <w:tcMar>
              <w:top w:w="90" w:type="dxa"/>
              <w:bottom w:w="90" w:type="dxa"/>
              <w:left w:w="140" w:type="dxa"/>
              <w:right w:w="140" w:type="dxa"/>
            </w:tcMar>
          </w:tcPr>
          <w:p>
            <w:pPr>
              <w:jc w:val="left"/>
            </w:pPr>
            <w:r>
              <w:rPr>
                <w:color w:val="222222"/>
                <w:sz w:val="18"/>
              </w:rPr>
              <w:t>/data/sample</w:t>
            </w:r>
          </w:p>
        </w:tc>
        <w:tc>
          <w:tcPr>
            <w:tcW w:type="dxa" w:w="5616"/>
            <w:shd w:fill="F4F7FA"/>
            <w:tcMar>
              <w:top w:w="90" w:type="dxa"/>
              <w:bottom w:w="90" w:type="dxa"/>
              <w:left w:w="140" w:type="dxa"/>
              <w:right w:w="140" w:type="dxa"/>
            </w:tcMar>
          </w:tcPr>
          <w:p>
            <w:pPr>
              <w:jc w:val="left"/>
            </w:pPr>
            <w:r>
              <w:rPr>
                <w:color w:val="222222"/>
                <w:sz w:val="18"/>
              </w:rPr>
              <w:t>Data sampler: retrieves n random anonymized patient records for client-side testing</w:t>
            </w:r>
          </w:p>
        </w:tc>
      </w:tr>
      <w:tr>
        <w:tc>
          <w:tcPr>
            <w:tcW w:type="dxa" w:w="1440"/>
            <w:shd w:fill="FFFFFF"/>
            <w:tcMar>
              <w:top w:w="90" w:type="dxa"/>
              <w:bottom w:w="90" w:type="dxa"/>
              <w:left w:w="140" w:type="dxa"/>
              <w:right w:w="140" w:type="dxa"/>
            </w:tcMar>
          </w:tcPr>
          <w:p>
            <w:pPr>
              <w:jc w:val="left"/>
            </w:pPr>
            <w:r>
              <w:rPr>
                <w:color w:val="222222"/>
                <w:sz w:val="18"/>
              </w:rPr>
              <w:t>GET</w:t>
            </w:r>
          </w:p>
        </w:tc>
        <w:tc>
          <w:tcPr>
            <w:tcW w:type="dxa" w:w="2304"/>
            <w:shd w:fill="FFFFFF"/>
            <w:tcMar>
              <w:top w:w="90" w:type="dxa"/>
              <w:bottom w:w="90" w:type="dxa"/>
              <w:left w:w="140" w:type="dxa"/>
              <w:right w:w="140" w:type="dxa"/>
            </w:tcMar>
          </w:tcPr>
          <w:p>
            <w:pPr>
              <w:jc w:val="left"/>
            </w:pPr>
            <w:r>
              <w:rPr>
                <w:color w:val="222222"/>
                <w:sz w:val="18"/>
              </w:rPr>
              <w:t>/docs</w:t>
            </w:r>
          </w:p>
        </w:tc>
        <w:tc>
          <w:tcPr>
            <w:tcW w:type="dxa" w:w="5616"/>
            <w:shd w:fill="FFFFFF"/>
            <w:tcMar>
              <w:top w:w="90" w:type="dxa"/>
              <w:bottom w:w="90" w:type="dxa"/>
              <w:left w:w="140" w:type="dxa"/>
              <w:right w:w="140" w:type="dxa"/>
            </w:tcMar>
          </w:tcPr>
          <w:p>
            <w:pPr>
              <w:jc w:val="left"/>
            </w:pPr>
            <w:r>
              <w:rPr>
                <w:color w:val="222222"/>
                <w:sz w:val="18"/>
              </w:rPr>
              <w:t>Interactive Swagger UI dashboard for live zero-code API execution and exploration</w:t>
            </w:r>
          </w:p>
        </w:tc>
      </w:tr>
      <w:tr>
        <w:tc>
          <w:tcPr>
            <w:tcW w:type="dxa" w:w="1440"/>
            <w:shd w:fill="F4F7FA"/>
            <w:tcMar>
              <w:top w:w="90" w:type="dxa"/>
              <w:bottom w:w="90" w:type="dxa"/>
              <w:left w:w="140" w:type="dxa"/>
              <w:right w:w="140" w:type="dxa"/>
            </w:tcMar>
          </w:tcPr>
          <w:p>
            <w:pPr>
              <w:jc w:val="left"/>
            </w:pPr>
            <w:r>
              <w:rPr>
                <w:color w:val="222222"/>
                <w:sz w:val="18"/>
              </w:rPr>
              <w:t>GET</w:t>
            </w:r>
          </w:p>
        </w:tc>
        <w:tc>
          <w:tcPr>
            <w:tcW w:type="dxa" w:w="2304"/>
            <w:shd w:fill="F4F7FA"/>
            <w:tcMar>
              <w:top w:w="90" w:type="dxa"/>
              <w:bottom w:w="90" w:type="dxa"/>
              <w:left w:w="140" w:type="dxa"/>
              <w:right w:w="140" w:type="dxa"/>
            </w:tcMar>
          </w:tcPr>
          <w:p>
            <w:pPr>
              <w:jc w:val="left"/>
            </w:pPr>
            <w:r>
              <w:rPr>
                <w:color w:val="222222"/>
                <w:sz w:val="18"/>
              </w:rPr>
              <w:t>/redoc</w:t>
            </w:r>
          </w:p>
        </w:tc>
        <w:tc>
          <w:tcPr>
            <w:tcW w:type="dxa" w:w="5616"/>
            <w:shd w:fill="F4F7FA"/>
            <w:tcMar>
              <w:top w:w="90" w:type="dxa"/>
              <w:bottom w:w="90" w:type="dxa"/>
              <w:left w:w="140" w:type="dxa"/>
              <w:right w:w="140" w:type="dxa"/>
            </w:tcMar>
          </w:tcPr>
          <w:p>
            <w:pPr>
              <w:jc w:val="left"/>
            </w:pPr>
            <w:r>
              <w:rPr>
                <w:color w:val="222222"/>
                <w:sz w:val="18"/>
              </w:rPr>
              <w:t>ReDoc publication-grade technical API documentation</w:t>
            </w:r>
          </w:p>
        </w:tc>
      </w:tr>
    </w:tbl>
    <w:p/>
    <w:p>
      <w:pPr>
        <w:spacing w:before="160" w:after="80"/>
        <w:jc w:val="center"/>
      </w:pPr>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fig6_system_architecture.png"/>
                    <pic:cNvPicPr/>
                  </pic:nvPicPr>
                  <pic:blipFill>
                    <a:blip r:embed="rId17"/>
                    <a:stretch>
                      <a:fillRect/>
                    </a:stretch>
                  </pic:blipFill>
                  <pic:spPr>
                    <a:xfrm>
                      <a:off x="0" y="0"/>
                      <a:ext cx="5669280" cy="3401568"/>
                    </a:xfrm>
                    <a:prstGeom prst="rect"/>
                  </pic:spPr>
                </pic:pic>
              </a:graphicData>
            </a:graphic>
          </wp:inline>
        </w:drawing>
      </w:r>
    </w:p>
    <w:p>
      <w:pPr>
        <w:spacing w:after="240"/>
        <w:jc w:val="center"/>
      </w:pPr>
      <w:r>
        <w:rPr>
          <w:i/>
          <w:color w:val="64748B"/>
          <w:sz w:val="18"/>
        </w:rPr>
        <w:t>Figure 8.1: End-to-End System Architecture Topology &amp; Multi-Tier Cloud Deployment.</w:t>
      </w:r>
    </w:p>
    <w:p>
      <w:pPr>
        <w:keepNext/>
        <w:spacing w:before="360" w:after="160"/>
      </w:pPr>
      <w:r>
        <w:rPr>
          <w:rFonts w:ascii="Arial" w:hAnsi="Arial"/>
          <w:b/>
          <w:color w:val="1B365D"/>
          <w:sz w:val="36"/>
        </w:rPr>
        <w:t>Chapter 9: AI Agent Interoperability: Model Context Protocol (MCP) &amp; A2A</w:t>
      </w:r>
    </w:p>
    <w:p>
      <w:r>
        <w:t>Modern enterprise software increasingly integrates AI coding assistants, autonomous agents, and Large Language Model (LLM) tooling. Anthropic's Model Context Protocol (MCP) standardizes how LLMs query external tools and databases. Furthermore, the Agent-to-Agent (A2A) protocol standardizes agent discovery via well-known manifests.</w:t>
      </w:r>
    </w:p>
    <w:p>
      <w:r>
        <w:t>When deployed to public cloud platforms like Hugging Face Spaces, automated crawler bots and AI tools probe endpoints like /mcp, /sse, /v1/mcp, /.well-known/agent.json, and /.well-known/ai-plugin.json. To eliminate 404 errors and provide genuine agent integration, our API implements a unified MCP gateway that supports standard JSON-RPC 2.0 protocol specifications:</w:t>
      </w:r>
    </w:p>
    <w:p>
      <w:r>
        <w:t>• initialize: Responds with server capabilities and protocol version 2024-11-05.</w:t>
        <w:br/>
        <w:t>• tools/list: Publishes the predict_diabetes_risk tool schema with parameter typing and field constraints.</w:t>
        <w:br/>
        <w:t>• tools/call: Executes the PyTorch model using parameters supplied by an external AI agent and returns formatted JSON risk assessments.</w:t>
        <w:br/>
        <w:t>• /.well-known/agent.json: Publishes the standardized Agent-to-Agent (A2A) discovery card.</w:t>
        <w:br/>
        <w:t>• /.well-known/ai-plugin.json: Publishes the OpenAI plugin manifest pointing to /openapi.json.</w:t>
      </w:r>
    </w:p>
    <w:p>
      <w:pPr>
        <w:keepNext/>
        <w:spacing w:before="360" w:after="160"/>
      </w:pPr>
      <w:r>
        <w:rPr>
          <w:rFonts w:ascii="Arial" w:hAnsi="Arial"/>
          <w:b/>
          <w:color w:val="1B365D"/>
          <w:sz w:val="36"/>
        </w:rPr>
        <w:t>Chapter 10: Interactive Web Dashboard &amp; Frontend Developer Integration</w:t>
      </w:r>
    </w:p>
    <w:p>
      <w:r>
        <w:t>The API provides a built-in interactive dashboard served directly at the root URL (GET /) when accessed via web browsers. Engineered with vanilla HTML5, CSS3, and JavaScript, the dashboard requires zero external dependencies, CDN assets, or build tools.</w:t>
      </w:r>
    </w:p>
    <w:p>
      <w:r>
        <w:t>Dashboard Capabilities:</w:t>
        <w:br/>
        <w:t>1. Dynamic BMI Calculator: Updates BMI in real-time as weight or height inputs change.</w:t>
        <w:br/>
        <w:t>2. Quick Clinical Presets: One-click buttons to populate real-world Low Risk, Medium Risk, or High Risk clinical cohorts.</w:t>
        <w:br/>
        <w:t>3. Interactive Risk Badges: Renders color-coded severity badges with animated confidence percentages.</w:t>
        <w:br/>
        <w:t>4. Probability Distribution Gauges: Displays simultaneous percentage likelihood across all three risk categories.</w:t>
        <w:br/>
        <w:t>5. Live Biomarker Telemetry: Displays calculated MAP, Pulse Pressure, Glucose/HbA1c ratio, and Metabolic Index.</w:t>
      </w:r>
    </w:p>
    <w:p>
      <w:pPr>
        <w:keepNext/>
        <w:spacing w:before="280" w:after="120"/>
      </w:pPr>
      <w:r>
        <w:rPr>
          <w:rFonts w:ascii="Arial" w:hAnsi="Arial"/>
          <w:b/>
          <w:color w:val="2B547E"/>
          <w:sz w:val="27"/>
        </w:rPr>
        <w:t>10.1 Frontend Integration Example (TypeScript / JavaScript)</w:t>
      </w:r>
    </w:p>
    <w:p>
      <w:r>
        <w:t>Frontend applications can call the live Hugging Face API directly using modern Fetch API:</w:t>
      </w:r>
    </w:p>
    <w:p>
      <w:r>
        <w:t>```typescript</w:t>
        <w:br/>
        <w:t>export async function predictDiabetesRisk(patient: PatientInput): Promise&lt;PredictionResult&gt; {</w:t>
        <w:br/>
        <w:t xml:space="preserve">  const response = await fetch('https://ihtesham0345-kidney-stone.hf.space/predict', {</w:t>
        <w:br/>
        <w:t xml:space="preserve">    method: 'POST',</w:t>
        <w:br/>
        <w:t xml:space="preserve">    headers: { 'Content-Type': 'application/json' },</w:t>
        <w:br/>
        <w:t xml:space="preserve">    body: JSON.stringify(patient)</w:t>
        <w:br/>
        <w:t xml:space="preserve">  });</w:t>
        <w:br/>
        <w:t xml:space="preserve">  if (!response.ok) {</w:t>
        <w:br/>
        <w:t xml:space="preserve">    const error = await response.json();</w:t>
        <w:br/>
        <w:t xml:space="preserve">    throw new Error(error.message || 'Prediction failed');</w:t>
        <w:br/>
        <w:t xml:space="preserve">  }</w:t>
        <w:br/>
        <w:t xml:space="preserve">  return response.json();</w:t>
        <w:br/>
        <w:t>}</w:t>
        <w:br/>
        <w:t>```</w:t>
      </w:r>
    </w:p>
    <w:p>
      <w:pPr>
        <w:keepNext/>
        <w:spacing w:before="360" w:after="160"/>
      </w:pPr>
      <w:r>
        <w:rPr>
          <w:rFonts w:ascii="Arial" w:hAnsi="Arial"/>
          <w:b/>
          <w:color w:val="1B365D"/>
          <w:sz w:val="36"/>
        </w:rPr>
        <w:t>Chapter 11: Containerization, Dockerfile &amp; Cloud Deployment Topology</w:t>
      </w:r>
    </w:p>
    <w:p>
      <w:r>
        <w:t>The service is packaged into an immutable Docker container optimized for Hugging Face Spaces and containerized cloud runtimes (AWS ECS, Google Cloud Run, Azure Container Apps).</w:t>
      </w:r>
    </w:p>
    <w:p>
      <w:pPr>
        <w:keepNext/>
        <w:spacing w:before="280" w:after="120"/>
      </w:pPr>
      <w:r>
        <w:rPr>
          <w:rFonts w:ascii="Arial" w:hAnsi="Arial"/>
          <w:b/>
          <w:color w:val="2B547E"/>
          <w:sz w:val="27"/>
        </w:rPr>
        <w:t>11.1 Dockerfile Architecture</w:t>
      </w:r>
    </w:p>
    <w:p>
      <w:r>
        <w:t>• Base Image: python:3.11-slim (minimal Debian Linux distribution to reduce attack surface).</w:t>
        <w:br/>
        <w:t>• Environment Flags: PYTHONDONTWRITEBYTECODE=1 (prevents .pyc file generation), PYTHONUNBUFFERED=1 (ensures immediate real-time logging).</w:t>
        <w:br/>
        <w:t>• Port Binding: EXPOSE 7860 (binds to Hugging Face Spaces standard ingress).</w:t>
        <w:br/>
        <w:t>• Multi-Stage Caching: requirements.txt is copied and installed prior to application files to maximize Docker layer cache reuse.</w:t>
      </w:r>
    </w:p>
    <w:p>
      <w:pPr>
        <w:keepNext/>
        <w:spacing w:before="360" w:after="160"/>
      </w:pPr>
      <w:r>
        <w:rPr>
          <w:rFonts w:ascii="Arial" w:hAnsi="Arial"/>
          <w:b/>
          <w:color w:val="1B365D"/>
          <w:sz w:val="36"/>
        </w:rPr>
        <w:t>Chapter 12: Input Validation, Normalization &amp; Zero-Crash Resilience Architecture</w:t>
      </w:r>
    </w:p>
    <w:p>
      <w:r>
        <w:t>In real-world clinical and mobile environments, client software frequently introduces variations in casing, units, or missing optional values. A production microservice must exhibit resilience rather than failing with uninformative 422 errors. The PatientInput Pydantic schema incorporates pre-validation hooks that transparently normalize client data: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1B365D"/>
            <w:tcMar>
              <w:top w:w="120" w:type="dxa"/>
              <w:bottom w:w="120" w:type="dxa"/>
              <w:left w:w="140" w:type="dxa"/>
              <w:right w:w="140" w:type="dxa"/>
            </w:tcMar>
          </w:tcPr>
          <w:p>
            <w:pPr>
              <w:jc w:val="left"/>
            </w:pPr>
            <w:r>
              <w:rPr>
                <w:b/>
                <w:color w:val="FFFFFF"/>
                <w:sz w:val="19"/>
              </w:rPr>
              <w:t>Resilience Feature</w:t>
            </w:r>
          </w:p>
        </w:tc>
        <w:tc>
          <w:tcPr>
            <w:tcW w:type="dxa" w:w="3168"/>
            <w:shd w:fill="1B365D"/>
            <w:tcMar>
              <w:top w:w="120" w:type="dxa"/>
              <w:bottom w:w="120" w:type="dxa"/>
              <w:left w:w="140" w:type="dxa"/>
              <w:right w:w="140" w:type="dxa"/>
            </w:tcMar>
          </w:tcPr>
          <w:p>
            <w:pPr>
              <w:jc w:val="left"/>
            </w:pPr>
            <w:r>
              <w:rPr>
                <w:b/>
                <w:color w:val="FFFFFF"/>
                <w:sz w:val="19"/>
              </w:rPr>
              <w:t>Incoming Client Scenario</w:t>
            </w:r>
          </w:p>
        </w:tc>
        <w:tc>
          <w:tcPr>
            <w:tcW w:type="dxa" w:w="3312"/>
            <w:shd w:fill="1B365D"/>
            <w:tcMar>
              <w:top w:w="120" w:type="dxa"/>
              <w:bottom w:w="120" w:type="dxa"/>
              <w:left w:w="140" w:type="dxa"/>
              <w:right w:w="140" w:type="dxa"/>
            </w:tcMar>
          </w:tcPr>
          <w:p>
            <w:pPr>
              <w:jc w:val="left"/>
            </w:pPr>
            <w:r>
              <w:rPr>
                <w:b/>
                <w:color w:val="FFFFFF"/>
                <w:sz w:val="19"/>
              </w:rPr>
              <w:t>Engineered Resolution Protocol</w:t>
            </w:r>
          </w:p>
        </w:tc>
      </w:tr>
      <w:tr>
        <w:tc>
          <w:tcPr>
            <w:tcW w:type="dxa" w:w="2880"/>
            <w:shd w:fill="FFFFFF"/>
            <w:tcMar>
              <w:top w:w="90" w:type="dxa"/>
              <w:bottom w:w="90" w:type="dxa"/>
              <w:left w:w="140" w:type="dxa"/>
              <w:right w:w="140" w:type="dxa"/>
            </w:tcMar>
          </w:tcPr>
          <w:p>
            <w:pPr>
              <w:jc w:val="left"/>
            </w:pPr>
            <w:r>
              <w:rPr>
                <w:color w:val="222222"/>
                <w:sz w:val="18"/>
              </w:rPr>
              <w:t>Case-Insensitive Aliasing</w:t>
            </w:r>
          </w:p>
        </w:tc>
        <w:tc>
          <w:tcPr>
            <w:tcW w:type="dxa" w:w="3168"/>
            <w:shd w:fill="FFFFFF"/>
            <w:tcMar>
              <w:top w:w="90" w:type="dxa"/>
              <w:bottom w:w="90" w:type="dxa"/>
              <w:left w:w="140" w:type="dxa"/>
              <w:right w:w="140" w:type="dxa"/>
            </w:tcMar>
          </w:tcPr>
          <w:p>
            <w:pPr>
              <w:jc w:val="left"/>
            </w:pPr>
            <w:r>
              <w:rPr>
                <w:color w:val="222222"/>
                <w:sz w:val="18"/>
              </w:rPr>
              <w:t>Client sends 'age', 'glucose', 'hba1c'</w:t>
            </w:r>
          </w:p>
        </w:tc>
        <w:tc>
          <w:tcPr>
            <w:tcW w:type="dxa" w:w="3312"/>
            <w:shd w:fill="FFFFFF"/>
            <w:tcMar>
              <w:top w:w="90" w:type="dxa"/>
              <w:bottom w:w="90" w:type="dxa"/>
              <w:left w:w="140" w:type="dxa"/>
              <w:right w:w="140" w:type="dxa"/>
            </w:tcMar>
          </w:tcPr>
          <w:p>
            <w:pPr>
              <w:jc w:val="left"/>
            </w:pPr>
            <w:r>
              <w:rPr>
                <w:color w:val="222222"/>
                <w:sz w:val="18"/>
              </w:rPr>
              <w:t>Normalized transparently to canonical 'Age', 'Glucose', 'Hba1c'</w:t>
            </w:r>
          </w:p>
        </w:tc>
      </w:tr>
      <w:tr>
        <w:tc>
          <w:tcPr>
            <w:tcW w:type="dxa" w:w="2880"/>
            <w:shd w:fill="F4F7FA"/>
            <w:tcMar>
              <w:top w:w="90" w:type="dxa"/>
              <w:bottom w:w="90" w:type="dxa"/>
              <w:left w:w="140" w:type="dxa"/>
              <w:right w:w="140" w:type="dxa"/>
            </w:tcMar>
          </w:tcPr>
          <w:p>
            <w:pPr>
              <w:jc w:val="left"/>
            </w:pPr>
            <w:r>
              <w:rPr>
                <w:color w:val="222222"/>
                <w:sz w:val="18"/>
              </w:rPr>
              <w:t>Height Unit Auto-Conversion</w:t>
            </w:r>
          </w:p>
        </w:tc>
        <w:tc>
          <w:tcPr>
            <w:tcW w:type="dxa" w:w="3168"/>
            <w:shd w:fill="F4F7FA"/>
            <w:tcMar>
              <w:top w:w="90" w:type="dxa"/>
              <w:bottom w:w="90" w:type="dxa"/>
              <w:left w:w="140" w:type="dxa"/>
              <w:right w:w="140" w:type="dxa"/>
            </w:tcMar>
          </w:tcPr>
          <w:p>
            <w:pPr>
              <w:jc w:val="left"/>
            </w:pPr>
            <w:r>
              <w:rPr>
                <w:color w:val="222222"/>
                <w:sz w:val="18"/>
              </w:rPr>
              <w:t>Client sends height in cm (e.g. 172 cm)</w:t>
            </w:r>
          </w:p>
        </w:tc>
        <w:tc>
          <w:tcPr>
            <w:tcW w:type="dxa" w:w="3312"/>
            <w:shd w:fill="F4F7FA"/>
            <w:tcMar>
              <w:top w:w="90" w:type="dxa"/>
              <w:bottom w:w="90" w:type="dxa"/>
              <w:left w:w="140" w:type="dxa"/>
              <w:right w:w="140" w:type="dxa"/>
            </w:tcMar>
          </w:tcPr>
          <w:p>
            <w:pPr>
              <w:jc w:val="left"/>
            </w:pPr>
            <w:r>
              <w:rPr>
                <w:color w:val="222222"/>
                <w:sz w:val="18"/>
              </w:rPr>
              <w:t>Detected (height &gt; 3.0) and auto-divided by 100 to 1.72 m</w:t>
            </w:r>
          </w:p>
        </w:tc>
      </w:tr>
      <w:tr>
        <w:tc>
          <w:tcPr>
            <w:tcW w:type="dxa" w:w="2880"/>
            <w:shd w:fill="FFFFFF"/>
            <w:tcMar>
              <w:top w:w="90" w:type="dxa"/>
              <w:bottom w:w="90" w:type="dxa"/>
              <w:left w:w="140" w:type="dxa"/>
              <w:right w:w="140" w:type="dxa"/>
            </w:tcMar>
          </w:tcPr>
          <w:p>
            <w:pPr>
              <w:jc w:val="left"/>
            </w:pPr>
            <w:r>
              <w:rPr>
                <w:color w:val="222222"/>
                <w:sz w:val="18"/>
              </w:rPr>
              <w:t>Dynamic BMI Calculation</w:t>
            </w:r>
          </w:p>
        </w:tc>
        <w:tc>
          <w:tcPr>
            <w:tcW w:type="dxa" w:w="3168"/>
            <w:shd w:fill="FFFFFF"/>
            <w:tcMar>
              <w:top w:w="90" w:type="dxa"/>
              <w:bottom w:w="90" w:type="dxa"/>
              <w:left w:w="140" w:type="dxa"/>
              <w:right w:w="140" w:type="dxa"/>
            </w:tcMar>
          </w:tcPr>
          <w:p>
            <w:pPr>
              <w:jc w:val="left"/>
            </w:pPr>
            <w:r>
              <w:rPr>
                <w:color w:val="222222"/>
                <w:sz w:val="18"/>
              </w:rPr>
              <w:t>Client omits 'bmi' or passes null / 0</w:t>
            </w:r>
          </w:p>
        </w:tc>
        <w:tc>
          <w:tcPr>
            <w:tcW w:type="dxa" w:w="3312"/>
            <w:shd w:fill="FFFFFF"/>
            <w:tcMar>
              <w:top w:w="90" w:type="dxa"/>
              <w:bottom w:w="90" w:type="dxa"/>
              <w:left w:w="140" w:type="dxa"/>
              <w:right w:w="140" w:type="dxa"/>
            </w:tcMar>
          </w:tcPr>
          <w:p>
            <w:pPr>
              <w:jc w:val="left"/>
            </w:pPr>
            <w:r>
              <w:rPr>
                <w:color w:val="222222"/>
                <w:sz w:val="18"/>
              </w:rPr>
              <w:t>Auto-calculated using physiological formula: weight / (height²)</w:t>
            </w:r>
          </w:p>
        </w:tc>
      </w:tr>
      <w:tr>
        <w:tc>
          <w:tcPr>
            <w:tcW w:type="dxa" w:w="2880"/>
            <w:shd w:fill="F4F7FA"/>
            <w:tcMar>
              <w:top w:w="90" w:type="dxa"/>
              <w:bottom w:w="90" w:type="dxa"/>
              <w:left w:w="140" w:type="dxa"/>
              <w:right w:w="140" w:type="dxa"/>
            </w:tcMar>
          </w:tcPr>
          <w:p>
            <w:pPr>
              <w:jc w:val="left"/>
            </w:pPr>
            <w:r>
              <w:rPr>
                <w:color w:val="222222"/>
                <w:sz w:val="18"/>
              </w:rPr>
              <w:t>Flexible Gender Parsing</w:t>
            </w:r>
          </w:p>
        </w:tc>
        <w:tc>
          <w:tcPr>
            <w:tcW w:type="dxa" w:w="3168"/>
            <w:shd w:fill="F4F7FA"/>
            <w:tcMar>
              <w:top w:w="90" w:type="dxa"/>
              <w:bottom w:w="90" w:type="dxa"/>
              <w:left w:w="140" w:type="dxa"/>
              <w:right w:w="140" w:type="dxa"/>
            </w:tcMar>
          </w:tcPr>
          <w:p>
            <w:pPr>
              <w:jc w:val="left"/>
            </w:pPr>
            <w:r>
              <w:rPr>
                <w:color w:val="222222"/>
                <w:sz w:val="18"/>
              </w:rPr>
              <w:t>Client passes 'male', 'M', 'female', 'F'</w:t>
            </w:r>
          </w:p>
        </w:tc>
        <w:tc>
          <w:tcPr>
            <w:tcW w:type="dxa" w:w="3312"/>
            <w:shd w:fill="F4F7FA"/>
            <w:tcMar>
              <w:top w:w="90" w:type="dxa"/>
              <w:bottom w:w="90" w:type="dxa"/>
              <w:left w:w="140" w:type="dxa"/>
              <w:right w:w="140" w:type="dxa"/>
            </w:tcMar>
          </w:tcPr>
          <w:p>
            <w:pPr>
              <w:jc w:val="left"/>
            </w:pPr>
            <w:r>
              <w:rPr>
                <w:color w:val="222222"/>
                <w:sz w:val="18"/>
              </w:rPr>
              <w:t>Cleaned and normalized to canonical 'Male' or 'Female'</w:t>
            </w:r>
          </w:p>
        </w:tc>
      </w:tr>
      <w:tr>
        <w:tc>
          <w:tcPr>
            <w:tcW w:type="dxa" w:w="2880"/>
            <w:shd w:fill="FFFFFF"/>
            <w:tcMar>
              <w:top w:w="90" w:type="dxa"/>
              <w:bottom w:w="90" w:type="dxa"/>
              <w:left w:w="140" w:type="dxa"/>
              <w:right w:w="140" w:type="dxa"/>
            </w:tcMar>
          </w:tcPr>
          <w:p>
            <w:pPr>
              <w:jc w:val="left"/>
            </w:pPr>
            <w:r>
              <w:rPr>
                <w:color w:val="222222"/>
                <w:sz w:val="18"/>
              </w:rPr>
              <w:t>Root POST Fallback</w:t>
            </w:r>
          </w:p>
        </w:tc>
        <w:tc>
          <w:tcPr>
            <w:tcW w:type="dxa" w:w="3168"/>
            <w:shd w:fill="FFFFFF"/>
            <w:tcMar>
              <w:top w:w="90" w:type="dxa"/>
              <w:bottom w:w="90" w:type="dxa"/>
              <w:left w:w="140" w:type="dxa"/>
              <w:right w:w="140" w:type="dxa"/>
            </w:tcMar>
          </w:tcPr>
          <w:p>
            <w:pPr>
              <w:jc w:val="left"/>
            </w:pPr>
            <w:r>
              <w:rPr>
                <w:color w:val="222222"/>
                <w:sz w:val="18"/>
              </w:rPr>
              <w:t>Client POSTs patient data to '/'</w:t>
            </w:r>
          </w:p>
        </w:tc>
        <w:tc>
          <w:tcPr>
            <w:tcW w:type="dxa" w:w="3312"/>
            <w:shd w:fill="FFFFFF"/>
            <w:tcMar>
              <w:top w:w="90" w:type="dxa"/>
              <w:bottom w:w="90" w:type="dxa"/>
              <w:left w:w="140" w:type="dxa"/>
              <w:right w:w="140" w:type="dxa"/>
            </w:tcMar>
          </w:tcPr>
          <w:p>
            <w:pPr>
              <w:jc w:val="left"/>
            </w:pPr>
            <w:r>
              <w:rPr>
                <w:color w:val="222222"/>
                <w:sz w:val="18"/>
              </w:rPr>
              <w:t>Transparently executes prediction instead of throwing 405 Method Not Allowed</w:t>
            </w:r>
          </w:p>
        </w:tc>
      </w:tr>
      <w:tr>
        <w:tc>
          <w:tcPr>
            <w:tcW w:type="dxa" w:w="2880"/>
            <w:shd w:fill="F4F7FA"/>
            <w:tcMar>
              <w:top w:w="90" w:type="dxa"/>
              <w:bottom w:w="90" w:type="dxa"/>
              <w:left w:w="140" w:type="dxa"/>
              <w:right w:w="140" w:type="dxa"/>
            </w:tcMar>
          </w:tcPr>
          <w:p>
            <w:pPr>
              <w:jc w:val="left"/>
            </w:pPr>
            <w:r>
              <w:rPr>
                <w:color w:val="222222"/>
                <w:sz w:val="18"/>
              </w:rPr>
              <w:t>Human-Readable 422 Errors</w:t>
            </w:r>
          </w:p>
        </w:tc>
        <w:tc>
          <w:tcPr>
            <w:tcW w:type="dxa" w:w="3168"/>
            <w:shd w:fill="F4F7FA"/>
            <w:tcMar>
              <w:top w:w="90" w:type="dxa"/>
              <w:bottom w:w="90" w:type="dxa"/>
              <w:left w:w="140" w:type="dxa"/>
              <w:right w:w="140" w:type="dxa"/>
            </w:tcMar>
          </w:tcPr>
          <w:p>
            <w:pPr>
              <w:jc w:val="left"/>
            </w:pPr>
            <w:r>
              <w:rPr>
                <w:color w:val="222222"/>
                <w:sz w:val="18"/>
              </w:rPr>
              <w:t>Client passes genuinely impossible data (Age: 200)</w:t>
            </w:r>
          </w:p>
        </w:tc>
        <w:tc>
          <w:tcPr>
            <w:tcW w:type="dxa" w:w="3312"/>
            <w:shd w:fill="F4F7FA"/>
            <w:tcMar>
              <w:top w:w="90" w:type="dxa"/>
              <w:bottom w:w="90" w:type="dxa"/>
              <w:left w:w="140" w:type="dxa"/>
              <w:right w:w="140" w:type="dxa"/>
            </w:tcMar>
          </w:tcPr>
          <w:p>
            <w:pPr>
              <w:jc w:val="left"/>
            </w:pPr>
            <w:r>
              <w:rPr>
                <w:color w:val="222222"/>
                <w:sz w:val="18"/>
              </w:rPr>
              <w:t>Returns exact field error messages with expected physiological ranges</w:t>
            </w:r>
          </w:p>
        </w:tc>
      </w:tr>
    </w:tbl>
    <w:p/>
    <w:p>
      <w:pPr>
        <w:keepNext/>
        <w:spacing w:before="360" w:after="160"/>
      </w:pPr>
      <w:r>
        <w:rPr>
          <w:rFonts w:ascii="Arial" w:hAnsi="Arial"/>
          <w:b/>
          <w:color w:val="1B365D"/>
          <w:sz w:val="36"/>
        </w:rPr>
        <w:t>Chapter 13: Comprehensive API Reference &amp; Payload Specifications</w:t>
      </w:r>
    </w:p>
    <w:p>
      <w:pPr>
        <w:keepNext/>
        <w:spacing w:before="280" w:after="120"/>
      </w:pPr>
      <w:r>
        <w:rPr>
          <w:rFonts w:ascii="Arial" w:hAnsi="Arial"/>
          <w:b/>
          <w:color w:val="2B547E"/>
          <w:sz w:val="27"/>
        </w:rPr>
        <w:t>13.1 Single Patient Prediction (POST /predict)</w:t>
      </w:r>
    </w:p>
    <w:p>
      <w:r>
        <w:t>Endpoint: POST https://ihtesham0345-kidney-stone.hf.space/predict</w:t>
        <w:br/>
        <w:t>Headers: Content-Type: application/json | Accept: application/json</w:t>
      </w:r>
    </w:p>
    <w:p>
      <w:r>
        <w:t>Sample Request Payload:</w:t>
      </w:r>
    </w:p>
    <w:p>
      <w:r>
        <w:t>{</w:t>
        <w:br/>
        <w:t xml:space="preserve">  "Age": 45,</w:t>
        <w:br/>
        <w:t xml:space="preserve">  "gender": "Male",</w:t>
        <w:br/>
        <w:t xml:space="preserve">  "Glucose": 115.0,</w:t>
        <w:br/>
        <w:t xml:space="preserve">  "weight": 76.0,</w:t>
        <w:br/>
        <w:t xml:space="preserve">  "height": 1.72,</w:t>
        <w:br/>
        <w:t xml:space="preserve">  "bmi": 25.7,</w:t>
        <w:br/>
        <w:t xml:space="preserve">  "systolic_bp": 128,</w:t>
        <w:br/>
        <w:t xml:space="preserve">  "diastolic_bp": 82,</w:t>
        <w:br/>
        <w:t xml:space="preserve">  "Hba1c": 5.9</w:t>
        <w:br/>
        <w:t>}</w:t>
      </w:r>
    </w:p>
    <w:p>
      <w:r>
        <w:t>Sample Response Payload (HTTP 200 OK):</w:t>
      </w:r>
    </w:p>
    <w:p>
      <w:r>
        <w:t>{</w:t>
        <w:br/>
        <w:t xml:space="preserve">  "prediction": "Medium",</w:t>
        <w:br/>
        <w:t xml:space="preserve">  "risk_description": "Pre-diabetic — HbA1c typically between 5.7% and 6.4%",</w:t>
        <w:br/>
        <w:t xml:space="preserve">  "confidence": 98.40,</w:t>
        <w:br/>
        <w:t xml:space="preserve">  "probabilities": {</w:t>
        <w:br/>
        <w:t xml:space="preserve">    "Low": 0.50,</w:t>
        <w:br/>
        <w:t xml:space="preserve">    "Medium": 98.40,</w:t>
        <w:br/>
        <w:t xml:space="preserve">    "High": 1.10</w:t>
        <w:br/>
        <w:t xml:space="preserve">  },</w:t>
        <w:br/>
        <w:t xml:space="preserve">  "input_data": {</w:t>
        <w:br/>
        <w:t xml:space="preserve">    "Age": 45,</w:t>
        <w:br/>
        <w:t xml:space="preserve">    "gender": "Male",</w:t>
        <w:br/>
        <w:t xml:space="preserve">    "Glucose": 115.0,</w:t>
        <w:br/>
        <w:t xml:space="preserve">    "weight": 76.0,</w:t>
        <w:br/>
        <w:t xml:space="preserve">    "height": 1.72,</w:t>
        <w:br/>
        <w:t xml:space="preserve">    "bmi": 25.7,</w:t>
        <w:br/>
        <w:t xml:space="preserve">    "systolic_bp": 128.0,</w:t>
        <w:br/>
        <w:t xml:space="preserve">    "diastolic_bp": 82.0,</w:t>
        <w:br/>
        <w:t xml:space="preserve">    "Hba1c": 5.9</w:t>
        <w:br/>
        <w:t xml:space="preserve">  }</w:t>
        <w:br/>
        <w:t>}</w:t>
      </w:r>
    </w:p>
    <w:p>
      <w:pPr>
        <w:keepNext/>
        <w:spacing w:before="360" w:after="160"/>
      </w:pPr>
      <w:r>
        <w:rPr>
          <w:rFonts w:ascii="Arial" w:hAnsi="Arial"/>
          <w:b/>
          <w:color w:val="1B365D"/>
          <w:sz w:val="36"/>
        </w:rPr>
        <w:t>Chapter 14: Quality Assurance, Automated Testing &amp; Verification Suite</w:t>
      </w:r>
    </w:p>
    <w:p>
      <w:r>
        <w:t>The codebase incorporates test_api.py, an automated end-to-end test suite built with FastAPI TestClient. The suite evaluates all 10 operational facets across 100% of defined routes without external network dependencies: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68"/>
            <w:shd w:fill="1B365D"/>
            <w:tcMar>
              <w:top w:w="120" w:type="dxa"/>
              <w:bottom w:w="120" w:type="dxa"/>
              <w:left w:w="140" w:type="dxa"/>
              <w:right w:w="140" w:type="dxa"/>
            </w:tcMar>
          </w:tcPr>
          <w:p>
            <w:pPr>
              <w:jc w:val="left"/>
            </w:pPr>
            <w:r>
              <w:rPr>
                <w:b/>
                <w:color w:val="FFFFFF"/>
                <w:sz w:val="19"/>
              </w:rPr>
              <w:t>Automated Test Suite</w:t>
            </w:r>
          </w:p>
        </w:tc>
        <w:tc>
          <w:tcPr>
            <w:tcW w:type="dxa" w:w="5040"/>
            <w:shd w:fill="1B365D"/>
            <w:tcMar>
              <w:top w:w="120" w:type="dxa"/>
              <w:bottom w:w="120" w:type="dxa"/>
              <w:left w:w="140" w:type="dxa"/>
              <w:right w:w="140" w:type="dxa"/>
            </w:tcMar>
          </w:tcPr>
          <w:p>
            <w:pPr>
              <w:jc w:val="left"/>
            </w:pPr>
            <w:r>
              <w:rPr>
                <w:b/>
                <w:color w:val="FFFFFF"/>
                <w:sz w:val="19"/>
              </w:rPr>
              <w:t>Verification Objective &amp; Assertions</w:t>
            </w:r>
          </w:p>
        </w:tc>
        <w:tc>
          <w:tcPr>
            <w:tcW w:type="dxa" w:w="1152"/>
            <w:shd w:fill="1B365D"/>
            <w:tcMar>
              <w:top w:w="120" w:type="dxa"/>
              <w:bottom w:w="120" w:type="dxa"/>
              <w:left w:w="140" w:type="dxa"/>
              <w:right w:w="140" w:type="dxa"/>
            </w:tcMar>
          </w:tcPr>
          <w:p>
            <w:pPr>
              <w:jc w:val="left"/>
            </w:pPr>
            <w:r>
              <w:rPr>
                <w:b/>
                <w:color w:val="FFFFFF"/>
                <w:sz w:val="19"/>
              </w:rPr>
              <w:t>Result</w:t>
            </w:r>
          </w:p>
        </w:tc>
      </w:tr>
      <w:tr>
        <w:tc>
          <w:tcPr>
            <w:tcW w:type="dxa" w:w="3168"/>
            <w:shd w:fill="FFFFFF"/>
            <w:tcMar>
              <w:top w:w="90" w:type="dxa"/>
              <w:bottom w:w="90" w:type="dxa"/>
              <w:left w:w="140" w:type="dxa"/>
              <w:right w:w="140" w:type="dxa"/>
            </w:tcMar>
          </w:tcPr>
          <w:p>
            <w:pPr>
              <w:jc w:val="left"/>
            </w:pPr>
            <w:r>
              <w:rPr>
                <w:color w:val="222222"/>
                <w:sz w:val="18"/>
              </w:rPr>
              <w:t>Suite 1: Root GET /</w:t>
            </w:r>
          </w:p>
        </w:tc>
        <w:tc>
          <w:tcPr>
            <w:tcW w:type="dxa" w:w="5040"/>
            <w:shd w:fill="FFFFFF"/>
            <w:tcMar>
              <w:top w:w="90" w:type="dxa"/>
              <w:bottom w:w="90" w:type="dxa"/>
              <w:left w:w="140" w:type="dxa"/>
              <w:right w:w="140" w:type="dxa"/>
            </w:tcMar>
          </w:tcPr>
          <w:p>
            <w:pPr>
              <w:jc w:val="left"/>
            </w:pPr>
            <w:r>
              <w:rPr>
                <w:color w:val="222222"/>
                <w:sz w:val="18"/>
              </w:rPr>
              <w:t>Verifies 200 OK status, welcome message, and endpoints dictionary</w:t>
            </w:r>
          </w:p>
        </w:tc>
        <w:tc>
          <w:tcPr>
            <w:tcW w:type="dxa" w:w="1152"/>
            <w:shd w:fill="FFFFFF"/>
            <w:tcMar>
              <w:top w:w="90" w:type="dxa"/>
              <w:bottom w:w="90" w:type="dxa"/>
              <w:left w:w="140" w:type="dxa"/>
              <w:right w:w="140" w:type="dxa"/>
            </w:tcMar>
          </w:tcPr>
          <w:p>
            <w:pPr>
              <w:jc w:val="left"/>
            </w:pPr>
            <w:r>
              <w:rPr>
                <w:color w:val="222222"/>
                <w:sz w:val="18"/>
              </w:rPr>
              <w:t>PASS</w:t>
            </w:r>
          </w:p>
        </w:tc>
      </w:tr>
      <w:tr>
        <w:tc>
          <w:tcPr>
            <w:tcW w:type="dxa" w:w="3168"/>
            <w:shd w:fill="F4F7FA"/>
            <w:tcMar>
              <w:top w:w="90" w:type="dxa"/>
              <w:bottom w:w="90" w:type="dxa"/>
              <w:left w:w="140" w:type="dxa"/>
              <w:right w:w="140" w:type="dxa"/>
            </w:tcMar>
          </w:tcPr>
          <w:p>
            <w:pPr>
              <w:jc w:val="left"/>
            </w:pPr>
            <w:r>
              <w:rPr>
                <w:color w:val="222222"/>
                <w:sz w:val="18"/>
              </w:rPr>
              <w:t>Suite 2: Health Check /health</w:t>
            </w:r>
          </w:p>
        </w:tc>
        <w:tc>
          <w:tcPr>
            <w:tcW w:type="dxa" w:w="5040"/>
            <w:shd w:fill="F4F7FA"/>
            <w:tcMar>
              <w:top w:w="90" w:type="dxa"/>
              <w:bottom w:w="90" w:type="dxa"/>
              <w:left w:w="140" w:type="dxa"/>
              <w:right w:w="140" w:type="dxa"/>
            </w:tcMar>
          </w:tcPr>
          <w:p>
            <w:pPr>
              <w:jc w:val="left"/>
            </w:pPr>
            <w:r>
              <w:rPr>
                <w:color w:val="222222"/>
                <w:sz w:val="18"/>
              </w:rPr>
              <w:t>Validates PyTorch model loaded, ResNet architecture, and 98.6% accuracy string</w:t>
            </w:r>
          </w:p>
        </w:tc>
        <w:tc>
          <w:tcPr>
            <w:tcW w:type="dxa" w:w="1152"/>
            <w:shd w:fill="F4F7FA"/>
            <w:tcMar>
              <w:top w:w="90" w:type="dxa"/>
              <w:bottom w:w="90" w:type="dxa"/>
              <w:left w:w="140" w:type="dxa"/>
              <w:right w:w="140" w:type="dxa"/>
            </w:tcMar>
          </w:tcPr>
          <w:p>
            <w:pPr>
              <w:jc w:val="left"/>
            </w:pPr>
            <w:r>
              <w:rPr>
                <w:color w:val="222222"/>
                <w:sz w:val="18"/>
              </w:rPr>
              <w:t>PASS</w:t>
            </w:r>
          </w:p>
        </w:tc>
      </w:tr>
      <w:tr>
        <w:tc>
          <w:tcPr>
            <w:tcW w:type="dxa" w:w="3168"/>
            <w:shd w:fill="FFFFFF"/>
            <w:tcMar>
              <w:top w:w="90" w:type="dxa"/>
              <w:bottom w:w="90" w:type="dxa"/>
              <w:left w:w="140" w:type="dxa"/>
              <w:right w:w="140" w:type="dxa"/>
            </w:tcMar>
          </w:tcPr>
          <w:p>
            <w:pPr>
              <w:jc w:val="left"/>
            </w:pPr>
            <w:r>
              <w:rPr>
                <w:color w:val="222222"/>
                <w:sz w:val="18"/>
              </w:rPr>
              <w:t>Suite 3: Model Metadata /model-info</w:t>
            </w:r>
          </w:p>
        </w:tc>
        <w:tc>
          <w:tcPr>
            <w:tcW w:type="dxa" w:w="5040"/>
            <w:shd w:fill="FFFFFF"/>
            <w:tcMar>
              <w:top w:w="90" w:type="dxa"/>
              <w:bottom w:w="90" w:type="dxa"/>
              <w:left w:w="140" w:type="dxa"/>
              <w:right w:w="140" w:type="dxa"/>
            </w:tcMar>
          </w:tcPr>
          <w:p>
            <w:pPr>
              <w:jc w:val="left"/>
            </w:pPr>
            <w:r>
              <w:rPr>
                <w:color w:val="222222"/>
                <w:sz w:val="18"/>
              </w:rPr>
              <w:t>Verifies 13 feature names, scaler mean and scale parameters</w:t>
            </w:r>
          </w:p>
        </w:tc>
        <w:tc>
          <w:tcPr>
            <w:tcW w:type="dxa" w:w="1152"/>
            <w:shd w:fill="FFFFFF"/>
            <w:tcMar>
              <w:top w:w="90" w:type="dxa"/>
              <w:bottom w:w="90" w:type="dxa"/>
              <w:left w:w="140" w:type="dxa"/>
              <w:right w:w="140" w:type="dxa"/>
            </w:tcMar>
          </w:tcPr>
          <w:p>
            <w:pPr>
              <w:jc w:val="left"/>
            </w:pPr>
            <w:r>
              <w:rPr>
                <w:color w:val="222222"/>
                <w:sz w:val="18"/>
              </w:rPr>
              <w:t>PASS</w:t>
            </w:r>
          </w:p>
        </w:tc>
      </w:tr>
      <w:tr>
        <w:tc>
          <w:tcPr>
            <w:tcW w:type="dxa" w:w="3168"/>
            <w:shd w:fill="F4F7FA"/>
            <w:tcMar>
              <w:top w:w="90" w:type="dxa"/>
              <w:bottom w:w="90" w:type="dxa"/>
              <w:left w:w="140" w:type="dxa"/>
              <w:right w:w="140" w:type="dxa"/>
            </w:tcMar>
          </w:tcPr>
          <w:p>
            <w:pPr>
              <w:jc w:val="left"/>
            </w:pPr>
            <w:r>
              <w:rPr>
                <w:color w:val="222222"/>
                <w:sz w:val="18"/>
              </w:rPr>
              <w:t>Suite 4: Real Patient Predictions</w:t>
            </w:r>
          </w:p>
        </w:tc>
        <w:tc>
          <w:tcPr>
            <w:tcW w:type="dxa" w:w="5040"/>
            <w:shd w:fill="F4F7FA"/>
            <w:tcMar>
              <w:top w:w="90" w:type="dxa"/>
              <w:bottom w:w="90" w:type="dxa"/>
              <w:left w:w="140" w:type="dxa"/>
              <w:right w:w="140" w:type="dxa"/>
            </w:tcMar>
          </w:tcPr>
          <w:p>
            <w:pPr>
              <w:jc w:val="left"/>
            </w:pPr>
            <w:r>
              <w:rPr>
                <w:color w:val="222222"/>
                <w:sz w:val="18"/>
              </w:rPr>
              <w:t>Tests Low, Medium, and High patient cases against ground-truth labels</w:t>
            </w:r>
          </w:p>
        </w:tc>
        <w:tc>
          <w:tcPr>
            <w:tcW w:type="dxa" w:w="1152"/>
            <w:shd w:fill="F4F7FA"/>
            <w:tcMar>
              <w:top w:w="90" w:type="dxa"/>
              <w:bottom w:w="90" w:type="dxa"/>
              <w:left w:w="140" w:type="dxa"/>
              <w:right w:w="140" w:type="dxa"/>
            </w:tcMar>
          </w:tcPr>
          <w:p>
            <w:pPr>
              <w:jc w:val="left"/>
            </w:pPr>
            <w:r>
              <w:rPr>
                <w:color w:val="222222"/>
                <w:sz w:val="18"/>
              </w:rPr>
              <w:t>PASS</w:t>
            </w:r>
          </w:p>
        </w:tc>
      </w:tr>
      <w:tr>
        <w:tc>
          <w:tcPr>
            <w:tcW w:type="dxa" w:w="3168"/>
            <w:shd w:fill="FFFFFF"/>
            <w:tcMar>
              <w:top w:w="90" w:type="dxa"/>
              <w:bottom w:w="90" w:type="dxa"/>
              <w:left w:w="140" w:type="dxa"/>
              <w:right w:w="140" w:type="dxa"/>
            </w:tcMar>
          </w:tcPr>
          <w:p>
            <w:pPr>
              <w:jc w:val="left"/>
            </w:pPr>
            <w:r>
              <w:rPr>
                <w:color w:val="222222"/>
                <w:sz w:val="18"/>
              </w:rPr>
              <w:t>Suite 5: Batch Processing</w:t>
            </w:r>
          </w:p>
        </w:tc>
        <w:tc>
          <w:tcPr>
            <w:tcW w:type="dxa" w:w="5040"/>
            <w:shd w:fill="FFFFFF"/>
            <w:tcMar>
              <w:top w:w="90" w:type="dxa"/>
              <w:bottom w:w="90" w:type="dxa"/>
              <w:left w:w="140" w:type="dxa"/>
              <w:right w:w="140" w:type="dxa"/>
            </w:tcMar>
          </w:tcPr>
          <w:p>
            <w:pPr>
              <w:jc w:val="left"/>
            </w:pPr>
            <w:r>
              <w:rPr>
                <w:color w:val="222222"/>
                <w:sz w:val="18"/>
              </w:rPr>
              <w:t>Evaluates batch predictions on multi-patient arrays</w:t>
            </w:r>
          </w:p>
        </w:tc>
        <w:tc>
          <w:tcPr>
            <w:tcW w:type="dxa" w:w="1152"/>
            <w:shd w:fill="FFFFFF"/>
            <w:tcMar>
              <w:top w:w="90" w:type="dxa"/>
              <w:bottom w:w="90" w:type="dxa"/>
              <w:left w:w="140" w:type="dxa"/>
              <w:right w:w="140" w:type="dxa"/>
            </w:tcMar>
          </w:tcPr>
          <w:p>
            <w:pPr>
              <w:jc w:val="left"/>
            </w:pPr>
            <w:r>
              <w:rPr>
                <w:color w:val="222222"/>
                <w:sz w:val="18"/>
              </w:rPr>
              <w:t>PASS</w:t>
            </w:r>
          </w:p>
        </w:tc>
      </w:tr>
      <w:tr>
        <w:tc>
          <w:tcPr>
            <w:tcW w:type="dxa" w:w="3168"/>
            <w:shd w:fill="F4F7FA"/>
            <w:tcMar>
              <w:top w:w="90" w:type="dxa"/>
              <w:bottom w:w="90" w:type="dxa"/>
              <w:left w:w="140" w:type="dxa"/>
              <w:right w:w="140" w:type="dxa"/>
            </w:tcMar>
          </w:tcPr>
          <w:p>
            <w:pPr>
              <w:jc w:val="left"/>
            </w:pPr>
            <w:r>
              <w:rPr>
                <w:color w:val="222222"/>
                <w:sz w:val="18"/>
              </w:rPr>
              <w:t>Suite 6: Dataset Endpoints</w:t>
            </w:r>
          </w:p>
        </w:tc>
        <w:tc>
          <w:tcPr>
            <w:tcW w:type="dxa" w:w="5040"/>
            <w:shd w:fill="F4F7FA"/>
            <w:tcMar>
              <w:top w:w="90" w:type="dxa"/>
              <w:bottom w:w="90" w:type="dxa"/>
              <w:left w:w="140" w:type="dxa"/>
              <w:right w:w="140" w:type="dxa"/>
            </w:tcMar>
          </w:tcPr>
          <w:p>
            <w:pPr>
              <w:jc w:val="left"/>
            </w:pPr>
            <w:r>
              <w:rPr>
                <w:color w:val="222222"/>
                <w:sz w:val="18"/>
              </w:rPr>
              <w:t>Validates statistical summaries and random sampling on reference data</w:t>
            </w:r>
          </w:p>
        </w:tc>
        <w:tc>
          <w:tcPr>
            <w:tcW w:type="dxa" w:w="1152"/>
            <w:shd w:fill="F4F7FA"/>
            <w:tcMar>
              <w:top w:w="90" w:type="dxa"/>
              <w:bottom w:w="90" w:type="dxa"/>
              <w:left w:w="140" w:type="dxa"/>
              <w:right w:w="140" w:type="dxa"/>
            </w:tcMar>
          </w:tcPr>
          <w:p>
            <w:pPr>
              <w:jc w:val="left"/>
            </w:pPr>
            <w:r>
              <w:rPr>
                <w:color w:val="222222"/>
                <w:sz w:val="18"/>
              </w:rPr>
              <w:t>PASS</w:t>
            </w:r>
          </w:p>
        </w:tc>
      </w:tr>
      <w:tr>
        <w:tc>
          <w:tcPr>
            <w:tcW w:type="dxa" w:w="3168"/>
            <w:shd w:fill="FFFFFF"/>
            <w:tcMar>
              <w:top w:w="90" w:type="dxa"/>
              <w:bottom w:w="90" w:type="dxa"/>
              <w:left w:w="140" w:type="dxa"/>
              <w:right w:w="140" w:type="dxa"/>
            </w:tcMar>
          </w:tcPr>
          <w:p>
            <w:pPr>
              <w:jc w:val="left"/>
            </w:pPr>
            <w:r>
              <w:rPr>
                <w:color w:val="222222"/>
                <w:sz w:val="18"/>
              </w:rPr>
              <w:t>Suite 7: Input Validation Errors</w:t>
            </w:r>
          </w:p>
        </w:tc>
        <w:tc>
          <w:tcPr>
            <w:tcW w:type="dxa" w:w="5040"/>
            <w:shd w:fill="FFFFFF"/>
            <w:tcMar>
              <w:top w:w="90" w:type="dxa"/>
              <w:bottom w:w="90" w:type="dxa"/>
              <w:left w:w="140" w:type="dxa"/>
              <w:right w:w="140" w:type="dxa"/>
            </w:tcMar>
          </w:tcPr>
          <w:p>
            <w:pPr>
              <w:jc w:val="left"/>
            </w:pPr>
            <w:r>
              <w:rPr>
                <w:color w:val="222222"/>
                <w:sz w:val="18"/>
              </w:rPr>
              <w:t>Confirms appropriate rejection (422) on impossible ages (&gt;120) or invalid genders</w:t>
            </w:r>
          </w:p>
        </w:tc>
        <w:tc>
          <w:tcPr>
            <w:tcW w:type="dxa" w:w="1152"/>
            <w:shd w:fill="FFFFFF"/>
            <w:tcMar>
              <w:top w:w="90" w:type="dxa"/>
              <w:bottom w:w="90" w:type="dxa"/>
              <w:left w:w="140" w:type="dxa"/>
              <w:right w:w="140" w:type="dxa"/>
            </w:tcMar>
          </w:tcPr>
          <w:p>
            <w:pPr>
              <w:jc w:val="left"/>
            </w:pPr>
            <w:r>
              <w:rPr>
                <w:color w:val="222222"/>
                <w:sz w:val="18"/>
              </w:rPr>
              <w:t>PASS</w:t>
            </w:r>
          </w:p>
        </w:tc>
      </w:tr>
      <w:tr>
        <w:tc>
          <w:tcPr>
            <w:tcW w:type="dxa" w:w="3168"/>
            <w:shd w:fill="F4F7FA"/>
            <w:tcMar>
              <w:top w:w="90" w:type="dxa"/>
              <w:bottom w:w="90" w:type="dxa"/>
              <w:left w:w="140" w:type="dxa"/>
              <w:right w:w="140" w:type="dxa"/>
            </w:tcMar>
          </w:tcPr>
          <w:p>
            <w:pPr>
              <w:jc w:val="left"/>
            </w:pPr>
            <w:r>
              <w:rPr>
                <w:color w:val="222222"/>
                <w:sz w:val="18"/>
              </w:rPr>
              <w:t>Suite 8: Flexible Input Normalization</w:t>
            </w:r>
          </w:p>
        </w:tc>
        <w:tc>
          <w:tcPr>
            <w:tcW w:type="dxa" w:w="5040"/>
            <w:shd w:fill="F4F7FA"/>
            <w:tcMar>
              <w:top w:w="90" w:type="dxa"/>
              <w:bottom w:w="90" w:type="dxa"/>
              <w:left w:w="140" w:type="dxa"/>
              <w:right w:w="140" w:type="dxa"/>
            </w:tcMar>
          </w:tcPr>
          <w:p>
            <w:pPr>
              <w:jc w:val="left"/>
            </w:pPr>
            <w:r>
              <w:rPr>
                <w:color w:val="222222"/>
                <w:sz w:val="18"/>
              </w:rPr>
              <w:t>Validates auto-conversion of height in cm, lowercase keys, and auto-computed BMI</w:t>
            </w:r>
          </w:p>
        </w:tc>
        <w:tc>
          <w:tcPr>
            <w:tcW w:type="dxa" w:w="1152"/>
            <w:shd w:fill="F4F7FA"/>
            <w:tcMar>
              <w:top w:w="90" w:type="dxa"/>
              <w:bottom w:w="90" w:type="dxa"/>
              <w:left w:w="140" w:type="dxa"/>
              <w:right w:w="140" w:type="dxa"/>
            </w:tcMar>
          </w:tcPr>
          <w:p>
            <w:pPr>
              <w:jc w:val="left"/>
            </w:pPr>
            <w:r>
              <w:rPr>
                <w:color w:val="222222"/>
                <w:sz w:val="18"/>
              </w:rPr>
              <w:t>PASS</w:t>
            </w:r>
          </w:p>
        </w:tc>
      </w:tr>
      <w:tr>
        <w:tc>
          <w:tcPr>
            <w:tcW w:type="dxa" w:w="3168"/>
            <w:shd w:fill="FFFFFF"/>
            <w:tcMar>
              <w:top w:w="90" w:type="dxa"/>
              <w:bottom w:w="90" w:type="dxa"/>
              <w:left w:w="140" w:type="dxa"/>
              <w:right w:w="140" w:type="dxa"/>
            </w:tcMar>
          </w:tcPr>
          <w:p>
            <w:pPr>
              <w:jc w:val="left"/>
            </w:pPr>
            <w:r>
              <w:rPr>
                <w:color w:val="222222"/>
                <w:sz w:val="18"/>
              </w:rPr>
              <w:t>Suite 9: Root POST Fallback</w:t>
            </w:r>
          </w:p>
        </w:tc>
        <w:tc>
          <w:tcPr>
            <w:tcW w:type="dxa" w:w="5040"/>
            <w:shd w:fill="FFFFFF"/>
            <w:tcMar>
              <w:top w:w="90" w:type="dxa"/>
              <w:bottom w:w="90" w:type="dxa"/>
              <w:left w:w="140" w:type="dxa"/>
              <w:right w:w="140" w:type="dxa"/>
            </w:tcMar>
          </w:tcPr>
          <w:p>
            <w:pPr>
              <w:jc w:val="left"/>
            </w:pPr>
            <w:r>
              <w:rPr>
                <w:color w:val="222222"/>
                <w:sz w:val="18"/>
              </w:rPr>
              <w:t>Verifies root POST requests execute with 200 OK without 405 Method Not Allowed</w:t>
            </w:r>
          </w:p>
        </w:tc>
        <w:tc>
          <w:tcPr>
            <w:tcW w:type="dxa" w:w="1152"/>
            <w:shd w:fill="FFFFFF"/>
            <w:tcMar>
              <w:top w:w="90" w:type="dxa"/>
              <w:bottom w:w="90" w:type="dxa"/>
              <w:left w:w="140" w:type="dxa"/>
              <w:right w:w="140" w:type="dxa"/>
            </w:tcMar>
          </w:tcPr>
          <w:p>
            <w:pPr>
              <w:jc w:val="left"/>
            </w:pPr>
            <w:r>
              <w:rPr>
                <w:color w:val="222222"/>
                <w:sz w:val="18"/>
              </w:rPr>
              <w:t>PASS</w:t>
            </w:r>
          </w:p>
        </w:tc>
      </w:tr>
      <w:tr>
        <w:tc>
          <w:tcPr>
            <w:tcW w:type="dxa" w:w="3168"/>
            <w:shd w:fill="F4F7FA"/>
            <w:tcMar>
              <w:top w:w="90" w:type="dxa"/>
              <w:bottom w:w="90" w:type="dxa"/>
              <w:left w:w="140" w:type="dxa"/>
              <w:right w:w="140" w:type="dxa"/>
            </w:tcMar>
          </w:tcPr>
          <w:p>
            <w:pPr>
              <w:jc w:val="left"/>
            </w:pPr>
            <w:r>
              <w:rPr>
                <w:color w:val="222222"/>
                <w:sz w:val="18"/>
              </w:rPr>
              <w:t>Suite 10: Agent &amp; MCP Protocol Discovery</w:t>
            </w:r>
          </w:p>
        </w:tc>
        <w:tc>
          <w:tcPr>
            <w:tcW w:type="dxa" w:w="5040"/>
            <w:shd w:fill="F4F7FA"/>
            <w:tcMar>
              <w:top w:w="90" w:type="dxa"/>
              <w:bottom w:w="90" w:type="dxa"/>
              <w:left w:w="140" w:type="dxa"/>
              <w:right w:w="140" w:type="dxa"/>
            </w:tcMar>
          </w:tcPr>
          <w:p>
            <w:pPr>
              <w:jc w:val="left"/>
            </w:pPr>
            <w:r>
              <w:rPr>
                <w:color w:val="222222"/>
                <w:sz w:val="18"/>
              </w:rPr>
              <w:t>Validates A2A agent card, OpenAI plugin, and MCP initialize/tools/call JSON-RPC</w:t>
            </w:r>
          </w:p>
        </w:tc>
        <w:tc>
          <w:tcPr>
            <w:tcW w:type="dxa" w:w="1152"/>
            <w:shd w:fill="F4F7FA"/>
            <w:tcMar>
              <w:top w:w="90" w:type="dxa"/>
              <w:bottom w:w="90" w:type="dxa"/>
              <w:left w:w="140" w:type="dxa"/>
              <w:right w:w="140" w:type="dxa"/>
            </w:tcMar>
          </w:tcPr>
          <w:p>
            <w:pPr>
              <w:jc w:val="left"/>
            </w:pPr>
            <w:r>
              <w:rPr>
                <w:color w:val="222222"/>
                <w:sz w:val="18"/>
              </w:rPr>
              <w:t>PASS</w:t>
            </w:r>
          </w:p>
        </w:tc>
      </w:tr>
    </w:tbl>
    <w:p/>
    <w:p>
      <w:pPr>
        <w:keepNext/>
        <w:spacing w:before="360" w:after="160"/>
      </w:pPr>
      <w:r>
        <w:rPr>
          <w:rFonts w:ascii="Arial" w:hAnsi="Arial"/>
          <w:b/>
          <w:color w:val="1B365D"/>
          <w:sz w:val="36"/>
        </w:rPr>
        <w:t>Chapter 15: Operational Maintenance, Logging &amp; Troubleshooting Runbook</w:t>
      </w:r>
    </w:p>
    <w:p>
      <w:r>
        <w:t>This runbook outlines operational procedures for diagnosing and maintaining the API in production environments: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B365D"/>
            <w:tcMar>
              <w:top w:w="120" w:type="dxa"/>
              <w:bottom w:w="120" w:type="dxa"/>
              <w:left w:w="140" w:type="dxa"/>
              <w:right w:w="140" w:type="dxa"/>
            </w:tcMar>
          </w:tcPr>
          <w:p>
            <w:pPr>
              <w:jc w:val="left"/>
            </w:pPr>
            <w:r>
              <w:rPr>
                <w:b/>
                <w:color w:val="FFFFFF"/>
                <w:sz w:val="19"/>
              </w:rPr>
              <w:t>Observed Symptom / Log Event</w:t>
            </w:r>
          </w:p>
        </w:tc>
        <w:tc>
          <w:tcPr>
            <w:tcW w:type="dxa" w:w="3312"/>
            <w:shd w:fill="1B365D"/>
            <w:tcMar>
              <w:top w:w="120" w:type="dxa"/>
              <w:bottom w:w="120" w:type="dxa"/>
              <w:left w:w="140" w:type="dxa"/>
              <w:right w:w="140" w:type="dxa"/>
            </w:tcMar>
          </w:tcPr>
          <w:p>
            <w:pPr>
              <w:jc w:val="left"/>
            </w:pPr>
            <w:r>
              <w:rPr>
                <w:b/>
                <w:color w:val="FFFFFF"/>
                <w:sz w:val="19"/>
              </w:rPr>
              <w:t>Root Cause Analysis</w:t>
            </w:r>
          </w:p>
        </w:tc>
        <w:tc>
          <w:tcPr>
            <w:tcW w:type="dxa" w:w="3456"/>
            <w:shd w:fill="1B365D"/>
            <w:tcMar>
              <w:top w:w="120" w:type="dxa"/>
              <w:bottom w:w="120" w:type="dxa"/>
              <w:left w:w="140" w:type="dxa"/>
              <w:right w:w="140" w:type="dxa"/>
            </w:tcMar>
          </w:tcPr>
          <w:p>
            <w:pPr>
              <w:jc w:val="left"/>
            </w:pPr>
            <w:r>
              <w:rPr>
                <w:b/>
                <w:color w:val="FFFFFF"/>
                <w:sz w:val="19"/>
              </w:rPr>
              <w:t>Engineered Resolution / Action</w:t>
            </w:r>
          </w:p>
        </w:tc>
      </w:tr>
      <w:tr>
        <w:tc>
          <w:tcPr>
            <w:tcW w:type="dxa" w:w="2592"/>
            <w:shd w:fill="FFFFFF"/>
            <w:tcMar>
              <w:top w:w="90" w:type="dxa"/>
              <w:bottom w:w="90" w:type="dxa"/>
              <w:left w:w="140" w:type="dxa"/>
              <w:right w:w="140" w:type="dxa"/>
            </w:tcMar>
          </w:tcPr>
          <w:p>
            <w:pPr>
              <w:jc w:val="left"/>
            </w:pPr>
            <w:r>
              <w:rPr>
                <w:color w:val="222222"/>
                <w:sz w:val="18"/>
              </w:rPr>
              <w:t>Log: 404 on /mcp, /sse, /a2a</w:t>
            </w:r>
          </w:p>
        </w:tc>
        <w:tc>
          <w:tcPr>
            <w:tcW w:type="dxa" w:w="3312"/>
            <w:shd w:fill="FFFFFF"/>
            <w:tcMar>
              <w:top w:w="90" w:type="dxa"/>
              <w:bottom w:w="90" w:type="dxa"/>
              <w:left w:w="140" w:type="dxa"/>
              <w:right w:w="140" w:type="dxa"/>
            </w:tcMar>
          </w:tcPr>
          <w:p>
            <w:pPr>
              <w:jc w:val="left"/>
            </w:pPr>
            <w:r>
              <w:rPr>
                <w:color w:val="222222"/>
                <w:sz w:val="18"/>
              </w:rPr>
              <w:t>External AI agents or Hugging Face crawler probing for MCP tool integration</w:t>
            </w:r>
          </w:p>
        </w:tc>
        <w:tc>
          <w:tcPr>
            <w:tcW w:type="dxa" w:w="3456"/>
            <w:shd w:fill="FFFFFF"/>
            <w:tcMar>
              <w:top w:w="90" w:type="dxa"/>
              <w:bottom w:w="90" w:type="dxa"/>
              <w:left w:w="140" w:type="dxa"/>
              <w:right w:w="140" w:type="dxa"/>
            </w:tcMar>
          </w:tcPr>
          <w:p>
            <w:pPr>
              <w:jc w:val="left"/>
            </w:pPr>
            <w:r>
              <w:rPr>
                <w:color w:val="222222"/>
                <w:sz w:val="18"/>
              </w:rPr>
              <w:t>Resolved: Universal MCP/A2A gateway handles discovery requests with 200 OK</w:t>
            </w:r>
          </w:p>
        </w:tc>
      </w:tr>
      <w:tr>
        <w:tc>
          <w:tcPr>
            <w:tcW w:type="dxa" w:w="2592"/>
            <w:shd w:fill="F4F7FA"/>
            <w:tcMar>
              <w:top w:w="90" w:type="dxa"/>
              <w:bottom w:w="90" w:type="dxa"/>
              <w:left w:w="140" w:type="dxa"/>
              <w:right w:w="140" w:type="dxa"/>
            </w:tcMar>
          </w:tcPr>
          <w:p>
            <w:pPr>
              <w:jc w:val="left"/>
            </w:pPr>
            <w:r>
              <w:rPr>
                <w:color w:val="222222"/>
                <w:sz w:val="18"/>
              </w:rPr>
              <w:t>Log: 405 on POST /</w:t>
            </w:r>
          </w:p>
        </w:tc>
        <w:tc>
          <w:tcPr>
            <w:tcW w:type="dxa" w:w="3312"/>
            <w:shd w:fill="F4F7FA"/>
            <w:tcMar>
              <w:top w:w="90" w:type="dxa"/>
              <w:bottom w:w="90" w:type="dxa"/>
              <w:left w:w="140" w:type="dxa"/>
              <w:right w:w="140" w:type="dxa"/>
            </w:tcMar>
          </w:tcPr>
          <w:p>
            <w:pPr>
              <w:jc w:val="left"/>
            </w:pPr>
            <w:r>
              <w:rPr>
                <w:color w:val="222222"/>
                <w:sz w:val="18"/>
              </w:rPr>
              <w:t>Client accidentally POSTed to base URL instead of /predict</w:t>
            </w:r>
          </w:p>
        </w:tc>
        <w:tc>
          <w:tcPr>
            <w:tcW w:type="dxa" w:w="3456"/>
            <w:shd w:fill="F4F7FA"/>
            <w:tcMar>
              <w:top w:w="90" w:type="dxa"/>
              <w:bottom w:w="90" w:type="dxa"/>
              <w:left w:w="140" w:type="dxa"/>
              <w:right w:w="140" w:type="dxa"/>
            </w:tcMar>
          </w:tcPr>
          <w:p>
            <w:pPr>
              <w:jc w:val="left"/>
            </w:pPr>
            <w:r>
              <w:rPr>
                <w:color w:val="222222"/>
                <w:sz w:val="18"/>
              </w:rPr>
              <w:t>Resolved: @app.post('/') route fallback routes payload directly to inference</w:t>
            </w:r>
          </w:p>
        </w:tc>
      </w:tr>
      <w:tr>
        <w:tc>
          <w:tcPr>
            <w:tcW w:type="dxa" w:w="2592"/>
            <w:shd w:fill="FFFFFF"/>
            <w:tcMar>
              <w:top w:w="90" w:type="dxa"/>
              <w:bottom w:w="90" w:type="dxa"/>
              <w:left w:w="140" w:type="dxa"/>
              <w:right w:w="140" w:type="dxa"/>
            </w:tcMar>
          </w:tcPr>
          <w:p>
            <w:pPr>
              <w:jc w:val="left"/>
            </w:pPr>
            <w:r>
              <w:rPr>
                <w:color w:val="222222"/>
                <w:sz w:val="18"/>
              </w:rPr>
              <w:t>Log: 422 on POST /predict</w:t>
            </w:r>
          </w:p>
        </w:tc>
        <w:tc>
          <w:tcPr>
            <w:tcW w:type="dxa" w:w="3312"/>
            <w:shd w:fill="FFFFFF"/>
            <w:tcMar>
              <w:top w:w="90" w:type="dxa"/>
              <w:bottom w:w="90" w:type="dxa"/>
              <w:left w:w="140" w:type="dxa"/>
              <w:right w:w="140" w:type="dxa"/>
            </w:tcMar>
          </w:tcPr>
          <w:p>
            <w:pPr>
              <w:jc w:val="left"/>
            </w:pPr>
            <w:r>
              <w:rPr>
                <w:color w:val="222222"/>
                <w:sz w:val="18"/>
              </w:rPr>
              <w:t>Client passed missing fields or values outside physiological range</w:t>
            </w:r>
          </w:p>
        </w:tc>
        <w:tc>
          <w:tcPr>
            <w:tcW w:type="dxa" w:w="3456"/>
            <w:shd w:fill="FFFFFF"/>
            <w:tcMar>
              <w:top w:w="90" w:type="dxa"/>
              <w:bottom w:w="90" w:type="dxa"/>
              <w:left w:w="140" w:type="dxa"/>
              <w:right w:w="140" w:type="dxa"/>
            </w:tcMar>
          </w:tcPr>
          <w:p>
            <w:pPr>
              <w:jc w:val="left"/>
            </w:pPr>
            <w:r>
              <w:rPr>
                <w:color w:val="222222"/>
                <w:sz w:val="18"/>
              </w:rPr>
              <w:t>Resolved: Resilient normalizer auto-computes BMI and converts cm to meters</w:t>
            </w:r>
          </w:p>
        </w:tc>
      </w:tr>
      <w:tr>
        <w:tc>
          <w:tcPr>
            <w:tcW w:type="dxa" w:w="2592"/>
            <w:shd w:fill="F4F7FA"/>
            <w:tcMar>
              <w:top w:w="90" w:type="dxa"/>
              <w:bottom w:w="90" w:type="dxa"/>
              <w:left w:w="140" w:type="dxa"/>
              <w:right w:w="140" w:type="dxa"/>
            </w:tcMar>
          </w:tcPr>
          <w:p>
            <w:pPr>
              <w:jc w:val="left"/>
            </w:pPr>
            <w:r>
              <w:rPr>
                <w:color w:val="222222"/>
                <w:sz w:val="18"/>
              </w:rPr>
              <w:t>Latency degradation (&gt;50ms)</w:t>
            </w:r>
          </w:p>
        </w:tc>
        <w:tc>
          <w:tcPr>
            <w:tcW w:type="dxa" w:w="3312"/>
            <w:shd w:fill="F4F7FA"/>
            <w:tcMar>
              <w:top w:w="90" w:type="dxa"/>
              <w:bottom w:w="90" w:type="dxa"/>
              <w:left w:w="140" w:type="dxa"/>
              <w:right w:w="140" w:type="dxa"/>
            </w:tcMar>
          </w:tcPr>
          <w:p>
            <w:pPr>
              <w:jc w:val="left"/>
            </w:pPr>
            <w:r>
              <w:rPr>
                <w:color w:val="222222"/>
                <w:sz w:val="18"/>
              </w:rPr>
              <w:t>Excessive CPU contention or concurrent batch queueing</w:t>
            </w:r>
          </w:p>
        </w:tc>
        <w:tc>
          <w:tcPr>
            <w:tcW w:type="dxa" w:w="3456"/>
            <w:shd w:fill="F4F7FA"/>
            <w:tcMar>
              <w:top w:w="90" w:type="dxa"/>
              <w:bottom w:w="90" w:type="dxa"/>
              <w:left w:w="140" w:type="dxa"/>
              <w:right w:w="140" w:type="dxa"/>
            </w:tcMar>
          </w:tcPr>
          <w:p>
            <w:pPr>
              <w:jc w:val="left"/>
            </w:pPr>
            <w:r>
              <w:rPr>
                <w:color w:val="222222"/>
                <w:sz w:val="18"/>
              </w:rPr>
              <w:t>Action: Scale container vCPU or horizontally replicate via Kubernetes ingress</w:t>
            </w:r>
          </w:p>
        </w:tc>
      </w:tr>
      <w:tr>
        <w:tc>
          <w:tcPr>
            <w:tcW w:type="dxa" w:w="2592"/>
            <w:shd w:fill="FFFFFF"/>
            <w:tcMar>
              <w:top w:w="90" w:type="dxa"/>
              <w:bottom w:w="90" w:type="dxa"/>
              <w:left w:w="140" w:type="dxa"/>
              <w:right w:w="140" w:type="dxa"/>
            </w:tcMar>
          </w:tcPr>
          <w:p>
            <w:pPr>
              <w:jc w:val="left"/>
            </w:pPr>
            <w:r>
              <w:rPr>
                <w:color w:val="222222"/>
                <w:sz w:val="18"/>
              </w:rPr>
              <w:t>Model Drift / Covariate Shift</w:t>
            </w:r>
          </w:p>
        </w:tc>
        <w:tc>
          <w:tcPr>
            <w:tcW w:type="dxa" w:w="3312"/>
            <w:shd w:fill="FFFFFF"/>
            <w:tcMar>
              <w:top w:w="90" w:type="dxa"/>
              <w:bottom w:w="90" w:type="dxa"/>
              <w:left w:w="140" w:type="dxa"/>
              <w:right w:w="140" w:type="dxa"/>
            </w:tcMar>
          </w:tcPr>
          <w:p>
            <w:pPr>
              <w:jc w:val="left"/>
            </w:pPr>
            <w:r>
              <w:rPr>
                <w:color w:val="222222"/>
                <w:sz w:val="18"/>
              </w:rPr>
              <w:t>Patient demographic shift over calendar quarters</w:t>
            </w:r>
          </w:p>
        </w:tc>
        <w:tc>
          <w:tcPr>
            <w:tcW w:type="dxa" w:w="3456"/>
            <w:shd w:fill="FFFFFF"/>
            <w:tcMar>
              <w:top w:w="90" w:type="dxa"/>
              <w:bottom w:w="90" w:type="dxa"/>
              <w:left w:w="140" w:type="dxa"/>
              <w:right w:w="140" w:type="dxa"/>
            </w:tcMar>
          </w:tcPr>
          <w:p>
            <w:pPr>
              <w:jc w:val="left"/>
            </w:pPr>
            <w:r>
              <w:rPr>
                <w:color w:val="222222"/>
                <w:sz w:val="18"/>
              </w:rPr>
              <w:t>Action: Run quarterly retrain pipeline via train_deep_learning.py and verify validation F1</w:t>
            </w:r>
          </w:p>
        </w:tc>
      </w:tr>
    </w:tbl>
    <w:p/>
    <w:p>
      <w:pPr>
        <w:keepNext/>
        <w:spacing w:before="360" w:after="160"/>
      </w:pPr>
      <w:r>
        <w:rPr>
          <w:rFonts w:ascii="Arial" w:hAnsi="Arial"/>
          <w:b/>
          <w:color w:val="1B365D"/>
          <w:sz w:val="36"/>
        </w:rPr>
        <w:t>Chapter 16: Future Strategic Roadmap, Explainable AI (XAI) &amp; Regulatory Compliance</w:t>
      </w:r>
    </w:p>
    <w:p>
      <w:r>
        <w:t>To advance this solution toward commercial hospital deployment and medical device software (SaMD) certification, the following milestones are planned:</w:t>
      </w:r>
    </w:p>
    <w:p>
      <w:r>
        <w:t>1. Explainable AI (XAI) with SHAP &amp; Integrated Gradients:</w:t>
        <w:br/>
        <w:t>Integrate patient-specific feature attribution plots in the inference response. Clinicians will see the exact percentage contribution of each biomarker (e.g. 'HbA1c contributed +42% toward High Risk, Glucose contributed +28%').</w:t>
      </w:r>
    </w:p>
    <w:p>
      <w:r>
        <w:t>2. Electronic Health Record (EHR) Interoperability:</w:t>
        <w:br/>
        <w:t>Implement HL7 FHIR (Fast Healthcare Interoperability Resources) endpoint adapters to consume patient observation bundles directly from Epic, Cerner, and Allscripts.</w:t>
      </w:r>
    </w:p>
    <w:p>
      <w:r>
        <w:t>3. Mobile &amp; Edge Neural Quantization:</w:t>
        <w:br/>
        <w:t>Export the PyTorch model to ONNX Runtime (FP16 / INT8 quantization) and Apple CoreML, enabling real-time on-device offline diabetes risk screening on iOS and Android medical devices without cloud latency.</w:t>
      </w:r>
    </w:p>
    <w:p>
      <w:r>
        <w:t>4. Regulatory Compliance &amp; Data Privacy:</w:t>
        <w:br/>
        <w:t>Ensure zero-data-retention compliance under HIPAA and GDPR. The API does not persist patient health information (PHI) to disk or relational databases, operating as a purely stateless mathematical inference engine.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909C"/>
        <w:sz w:val="17"/>
      </w:rPr>
      <w:t>Version 2.0.0 | Production Release | Confidential &amp; Medical Engineering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Diabetes Risk Prediction System — Technical &amp; Clinical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