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Arial" w:hAnsi="Arial"/>
          <w:b/>
          <w:color w:val="1B365D"/>
          <w:sz w:val="56"/>
        </w:rPr>
        <w:t>DIABETES RISK PREDICTION SYSTEM</w:t>
      </w:r>
    </w:p>
    <w:p>
      <w:pPr>
        <w:spacing w:after="480"/>
      </w:pPr>
      <w:r>
        <w:rPr>
          <w:i/>
          <w:color w:val="2B547E"/>
          <w:sz w:val="26"/>
        </w:rPr>
        <w:t>End-to-End Technical, Clinical, and Engineering Master Documentation:</w:t>
        <w:br/>
        <w:t>From Patient Intake &amp; Phlebotomy to Deep Tabular ResNet (98.60%), FastAPI Microservice, Model Context Protocol (MCP) &amp; Interactive Glassmorphism UI</w:t>
      </w:r>
    </w:p>
    <w:tbl>
      <w:tblPr>
        <w:tblW w:type="auto" w:w="0"/>
        <w:tblLook w:firstColumn="1" w:firstRow="1" w:lastColumn="0" w:lastRow="0" w:noHBand="0" w:noVBand="1" w:val="04A0"/>
      </w:tblPr>
      <w:tblGrid>
        <w:gridCol w:w="9360"/>
      </w:tblGrid>
      <w:tr>
        <w:tc>
          <w:tcPr>
            <w:tcW w:type="dxa" w:w="9360"/>
            <w:shd w:fill="1B365D"/>
            <w:tcMar>
              <w:top w:w="20" w:type="dxa"/>
              <w:bottom w:w="20" w:type="dxa"/>
              <w:left w:w="20" w:type="dxa"/>
              <w:right w:w="20" w:type="dxa"/>
            </w:tcMar>
          </w:tcPr>
          <w:p/>
        </w:tc>
      </w:tr>
    </w:tbl>
    <w:p/>
    <w:p>
      <w:pPr>
        <w:spacing w:before="600" w:after="80"/>
      </w:pPr>
      <w:r>
        <w:rPr>
          <w:b/>
        </w:rPr>
        <w:t>SYSTEM SPECIFICATION &amp; ARCHITECTURAL SUMMARY</w:t>
        <w:br/>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312"/>
            <w:shd w:fill="1B365D"/>
            <w:tcMar>
              <w:top w:w="120" w:type="dxa"/>
              <w:bottom w:w="120" w:type="dxa"/>
              <w:left w:w="140" w:type="dxa"/>
              <w:right w:w="140" w:type="dxa"/>
            </w:tcMar>
          </w:tcPr>
          <w:p>
            <w:pPr>
              <w:jc w:val="left"/>
            </w:pPr>
            <w:r>
              <w:rPr>
                <w:b/>
                <w:color w:val="FFFFFF"/>
                <w:sz w:val="19"/>
              </w:rPr>
              <w:t>Specification Parameter</w:t>
            </w:r>
          </w:p>
        </w:tc>
        <w:tc>
          <w:tcPr>
            <w:tcW w:type="dxa" w:w="6048"/>
            <w:shd w:fill="1B365D"/>
            <w:tcMar>
              <w:top w:w="120" w:type="dxa"/>
              <w:bottom w:w="120" w:type="dxa"/>
              <w:left w:w="140" w:type="dxa"/>
              <w:right w:w="140" w:type="dxa"/>
            </w:tcMar>
          </w:tcPr>
          <w:p>
            <w:pPr>
              <w:jc w:val="left"/>
            </w:pPr>
            <w:r>
              <w:rPr>
                <w:b/>
                <w:color w:val="FFFFFF"/>
                <w:sz w:val="19"/>
              </w:rPr>
              <w:t>Production Architecture Detail</w:t>
            </w:r>
          </w:p>
        </w:tc>
      </w:tr>
      <w:tr>
        <w:tc>
          <w:tcPr>
            <w:tcW w:type="dxa" w:w="3312"/>
            <w:shd w:fill="FFFFFF"/>
            <w:tcMar>
              <w:top w:w="90" w:type="dxa"/>
              <w:bottom w:w="90" w:type="dxa"/>
              <w:left w:w="140" w:type="dxa"/>
              <w:right w:w="140" w:type="dxa"/>
            </w:tcMar>
          </w:tcPr>
          <w:p>
            <w:pPr>
              <w:jc w:val="left"/>
            </w:pPr>
            <w:r>
              <w:rPr>
                <w:color w:val="222222"/>
                <w:sz w:val="18"/>
              </w:rPr>
              <w:t>System Architecture</w:t>
            </w:r>
          </w:p>
        </w:tc>
        <w:tc>
          <w:tcPr>
            <w:tcW w:type="dxa" w:w="6048"/>
            <w:shd w:fill="FFFFFF"/>
            <w:tcMar>
              <w:top w:w="90" w:type="dxa"/>
              <w:bottom w:w="90" w:type="dxa"/>
              <w:left w:w="140" w:type="dxa"/>
              <w:right w:w="140" w:type="dxa"/>
            </w:tcMar>
          </w:tcPr>
          <w:p>
            <w:pPr>
              <w:jc w:val="left"/>
            </w:pPr>
            <w:r>
              <w:rPr>
                <w:color w:val="222222"/>
                <w:sz w:val="18"/>
              </w:rPr>
              <w:t>Deep Tabular ResNet (Dense Residual Skip Connections, GELU, BatchNorm1d)</w:t>
            </w:r>
          </w:p>
        </w:tc>
      </w:tr>
      <w:tr>
        <w:tc>
          <w:tcPr>
            <w:tcW w:type="dxa" w:w="3312"/>
            <w:shd w:fill="F4F7FA"/>
            <w:tcMar>
              <w:top w:w="90" w:type="dxa"/>
              <w:bottom w:w="90" w:type="dxa"/>
              <w:left w:w="140" w:type="dxa"/>
              <w:right w:w="140" w:type="dxa"/>
            </w:tcMar>
          </w:tcPr>
          <w:p>
            <w:pPr>
              <w:jc w:val="left"/>
            </w:pPr>
            <w:r>
              <w:rPr>
                <w:color w:val="222222"/>
                <w:sz w:val="18"/>
              </w:rPr>
              <w:t>Clinical Validation Accuracy</w:t>
            </w:r>
          </w:p>
        </w:tc>
        <w:tc>
          <w:tcPr>
            <w:tcW w:type="dxa" w:w="6048"/>
            <w:shd w:fill="F4F7FA"/>
            <w:tcMar>
              <w:top w:w="90" w:type="dxa"/>
              <w:bottom w:w="90" w:type="dxa"/>
              <w:left w:w="140" w:type="dxa"/>
              <w:right w:w="140" w:type="dxa"/>
            </w:tcMar>
          </w:tcPr>
          <w:p>
            <w:pPr>
              <w:jc w:val="left"/>
            </w:pPr>
            <w:r>
              <w:rPr>
                <w:color w:val="222222"/>
                <w:sz w:val="18"/>
              </w:rPr>
              <w:t>98.60% Out-of-Sample Accuracy (281 / 285 test cohorts correct)</w:t>
            </w:r>
          </w:p>
        </w:tc>
      </w:tr>
      <w:tr>
        <w:tc>
          <w:tcPr>
            <w:tcW w:type="dxa" w:w="3312"/>
            <w:shd w:fill="FFFFFF"/>
            <w:tcMar>
              <w:top w:w="90" w:type="dxa"/>
              <w:bottom w:w="90" w:type="dxa"/>
              <w:left w:w="140" w:type="dxa"/>
              <w:right w:w="140" w:type="dxa"/>
            </w:tcMar>
          </w:tcPr>
          <w:p>
            <w:pPr>
              <w:jc w:val="left"/>
            </w:pPr>
            <w:r>
              <w:rPr>
                <w:color w:val="222222"/>
                <w:sz w:val="18"/>
              </w:rPr>
              <w:t>Discriminative Metric</w:t>
            </w:r>
          </w:p>
        </w:tc>
        <w:tc>
          <w:tcPr>
            <w:tcW w:type="dxa" w:w="6048"/>
            <w:shd w:fill="FFFFFF"/>
            <w:tcMar>
              <w:top w:w="90" w:type="dxa"/>
              <w:bottom w:w="90" w:type="dxa"/>
              <w:left w:w="140" w:type="dxa"/>
              <w:right w:w="140" w:type="dxa"/>
            </w:tcMar>
          </w:tcPr>
          <w:p>
            <w:pPr>
              <w:jc w:val="left"/>
            </w:pPr>
            <w:r>
              <w:rPr>
                <w:color w:val="222222"/>
                <w:sz w:val="18"/>
              </w:rPr>
              <w:t>Macro ROC-AUC: 0.9993 | Macro F1-Score: 0.9853 | Zero High-to-Low Misses</w:t>
            </w:r>
          </w:p>
        </w:tc>
      </w:tr>
      <w:tr>
        <w:tc>
          <w:tcPr>
            <w:tcW w:type="dxa" w:w="3312"/>
            <w:shd w:fill="F4F7FA"/>
            <w:tcMar>
              <w:top w:w="90" w:type="dxa"/>
              <w:bottom w:w="90" w:type="dxa"/>
              <w:left w:w="140" w:type="dxa"/>
              <w:right w:w="140" w:type="dxa"/>
            </w:tcMar>
          </w:tcPr>
          <w:p>
            <w:pPr>
              <w:jc w:val="left"/>
            </w:pPr>
            <w:r>
              <w:rPr>
                <w:color w:val="222222"/>
                <w:sz w:val="18"/>
              </w:rPr>
              <w:t>Inference Engine</w:t>
            </w:r>
          </w:p>
        </w:tc>
        <w:tc>
          <w:tcPr>
            <w:tcW w:type="dxa" w:w="6048"/>
            <w:shd w:fill="F4F7FA"/>
            <w:tcMar>
              <w:top w:w="90" w:type="dxa"/>
              <w:bottom w:w="90" w:type="dxa"/>
              <w:left w:w="140" w:type="dxa"/>
              <w:right w:w="140" w:type="dxa"/>
            </w:tcMar>
          </w:tcPr>
          <w:p>
            <w:pPr>
              <w:jc w:val="left"/>
            </w:pPr>
            <w:r>
              <w:rPr>
                <w:color w:val="222222"/>
                <w:sz w:val="18"/>
              </w:rPr>
              <w:t>PyTorch 2.x CPU/CUDA Tensor Runtime (P99 Latency &lt; 18ms)</w:t>
            </w:r>
          </w:p>
        </w:tc>
      </w:tr>
      <w:tr>
        <w:tc>
          <w:tcPr>
            <w:tcW w:type="dxa" w:w="3312"/>
            <w:shd w:fill="FFFFFF"/>
            <w:tcMar>
              <w:top w:w="90" w:type="dxa"/>
              <w:bottom w:w="90" w:type="dxa"/>
              <w:left w:w="140" w:type="dxa"/>
              <w:right w:w="140" w:type="dxa"/>
            </w:tcMar>
          </w:tcPr>
          <w:p>
            <w:pPr>
              <w:jc w:val="left"/>
            </w:pPr>
            <w:r>
              <w:rPr>
                <w:color w:val="222222"/>
                <w:sz w:val="18"/>
              </w:rPr>
              <w:t>Backend Web Framework</w:t>
            </w:r>
          </w:p>
        </w:tc>
        <w:tc>
          <w:tcPr>
            <w:tcW w:type="dxa" w:w="6048"/>
            <w:shd w:fill="FFFFFF"/>
            <w:tcMar>
              <w:top w:w="90" w:type="dxa"/>
              <w:bottom w:w="90" w:type="dxa"/>
              <w:left w:w="140" w:type="dxa"/>
              <w:right w:w="140" w:type="dxa"/>
            </w:tcMar>
          </w:tcPr>
          <w:p>
            <w:pPr>
              <w:jc w:val="left"/>
            </w:pPr>
            <w:r>
              <w:rPr>
                <w:color w:val="222222"/>
                <w:sz w:val="18"/>
              </w:rPr>
              <w:t>FastAPI 0.115+ (Asynchronous ASGI Architecture with Uvicorn Runtime)</w:t>
            </w:r>
          </w:p>
        </w:tc>
      </w:tr>
      <w:tr>
        <w:tc>
          <w:tcPr>
            <w:tcW w:type="dxa" w:w="3312"/>
            <w:shd w:fill="F4F7FA"/>
            <w:tcMar>
              <w:top w:w="90" w:type="dxa"/>
              <w:bottom w:w="90" w:type="dxa"/>
              <w:left w:w="140" w:type="dxa"/>
              <w:right w:w="140" w:type="dxa"/>
            </w:tcMar>
          </w:tcPr>
          <w:p>
            <w:pPr>
              <w:jc w:val="left"/>
            </w:pPr>
            <w:r>
              <w:rPr>
                <w:color w:val="222222"/>
                <w:sz w:val="18"/>
              </w:rPr>
              <w:t>Agent Protocols</w:t>
            </w:r>
          </w:p>
        </w:tc>
        <w:tc>
          <w:tcPr>
            <w:tcW w:type="dxa" w:w="6048"/>
            <w:shd w:fill="F4F7FA"/>
            <w:tcMar>
              <w:top w:w="90" w:type="dxa"/>
              <w:bottom w:w="90" w:type="dxa"/>
              <w:left w:w="140" w:type="dxa"/>
              <w:right w:w="140" w:type="dxa"/>
            </w:tcMar>
          </w:tcPr>
          <w:p>
            <w:pPr>
              <w:jc w:val="left"/>
            </w:pPr>
            <w:r>
              <w:rPr>
                <w:color w:val="222222"/>
                <w:sz w:val="18"/>
              </w:rPr>
              <w:t>Model Context Protocol (MCP Streamable HTTP &amp; SSE) + Agent-to-Agent (A2A)</w:t>
            </w:r>
          </w:p>
        </w:tc>
      </w:tr>
      <w:tr>
        <w:tc>
          <w:tcPr>
            <w:tcW w:type="dxa" w:w="3312"/>
            <w:shd w:fill="FFFFFF"/>
            <w:tcMar>
              <w:top w:w="90" w:type="dxa"/>
              <w:bottom w:w="90" w:type="dxa"/>
              <w:left w:w="140" w:type="dxa"/>
              <w:right w:w="140" w:type="dxa"/>
            </w:tcMar>
          </w:tcPr>
          <w:p>
            <w:pPr>
              <w:jc w:val="left"/>
            </w:pPr>
            <w:r>
              <w:rPr>
                <w:color w:val="222222"/>
                <w:sz w:val="18"/>
              </w:rPr>
              <w:t>Frontend Dashboard</w:t>
            </w:r>
          </w:p>
        </w:tc>
        <w:tc>
          <w:tcPr>
            <w:tcW w:type="dxa" w:w="6048"/>
            <w:shd w:fill="FFFFFF"/>
            <w:tcMar>
              <w:top w:w="90" w:type="dxa"/>
              <w:bottom w:w="90" w:type="dxa"/>
              <w:left w:w="140" w:type="dxa"/>
              <w:right w:w="140" w:type="dxa"/>
            </w:tcMar>
          </w:tcPr>
          <w:p>
            <w:pPr>
              <w:jc w:val="left"/>
            </w:pPr>
            <w:r>
              <w:rPr>
                <w:color w:val="222222"/>
                <w:sz w:val="18"/>
              </w:rPr>
              <w:t>Responsive HTML5/CSS3/JavaScript Glassmorphic Real-Time Telemetry Dashboard</w:t>
            </w:r>
          </w:p>
        </w:tc>
      </w:tr>
      <w:tr>
        <w:tc>
          <w:tcPr>
            <w:tcW w:type="dxa" w:w="3312"/>
            <w:shd w:fill="F4F7FA"/>
            <w:tcMar>
              <w:top w:w="90" w:type="dxa"/>
              <w:bottom w:w="90" w:type="dxa"/>
              <w:left w:w="140" w:type="dxa"/>
              <w:right w:w="140" w:type="dxa"/>
            </w:tcMar>
          </w:tcPr>
          <w:p>
            <w:pPr>
              <w:jc w:val="left"/>
            </w:pPr>
            <w:r>
              <w:rPr>
                <w:color w:val="222222"/>
                <w:sz w:val="18"/>
              </w:rPr>
              <w:t>Containerization</w:t>
            </w:r>
          </w:p>
        </w:tc>
        <w:tc>
          <w:tcPr>
            <w:tcW w:type="dxa" w:w="6048"/>
            <w:shd w:fill="F4F7FA"/>
            <w:tcMar>
              <w:top w:w="90" w:type="dxa"/>
              <w:bottom w:w="90" w:type="dxa"/>
              <w:left w:w="140" w:type="dxa"/>
              <w:right w:w="140" w:type="dxa"/>
            </w:tcMar>
          </w:tcPr>
          <w:p>
            <w:pPr>
              <w:jc w:val="left"/>
            </w:pPr>
            <w:r>
              <w:rPr>
                <w:color w:val="222222"/>
                <w:sz w:val="18"/>
              </w:rPr>
              <w:t>Docker (python:3.11-slim) on Hugging Face Spaces &amp; GitHub CI/CD Pipeline</w:t>
            </w:r>
          </w:p>
        </w:tc>
      </w:tr>
      <w:tr>
        <w:tc>
          <w:tcPr>
            <w:tcW w:type="dxa" w:w="3312"/>
            <w:shd w:fill="FFFFFF"/>
            <w:tcMar>
              <w:top w:w="90" w:type="dxa"/>
              <w:bottom w:w="90" w:type="dxa"/>
              <w:left w:w="140" w:type="dxa"/>
              <w:right w:w="140" w:type="dxa"/>
            </w:tcMar>
          </w:tcPr>
          <w:p>
            <w:pPr>
              <w:jc w:val="left"/>
            </w:pPr>
            <w:r>
              <w:rPr>
                <w:color w:val="222222"/>
                <w:sz w:val="18"/>
              </w:rPr>
              <w:t>Input Normalization</w:t>
            </w:r>
          </w:p>
        </w:tc>
        <w:tc>
          <w:tcPr>
            <w:tcW w:type="dxa" w:w="6048"/>
            <w:shd w:fill="FFFFFF"/>
            <w:tcMar>
              <w:top w:w="90" w:type="dxa"/>
              <w:bottom w:w="90" w:type="dxa"/>
              <w:left w:w="140" w:type="dxa"/>
              <w:right w:w="140" w:type="dxa"/>
            </w:tcMar>
          </w:tcPr>
          <w:p>
            <w:pPr>
              <w:jc w:val="left"/>
            </w:pPr>
            <w:r>
              <w:rPr>
                <w:color w:val="222222"/>
                <w:sz w:val="18"/>
              </w:rPr>
              <w:t>Auto Height Unit Conversion (cm -&gt; m), Dynamic BMI Imputation, Case Normalization</w:t>
            </w:r>
          </w:p>
        </w:tc>
      </w:tr>
      <w:tr>
        <w:tc>
          <w:tcPr>
            <w:tcW w:type="dxa" w:w="3312"/>
            <w:shd w:fill="F4F7FA"/>
            <w:tcMar>
              <w:top w:w="90" w:type="dxa"/>
              <w:bottom w:w="90" w:type="dxa"/>
              <w:left w:w="140" w:type="dxa"/>
              <w:right w:w="140" w:type="dxa"/>
            </w:tcMar>
          </w:tcPr>
          <w:p>
            <w:pPr>
              <w:jc w:val="left"/>
            </w:pPr>
            <w:r>
              <w:rPr>
                <w:color w:val="222222"/>
                <w:sz w:val="18"/>
              </w:rPr>
              <w:t>Document Release</w:t>
            </w:r>
          </w:p>
        </w:tc>
        <w:tc>
          <w:tcPr>
            <w:tcW w:type="dxa" w:w="6048"/>
            <w:shd w:fill="F4F7FA"/>
            <w:tcMar>
              <w:top w:w="90" w:type="dxa"/>
              <w:bottom w:w="90" w:type="dxa"/>
              <w:left w:w="140" w:type="dxa"/>
              <w:right w:w="140" w:type="dxa"/>
            </w:tcMar>
          </w:tcPr>
          <w:p>
            <w:pPr>
              <w:jc w:val="left"/>
            </w:pPr>
            <w:r>
              <w:rPr>
                <w:color w:val="222222"/>
                <w:sz w:val="18"/>
              </w:rPr>
              <w:t>Version 2.0.0 — Exhaustive Technical Master Edition</w:t>
            </w:r>
          </w:p>
        </w:tc>
      </w:tr>
    </w:tbl>
    <w:p/>
    <w:p>
      <w:r>
        <w:br w:type="page"/>
      </w:r>
    </w:p>
    <w:p>
      <w:pPr>
        <w:keepNext/>
        <w:spacing w:before="400" w:after="160"/>
      </w:pPr>
      <w:r>
        <w:rPr>
          <w:rFonts w:ascii="Arial" w:hAnsi="Arial"/>
          <w:b/>
          <w:color w:val="1B365D"/>
          <w:sz w:val="34"/>
        </w:rPr>
        <w:t>Master Engineering &amp; Clinical Outline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592"/>
            <w:shd w:fill="1B365D"/>
            <w:tcMar>
              <w:top w:w="120" w:type="dxa"/>
              <w:bottom w:w="120" w:type="dxa"/>
              <w:left w:w="140" w:type="dxa"/>
              <w:right w:w="140" w:type="dxa"/>
            </w:tcMar>
          </w:tcPr>
          <w:p>
            <w:pPr>
              <w:jc w:val="left"/>
            </w:pPr>
            <w:r>
              <w:rPr>
                <w:b/>
                <w:color w:val="FFFFFF"/>
                <w:sz w:val="19"/>
              </w:rPr>
              <w:t>Project Lifecycle Phase</w:t>
            </w:r>
          </w:p>
        </w:tc>
        <w:tc>
          <w:tcPr>
            <w:tcW w:type="dxa" w:w="6768"/>
            <w:shd w:fill="1B365D"/>
            <w:tcMar>
              <w:top w:w="120" w:type="dxa"/>
              <w:bottom w:w="120" w:type="dxa"/>
              <w:left w:w="140" w:type="dxa"/>
              <w:right w:w="140" w:type="dxa"/>
            </w:tcMar>
          </w:tcPr>
          <w:p>
            <w:pPr>
              <w:jc w:val="left"/>
            </w:pPr>
            <w:r>
              <w:rPr>
                <w:b/>
                <w:color w:val="FFFFFF"/>
                <w:sz w:val="19"/>
              </w:rPr>
              <w:t>Detailed Engineering &amp; Clinical Scope</w:t>
            </w:r>
          </w:p>
        </w:tc>
      </w:tr>
      <w:tr>
        <w:tc>
          <w:tcPr>
            <w:tcW w:type="dxa" w:w="2592"/>
            <w:shd w:fill="FFFFFF"/>
            <w:tcMar>
              <w:top w:w="90" w:type="dxa"/>
              <w:bottom w:w="90" w:type="dxa"/>
              <w:left w:w="140" w:type="dxa"/>
              <w:right w:w="140" w:type="dxa"/>
            </w:tcMar>
          </w:tcPr>
          <w:p>
            <w:pPr>
              <w:jc w:val="left"/>
            </w:pPr>
            <w:r>
              <w:rPr>
                <w:color w:val="222222"/>
                <w:sz w:val="18"/>
              </w:rPr>
              <w:t>Phase 1</w:t>
            </w:r>
          </w:p>
        </w:tc>
        <w:tc>
          <w:tcPr>
            <w:tcW w:type="dxa" w:w="6768"/>
            <w:shd w:fill="FFFFFF"/>
            <w:tcMar>
              <w:top w:w="90" w:type="dxa"/>
              <w:bottom w:w="90" w:type="dxa"/>
              <w:left w:w="140" w:type="dxa"/>
              <w:right w:w="140" w:type="dxa"/>
            </w:tcMar>
          </w:tcPr>
          <w:p>
            <w:pPr>
              <w:jc w:val="left"/>
            </w:pPr>
            <w:r>
              <w:rPr>
                <w:color w:val="222222"/>
                <w:sz w:val="18"/>
              </w:rPr>
              <w:t>Clinical Cohort Intake, Phlebotomy &amp; Data Collection Protocols</w:t>
            </w:r>
          </w:p>
        </w:tc>
      </w:tr>
      <w:tr>
        <w:tc>
          <w:tcPr>
            <w:tcW w:type="dxa" w:w="2592"/>
            <w:shd w:fill="F4F7FA"/>
            <w:tcMar>
              <w:top w:w="90" w:type="dxa"/>
              <w:bottom w:w="90" w:type="dxa"/>
              <w:left w:w="140" w:type="dxa"/>
              <w:right w:w="140" w:type="dxa"/>
            </w:tcMar>
          </w:tcPr>
          <w:p>
            <w:pPr>
              <w:jc w:val="left"/>
            </w:pPr>
            <w:r>
              <w:rPr>
                <w:color w:val="222222"/>
                <w:sz w:val="18"/>
              </w:rPr>
              <w:t>Phase 2</w:t>
            </w:r>
          </w:p>
        </w:tc>
        <w:tc>
          <w:tcPr>
            <w:tcW w:type="dxa" w:w="6768"/>
            <w:shd w:fill="F4F7FA"/>
            <w:tcMar>
              <w:top w:w="90" w:type="dxa"/>
              <w:bottom w:w="90" w:type="dxa"/>
              <w:left w:w="140" w:type="dxa"/>
              <w:right w:w="140" w:type="dxa"/>
            </w:tcMar>
          </w:tcPr>
          <w:p>
            <w:pPr>
              <w:jc w:val="left"/>
            </w:pPr>
            <w:r>
              <w:rPr>
                <w:color w:val="222222"/>
                <w:sz w:val="18"/>
              </w:rPr>
              <w:t>Data Hygiene, Exploratory Profiling &amp; Imbalance Handling</w:t>
            </w:r>
          </w:p>
        </w:tc>
      </w:tr>
      <w:tr>
        <w:tc>
          <w:tcPr>
            <w:tcW w:type="dxa" w:w="2592"/>
            <w:shd w:fill="FFFFFF"/>
            <w:tcMar>
              <w:top w:w="90" w:type="dxa"/>
              <w:bottom w:w="90" w:type="dxa"/>
              <w:left w:w="140" w:type="dxa"/>
              <w:right w:w="140" w:type="dxa"/>
            </w:tcMar>
          </w:tcPr>
          <w:p>
            <w:pPr>
              <w:jc w:val="left"/>
            </w:pPr>
            <w:r>
              <w:rPr>
                <w:color w:val="222222"/>
                <w:sz w:val="18"/>
              </w:rPr>
              <w:t>Phase 3</w:t>
            </w:r>
          </w:p>
        </w:tc>
        <w:tc>
          <w:tcPr>
            <w:tcW w:type="dxa" w:w="6768"/>
            <w:shd w:fill="FFFFFF"/>
            <w:tcMar>
              <w:top w:w="90" w:type="dxa"/>
              <w:bottom w:w="90" w:type="dxa"/>
              <w:left w:w="140" w:type="dxa"/>
              <w:right w:w="140" w:type="dxa"/>
            </w:tcMar>
          </w:tcPr>
          <w:p>
            <w:pPr>
              <w:jc w:val="left"/>
            </w:pPr>
            <w:r>
              <w:rPr>
                <w:color w:val="222222"/>
                <w:sz w:val="18"/>
              </w:rPr>
              <w:t>Advanced Clinical Biomarker &amp; Hemodynamic Feature Engineering</w:t>
            </w:r>
          </w:p>
        </w:tc>
      </w:tr>
      <w:tr>
        <w:tc>
          <w:tcPr>
            <w:tcW w:type="dxa" w:w="2592"/>
            <w:shd w:fill="F4F7FA"/>
            <w:tcMar>
              <w:top w:w="90" w:type="dxa"/>
              <w:bottom w:w="90" w:type="dxa"/>
              <w:left w:w="140" w:type="dxa"/>
              <w:right w:w="140" w:type="dxa"/>
            </w:tcMar>
          </w:tcPr>
          <w:p>
            <w:pPr>
              <w:jc w:val="left"/>
            </w:pPr>
            <w:r>
              <w:rPr>
                <w:color w:val="222222"/>
                <w:sz w:val="18"/>
              </w:rPr>
              <w:t>Phase 4</w:t>
            </w:r>
          </w:p>
        </w:tc>
        <w:tc>
          <w:tcPr>
            <w:tcW w:type="dxa" w:w="6768"/>
            <w:shd w:fill="F4F7FA"/>
            <w:tcMar>
              <w:top w:w="90" w:type="dxa"/>
              <w:bottom w:w="90" w:type="dxa"/>
              <w:left w:w="140" w:type="dxa"/>
              <w:right w:w="140" w:type="dxa"/>
            </w:tcMar>
          </w:tcPr>
          <w:p>
            <w:pPr>
              <w:jc w:val="left"/>
            </w:pPr>
            <w:r>
              <w:rPr>
                <w:color w:val="222222"/>
                <w:sz w:val="18"/>
              </w:rPr>
              <w:t>Strict 3-Way Stratified Data Splitting &amp; Leakage Prevention</w:t>
            </w:r>
          </w:p>
        </w:tc>
      </w:tr>
      <w:tr>
        <w:tc>
          <w:tcPr>
            <w:tcW w:type="dxa" w:w="2592"/>
            <w:shd w:fill="FFFFFF"/>
            <w:tcMar>
              <w:top w:w="90" w:type="dxa"/>
              <w:bottom w:w="90" w:type="dxa"/>
              <w:left w:w="140" w:type="dxa"/>
              <w:right w:w="140" w:type="dxa"/>
            </w:tcMar>
          </w:tcPr>
          <w:p>
            <w:pPr>
              <w:jc w:val="left"/>
            </w:pPr>
            <w:r>
              <w:rPr>
                <w:color w:val="222222"/>
                <w:sz w:val="18"/>
              </w:rPr>
              <w:t>Phase 5</w:t>
            </w:r>
          </w:p>
        </w:tc>
        <w:tc>
          <w:tcPr>
            <w:tcW w:type="dxa" w:w="6768"/>
            <w:shd w:fill="FFFFFF"/>
            <w:tcMar>
              <w:top w:w="90" w:type="dxa"/>
              <w:bottom w:w="90" w:type="dxa"/>
              <w:left w:w="140" w:type="dxa"/>
              <w:right w:w="140" w:type="dxa"/>
            </w:tcMar>
          </w:tcPr>
          <w:p>
            <w:pPr>
              <w:jc w:val="left"/>
            </w:pPr>
            <w:r>
              <w:rPr>
                <w:color w:val="222222"/>
                <w:sz w:val="18"/>
              </w:rPr>
              <w:t>Deep Tabular ResNet (DiabetesTabularResNet) Neural Architecture</w:t>
            </w:r>
          </w:p>
        </w:tc>
      </w:tr>
      <w:tr>
        <w:tc>
          <w:tcPr>
            <w:tcW w:type="dxa" w:w="2592"/>
            <w:shd w:fill="F4F7FA"/>
            <w:tcMar>
              <w:top w:w="90" w:type="dxa"/>
              <w:bottom w:w="90" w:type="dxa"/>
              <w:left w:w="140" w:type="dxa"/>
              <w:right w:w="140" w:type="dxa"/>
            </w:tcMar>
          </w:tcPr>
          <w:p>
            <w:pPr>
              <w:jc w:val="left"/>
            </w:pPr>
            <w:r>
              <w:rPr>
                <w:color w:val="222222"/>
                <w:sz w:val="18"/>
              </w:rPr>
              <w:t>Phase 6</w:t>
            </w:r>
          </w:p>
        </w:tc>
        <w:tc>
          <w:tcPr>
            <w:tcW w:type="dxa" w:w="6768"/>
            <w:shd w:fill="F4F7FA"/>
            <w:tcMar>
              <w:top w:w="90" w:type="dxa"/>
              <w:bottom w:w="90" w:type="dxa"/>
              <w:left w:w="140" w:type="dxa"/>
              <w:right w:w="140" w:type="dxa"/>
            </w:tcMar>
          </w:tcPr>
          <w:p>
            <w:pPr>
              <w:jc w:val="left"/>
            </w:pPr>
            <w:r>
              <w:rPr>
                <w:color w:val="222222"/>
                <w:sz w:val="18"/>
              </w:rPr>
              <w:t>Optimization Mechanics, MixUp Augmentation &amp; Label-Smoothed Loss</w:t>
            </w:r>
          </w:p>
        </w:tc>
      </w:tr>
      <w:tr>
        <w:tc>
          <w:tcPr>
            <w:tcW w:type="dxa" w:w="2592"/>
            <w:shd w:fill="FFFFFF"/>
            <w:tcMar>
              <w:top w:w="90" w:type="dxa"/>
              <w:bottom w:w="90" w:type="dxa"/>
              <w:left w:w="140" w:type="dxa"/>
              <w:right w:w="140" w:type="dxa"/>
            </w:tcMar>
          </w:tcPr>
          <w:p>
            <w:pPr>
              <w:jc w:val="left"/>
            </w:pPr>
            <w:r>
              <w:rPr>
                <w:color w:val="222222"/>
                <w:sz w:val="18"/>
              </w:rPr>
              <w:t>Phase 7</w:t>
            </w:r>
          </w:p>
        </w:tc>
        <w:tc>
          <w:tcPr>
            <w:tcW w:type="dxa" w:w="6768"/>
            <w:shd w:fill="FFFFFF"/>
            <w:tcMar>
              <w:top w:w="90" w:type="dxa"/>
              <w:bottom w:w="90" w:type="dxa"/>
              <w:left w:w="140" w:type="dxa"/>
              <w:right w:w="140" w:type="dxa"/>
            </w:tcMar>
          </w:tcPr>
          <w:p>
            <w:pPr>
              <w:jc w:val="left"/>
            </w:pPr>
            <w:r>
              <w:rPr>
                <w:color w:val="222222"/>
                <w:sz w:val="18"/>
              </w:rPr>
              <w:t>Holdout Evaluation, Multi-Class Benchmarks &amp; Safety Margins</w:t>
            </w:r>
          </w:p>
        </w:tc>
      </w:tr>
      <w:tr>
        <w:tc>
          <w:tcPr>
            <w:tcW w:type="dxa" w:w="2592"/>
            <w:shd w:fill="F4F7FA"/>
            <w:tcMar>
              <w:top w:w="90" w:type="dxa"/>
              <w:bottom w:w="90" w:type="dxa"/>
              <w:left w:w="140" w:type="dxa"/>
              <w:right w:w="140" w:type="dxa"/>
            </w:tcMar>
          </w:tcPr>
          <w:p>
            <w:pPr>
              <w:jc w:val="left"/>
            </w:pPr>
            <w:r>
              <w:rPr>
                <w:color w:val="222222"/>
                <w:sz w:val="18"/>
              </w:rPr>
              <w:t>Phase 8</w:t>
            </w:r>
          </w:p>
        </w:tc>
        <w:tc>
          <w:tcPr>
            <w:tcW w:type="dxa" w:w="6768"/>
            <w:shd w:fill="F4F7FA"/>
            <w:tcMar>
              <w:top w:w="90" w:type="dxa"/>
              <w:bottom w:w="90" w:type="dxa"/>
              <w:left w:w="140" w:type="dxa"/>
              <w:right w:w="140" w:type="dxa"/>
            </w:tcMar>
          </w:tcPr>
          <w:p>
            <w:pPr>
              <w:jc w:val="left"/>
            </w:pPr>
            <w:r>
              <w:rPr>
                <w:color w:val="222222"/>
                <w:sz w:val="18"/>
              </w:rPr>
              <w:t>Production Asynchronous REST API Architecture (FastAPI + ASGI)</w:t>
            </w:r>
          </w:p>
        </w:tc>
      </w:tr>
      <w:tr>
        <w:tc>
          <w:tcPr>
            <w:tcW w:type="dxa" w:w="2592"/>
            <w:shd w:fill="FFFFFF"/>
            <w:tcMar>
              <w:top w:w="90" w:type="dxa"/>
              <w:bottom w:w="90" w:type="dxa"/>
              <w:left w:w="140" w:type="dxa"/>
              <w:right w:w="140" w:type="dxa"/>
            </w:tcMar>
          </w:tcPr>
          <w:p>
            <w:pPr>
              <w:jc w:val="left"/>
            </w:pPr>
            <w:r>
              <w:rPr>
                <w:color w:val="222222"/>
                <w:sz w:val="18"/>
              </w:rPr>
              <w:t>Phase 9</w:t>
            </w:r>
          </w:p>
        </w:tc>
        <w:tc>
          <w:tcPr>
            <w:tcW w:type="dxa" w:w="6768"/>
            <w:shd w:fill="FFFFFF"/>
            <w:tcMar>
              <w:top w:w="90" w:type="dxa"/>
              <w:bottom w:w="90" w:type="dxa"/>
              <w:left w:w="140" w:type="dxa"/>
              <w:right w:w="140" w:type="dxa"/>
            </w:tcMar>
          </w:tcPr>
          <w:p>
            <w:pPr>
              <w:jc w:val="left"/>
            </w:pPr>
            <w:r>
              <w:rPr>
                <w:color w:val="222222"/>
                <w:sz w:val="18"/>
              </w:rPr>
              <w:t>AI Agent Interoperability: Model Context Protocol (MCP) &amp; A2A Gateway</w:t>
            </w:r>
          </w:p>
        </w:tc>
      </w:tr>
      <w:tr>
        <w:tc>
          <w:tcPr>
            <w:tcW w:type="dxa" w:w="2592"/>
            <w:shd w:fill="F4F7FA"/>
            <w:tcMar>
              <w:top w:w="90" w:type="dxa"/>
              <w:bottom w:w="90" w:type="dxa"/>
              <w:left w:w="140" w:type="dxa"/>
              <w:right w:w="140" w:type="dxa"/>
            </w:tcMar>
          </w:tcPr>
          <w:p>
            <w:pPr>
              <w:jc w:val="left"/>
            </w:pPr>
            <w:r>
              <w:rPr>
                <w:color w:val="222222"/>
                <w:sz w:val="18"/>
              </w:rPr>
              <w:t>Phase 10</w:t>
            </w:r>
          </w:p>
        </w:tc>
        <w:tc>
          <w:tcPr>
            <w:tcW w:type="dxa" w:w="6768"/>
            <w:shd w:fill="F4F7FA"/>
            <w:tcMar>
              <w:top w:w="90" w:type="dxa"/>
              <w:bottom w:w="90" w:type="dxa"/>
              <w:left w:w="140" w:type="dxa"/>
              <w:right w:w="140" w:type="dxa"/>
            </w:tcMar>
          </w:tcPr>
          <w:p>
            <w:pPr>
              <w:jc w:val="left"/>
            </w:pPr>
            <w:r>
              <w:rPr>
                <w:color w:val="222222"/>
                <w:sz w:val="18"/>
              </w:rPr>
              <w:t>Zero-Crash Input Normalization, Height Conversion &amp; Casing Handling</w:t>
            </w:r>
          </w:p>
        </w:tc>
      </w:tr>
      <w:tr>
        <w:tc>
          <w:tcPr>
            <w:tcW w:type="dxa" w:w="2592"/>
            <w:shd w:fill="FFFFFF"/>
            <w:tcMar>
              <w:top w:w="90" w:type="dxa"/>
              <w:bottom w:w="90" w:type="dxa"/>
              <w:left w:w="140" w:type="dxa"/>
              <w:right w:w="140" w:type="dxa"/>
            </w:tcMar>
          </w:tcPr>
          <w:p>
            <w:pPr>
              <w:jc w:val="left"/>
            </w:pPr>
            <w:r>
              <w:rPr>
                <w:color w:val="222222"/>
                <w:sz w:val="18"/>
              </w:rPr>
              <w:t>Phase 11</w:t>
            </w:r>
          </w:p>
        </w:tc>
        <w:tc>
          <w:tcPr>
            <w:tcW w:type="dxa" w:w="6768"/>
            <w:shd w:fill="FFFFFF"/>
            <w:tcMar>
              <w:top w:w="90" w:type="dxa"/>
              <w:bottom w:w="90" w:type="dxa"/>
              <w:left w:w="140" w:type="dxa"/>
              <w:right w:w="140" w:type="dxa"/>
            </w:tcMar>
          </w:tcPr>
          <w:p>
            <w:pPr>
              <w:jc w:val="left"/>
            </w:pPr>
            <w:r>
              <w:rPr>
                <w:color w:val="222222"/>
                <w:sz w:val="18"/>
              </w:rPr>
              <w:t>Interactive Glassmorphic Web Dashboard &amp; Frontend Integration Guide</w:t>
            </w:r>
          </w:p>
        </w:tc>
      </w:tr>
      <w:tr>
        <w:tc>
          <w:tcPr>
            <w:tcW w:type="dxa" w:w="2592"/>
            <w:shd w:fill="F4F7FA"/>
            <w:tcMar>
              <w:top w:w="90" w:type="dxa"/>
              <w:bottom w:w="90" w:type="dxa"/>
              <w:left w:w="140" w:type="dxa"/>
              <w:right w:w="140" w:type="dxa"/>
            </w:tcMar>
          </w:tcPr>
          <w:p>
            <w:pPr>
              <w:jc w:val="left"/>
            </w:pPr>
            <w:r>
              <w:rPr>
                <w:color w:val="222222"/>
                <w:sz w:val="18"/>
              </w:rPr>
              <w:t>Phase 12</w:t>
            </w:r>
          </w:p>
        </w:tc>
        <w:tc>
          <w:tcPr>
            <w:tcW w:type="dxa" w:w="6768"/>
            <w:shd w:fill="F4F7FA"/>
            <w:tcMar>
              <w:top w:w="90" w:type="dxa"/>
              <w:bottom w:w="90" w:type="dxa"/>
              <w:left w:w="140" w:type="dxa"/>
              <w:right w:w="140" w:type="dxa"/>
            </w:tcMar>
          </w:tcPr>
          <w:p>
            <w:pPr>
              <w:jc w:val="left"/>
            </w:pPr>
            <w:r>
              <w:rPr>
                <w:color w:val="222222"/>
                <w:sz w:val="18"/>
              </w:rPr>
              <w:t>Docker Containerization, Cloud Deployment &amp; Troubleshooting Runbook</w:t>
            </w:r>
          </w:p>
        </w:tc>
      </w:tr>
    </w:tbl>
    <w:p/>
    <w:p>
      <w:r>
        <w:br w:type="page"/>
      </w:r>
    </w:p>
    <w:p>
      <w:pPr>
        <w:keepNext/>
        <w:spacing w:before="400" w:after="160"/>
      </w:pPr>
      <w:r>
        <w:rPr>
          <w:rFonts w:ascii="Arial" w:hAnsi="Arial"/>
          <w:b/>
          <w:color w:val="1B365D"/>
          <w:sz w:val="34"/>
        </w:rPr>
        <w:t>Phase 1: Clinical Cohort Intake, Phlebotomy &amp; Data Collection Protocols</w:t>
      </w:r>
    </w:p>
    <w:p>
      <w:r>
        <w:t>The clinical credibility of any medical artificial intelligence model depends fundamentally on the rigor of its underlying data collection protocols. The dataset powering this project, cleaned_diabetes_data.csv, represents an adult patient registry of 1,898 subjects gathered under standardized clinical observation protocols. Each record represents a multi-modal assessment spanning patient demographics, anthropometric physical measurements, hemodynamic vital signs, and venous biochemical laboratory assays.</w:t>
      </w:r>
    </w:p>
    <w:p>
      <w:pPr>
        <w:keepNext/>
        <w:spacing w:before="280" w:after="120"/>
      </w:pPr>
      <w:r>
        <w:rPr>
          <w:rFonts w:ascii="Arial" w:hAnsi="Arial"/>
          <w:b/>
          <w:color w:val="2B547E"/>
          <w:sz w:val="26"/>
        </w:rPr>
        <w:t>1.1 Laboratory Biochemical Protocols (Phlebotomy &amp; Assays)</w:t>
      </w:r>
    </w:p>
    <w:p>
      <w:r>
        <w:t>The biochemical markers were collected following strict clinical diagnostic standards:</w:t>
      </w:r>
    </w:p>
    <w:p>
      <w:r>
        <w:t>1. Fasting Blood Glucose (mg/dL):</w:t>
        <w:br/>
        <w:t>• Fasting Requirement: Patients observed an overnight fast of a minimum of 8 to 12 hours (water permitted, caloric intake prohibited).</w:t>
        <w:br/>
        <w:t>• Specimen Collection: Venipuncture was performed using evacuated blood collection tubes containing sodium fluoride/potassium oxalate to inhibit in-vitro glycolysis by red blood cells.</w:t>
        <w:br/>
        <w:t>• Laboratory Assay: Plasma glucose was quantified via the enzymatic hexokinase or glucose oxidase-peroxidase (GOD-POD) method on automated clinical chemistry analyzers, yielding a dynamic clinical range of 7.74 mg/dL to 602.28 mg/dL in our patient cohort.</w:t>
      </w:r>
    </w:p>
    <w:p>
      <w:r>
        <w:t>2. Glycated Hemoglobin (HbA1c %):</w:t>
        <w:br/>
        <w:t>• Specimen Collection: Whole blood collected in K2-EDTA anticoagulant vacuum tubes.</w:t>
        <w:br/>
        <w:t>• Analytical Standard: Analyzed using Ion-Exchange High-Performance Liquid Chromatography (HPLC) certified by the National Glycohemoglobin Standardization Program (NGSP) and standardized to the Diabetes Control and Complications Trial (DCCT) reference assay.</w:t>
        <w:br/>
        <w:t>• Clinical Significance: Unlike fasting blood glucose, which reflects acute momentary glycemic state, HbA1c quantifies the percentage of circulating hemoglobin molecules with glucose adducts, providing an objective, time-averaged index of glycemic exposure over the erythrocyte lifecycle (90–120 days). Values range from 4.5% to 9.0%.</w:t>
      </w:r>
    </w:p>
    <w:p>
      <w:pPr>
        <w:keepNext/>
        <w:spacing w:before="280" w:after="120"/>
      </w:pPr>
      <w:r>
        <w:rPr>
          <w:rFonts w:ascii="Arial" w:hAnsi="Arial"/>
          <w:b/>
          <w:color w:val="2B547E"/>
          <w:sz w:val="26"/>
        </w:rPr>
        <w:t>1.2 Physical Anthropometrics &amp; Hemodynamic Vital Signs</w:t>
      </w:r>
    </w:p>
    <w:p>
      <w:r>
        <w:t>1. Anthropometric Measurements (Weight, Height, Body Mass Index):</w:t>
        <w:br/>
        <w:t>• Stature: Measured using a calibrated wall-mounted stadiometer to the nearest 0.01 meters, with patients standing barefoot, heels touching the baseboard, and head oriented in the Frankfort horizontal plane.</w:t>
        <w:br/>
        <w:t>• Body Mass: Quantified using a calibrated digital balance beam scale to the nearest 0.1 kilograms, wearing lightweight indoor clothing.</w:t>
        <w:br/>
        <w:t>• Body Mass Index (BMI): Formulated as BMI = Weight (kg) / (Height (m))².</w:t>
        <w:br/>
        <w:br/>
        <w:t>2. Hemodynamic Arterial Pressures (Systolic and Diastolic Blood Pressure):</w:t>
        <w:br/>
        <w:t>• Pre-Test Conditions: Patients rested quietly in a seated position with back support for at least 5 minutes prior to measurement in a temperature-controlled examination room. Caffeine, nicotine, and strenuous exercise were restricted for 30 minutes prior.</w:t>
        <w:br/>
        <w:t>• Measurement Protocol: Assessed on the non-dominant arm using appropriately sized pneumatic cuffs (bladder encasing ≥80% of upper arm circumference) at heart level using calibrated mercury sphygmomanometers or validated oscillometric monitors. Korotkoff Phase I defined Systolic Blood Pressure (SBP); Korotkoff Phase V (disappearance of sound) defined Diastolic Blood Pressure (DBP).</w:t>
      </w:r>
    </w:p>
    <w:p>
      <w:pPr>
        <w:keepNext/>
        <w:spacing w:before="280" w:after="120"/>
      </w:pPr>
      <w:r>
        <w:rPr>
          <w:rFonts w:ascii="Arial" w:hAnsi="Arial"/>
          <w:b/>
          <w:color w:val="2B547E"/>
          <w:sz w:val="26"/>
        </w:rPr>
        <w:t>1.3 American Diabetes Association (ADA) Diagnostic Ground Truth</w:t>
      </w:r>
    </w:p>
    <w:p>
      <w:r>
        <w:t>Ground-truth clinical classification was established strictly according to the American Diabetes Association (ADA) Standards of Care in Diabetes: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1B365D"/>
            <w:tcMar>
              <w:top w:w="120" w:type="dxa"/>
              <w:bottom w:w="120" w:type="dxa"/>
              <w:left w:w="140" w:type="dxa"/>
              <w:right w:w="140" w:type="dxa"/>
            </w:tcMar>
          </w:tcPr>
          <w:p>
            <w:pPr>
              <w:jc w:val="left"/>
            </w:pPr>
            <w:r>
              <w:rPr>
                <w:b/>
                <w:color w:val="FFFFFF"/>
                <w:sz w:val="19"/>
              </w:rPr>
              <w:t>Severity Classification</w:t>
            </w:r>
          </w:p>
        </w:tc>
        <w:tc>
          <w:tcPr>
            <w:tcW w:type="dxa" w:w="2016"/>
            <w:shd w:fill="1B365D"/>
            <w:tcMar>
              <w:top w:w="120" w:type="dxa"/>
              <w:bottom w:w="120" w:type="dxa"/>
              <w:left w:w="140" w:type="dxa"/>
              <w:right w:w="140" w:type="dxa"/>
            </w:tcMar>
          </w:tcPr>
          <w:p>
            <w:pPr>
              <w:jc w:val="left"/>
            </w:pPr>
            <w:r>
              <w:rPr>
                <w:b/>
                <w:color w:val="FFFFFF"/>
                <w:sz w:val="19"/>
              </w:rPr>
              <w:t>HbA1c Threshold</w:t>
            </w:r>
          </w:p>
        </w:tc>
        <w:tc>
          <w:tcPr>
            <w:tcW w:type="dxa" w:w="2304"/>
            <w:shd w:fill="1B365D"/>
            <w:tcMar>
              <w:top w:w="120" w:type="dxa"/>
              <w:bottom w:w="120" w:type="dxa"/>
              <w:left w:w="140" w:type="dxa"/>
              <w:right w:w="140" w:type="dxa"/>
            </w:tcMar>
          </w:tcPr>
          <w:p>
            <w:pPr>
              <w:jc w:val="left"/>
            </w:pPr>
            <w:r>
              <w:rPr>
                <w:b/>
                <w:color w:val="FFFFFF"/>
                <w:sz w:val="19"/>
              </w:rPr>
              <w:t>Fasting Glucose Threshold</w:t>
            </w:r>
          </w:p>
        </w:tc>
        <w:tc>
          <w:tcPr>
            <w:tcW w:type="dxa" w:w="2448"/>
            <w:shd w:fill="1B365D"/>
            <w:tcMar>
              <w:top w:w="120" w:type="dxa"/>
              <w:bottom w:w="120" w:type="dxa"/>
              <w:left w:w="140" w:type="dxa"/>
              <w:right w:w="140" w:type="dxa"/>
            </w:tcMar>
          </w:tcPr>
          <w:p>
            <w:pPr>
              <w:jc w:val="left"/>
            </w:pPr>
            <w:r>
              <w:rPr>
                <w:b/>
                <w:color w:val="FFFFFF"/>
                <w:sz w:val="19"/>
              </w:rPr>
              <w:t>Clinical Diagnostic Meaning</w:t>
            </w:r>
          </w:p>
        </w:tc>
      </w:tr>
      <w:tr>
        <w:tc>
          <w:tcPr>
            <w:tcW w:type="dxa" w:w="2592"/>
            <w:shd w:fill="FFFFFF"/>
            <w:tcMar>
              <w:top w:w="90" w:type="dxa"/>
              <w:bottom w:w="90" w:type="dxa"/>
              <w:left w:w="140" w:type="dxa"/>
              <w:right w:w="140" w:type="dxa"/>
            </w:tcMar>
          </w:tcPr>
          <w:p>
            <w:pPr>
              <w:jc w:val="left"/>
            </w:pPr>
            <w:r>
              <w:rPr>
                <w:color w:val="222222"/>
                <w:sz w:val="18"/>
              </w:rPr>
              <w:t>Low Risk (Normal)</w:t>
            </w:r>
          </w:p>
        </w:tc>
        <w:tc>
          <w:tcPr>
            <w:tcW w:type="dxa" w:w="2016"/>
            <w:shd w:fill="FFFFFF"/>
            <w:tcMar>
              <w:top w:w="90" w:type="dxa"/>
              <w:bottom w:w="90" w:type="dxa"/>
              <w:left w:w="140" w:type="dxa"/>
              <w:right w:w="140" w:type="dxa"/>
            </w:tcMar>
          </w:tcPr>
          <w:p>
            <w:pPr>
              <w:jc w:val="left"/>
            </w:pPr>
            <w:r>
              <w:rPr>
                <w:color w:val="222222"/>
                <w:sz w:val="18"/>
              </w:rPr>
              <w:t>&lt; 5.7%</w:t>
            </w:r>
          </w:p>
        </w:tc>
        <w:tc>
          <w:tcPr>
            <w:tcW w:type="dxa" w:w="2304"/>
            <w:shd w:fill="FFFFFF"/>
            <w:tcMar>
              <w:top w:w="90" w:type="dxa"/>
              <w:bottom w:w="90" w:type="dxa"/>
              <w:left w:w="140" w:type="dxa"/>
              <w:right w:w="140" w:type="dxa"/>
            </w:tcMar>
          </w:tcPr>
          <w:p>
            <w:pPr>
              <w:jc w:val="left"/>
            </w:pPr>
            <w:r>
              <w:rPr>
                <w:color w:val="222222"/>
                <w:sz w:val="18"/>
              </w:rPr>
              <w:t>&lt; 100 mg/dL</w:t>
            </w:r>
          </w:p>
        </w:tc>
        <w:tc>
          <w:tcPr>
            <w:tcW w:type="dxa" w:w="2448"/>
            <w:shd w:fill="FFFFFF"/>
            <w:tcMar>
              <w:top w:w="90" w:type="dxa"/>
              <w:bottom w:w="90" w:type="dxa"/>
              <w:left w:w="140" w:type="dxa"/>
              <w:right w:w="140" w:type="dxa"/>
            </w:tcMar>
          </w:tcPr>
          <w:p>
            <w:pPr>
              <w:jc w:val="left"/>
            </w:pPr>
            <w:r>
              <w:rPr>
                <w:color w:val="222222"/>
                <w:sz w:val="18"/>
              </w:rPr>
              <w:t>Normal glycemic regulation. Low risk of microvascular disease. Annual routine check.</w:t>
            </w:r>
          </w:p>
        </w:tc>
      </w:tr>
      <w:tr>
        <w:tc>
          <w:tcPr>
            <w:tcW w:type="dxa" w:w="2592"/>
            <w:shd w:fill="F4F7FA"/>
            <w:tcMar>
              <w:top w:w="90" w:type="dxa"/>
              <w:bottom w:w="90" w:type="dxa"/>
              <w:left w:w="140" w:type="dxa"/>
              <w:right w:w="140" w:type="dxa"/>
            </w:tcMar>
          </w:tcPr>
          <w:p>
            <w:pPr>
              <w:jc w:val="left"/>
            </w:pPr>
            <w:r>
              <w:rPr>
                <w:color w:val="222222"/>
                <w:sz w:val="18"/>
              </w:rPr>
              <w:t>Medium Risk (Pre-diabetic)</w:t>
            </w:r>
          </w:p>
        </w:tc>
        <w:tc>
          <w:tcPr>
            <w:tcW w:type="dxa" w:w="2016"/>
            <w:shd w:fill="F4F7FA"/>
            <w:tcMar>
              <w:top w:w="90" w:type="dxa"/>
              <w:bottom w:w="90" w:type="dxa"/>
              <w:left w:w="140" w:type="dxa"/>
              <w:right w:w="140" w:type="dxa"/>
            </w:tcMar>
          </w:tcPr>
          <w:p>
            <w:pPr>
              <w:jc w:val="left"/>
            </w:pPr>
            <w:r>
              <w:rPr>
                <w:color w:val="222222"/>
                <w:sz w:val="18"/>
              </w:rPr>
              <w:t>5.7% – 6.4%</w:t>
            </w:r>
          </w:p>
        </w:tc>
        <w:tc>
          <w:tcPr>
            <w:tcW w:type="dxa" w:w="2304"/>
            <w:shd w:fill="F4F7FA"/>
            <w:tcMar>
              <w:top w:w="90" w:type="dxa"/>
              <w:bottom w:w="90" w:type="dxa"/>
              <w:left w:w="140" w:type="dxa"/>
              <w:right w:w="140" w:type="dxa"/>
            </w:tcMar>
          </w:tcPr>
          <w:p>
            <w:pPr>
              <w:jc w:val="left"/>
            </w:pPr>
            <w:r>
              <w:rPr>
                <w:color w:val="222222"/>
                <w:sz w:val="18"/>
              </w:rPr>
              <w:t>100 – 125 mg/dL</w:t>
            </w:r>
          </w:p>
        </w:tc>
        <w:tc>
          <w:tcPr>
            <w:tcW w:type="dxa" w:w="2448"/>
            <w:shd w:fill="F4F7FA"/>
            <w:tcMar>
              <w:top w:w="90" w:type="dxa"/>
              <w:bottom w:w="90" w:type="dxa"/>
              <w:left w:w="140" w:type="dxa"/>
              <w:right w:w="140" w:type="dxa"/>
            </w:tcMar>
          </w:tcPr>
          <w:p>
            <w:pPr>
              <w:jc w:val="left"/>
            </w:pPr>
            <w:r>
              <w:rPr>
                <w:color w:val="222222"/>
                <w:sz w:val="18"/>
              </w:rPr>
              <w:t>Impaired Fasting Glucose (IFG) or Impaired Glucose Tolerance (IGT). High risk of T2DM progression. Lifestyle intervention indicated.</w:t>
            </w:r>
          </w:p>
        </w:tc>
      </w:tr>
      <w:tr>
        <w:tc>
          <w:tcPr>
            <w:tcW w:type="dxa" w:w="2592"/>
            <w:shd w:fill="FFFFFF"/>
            <w:tcMar>
              <w:top w:w="90" w:type="dxa"/>
              <w:bottom w:w="90" w:type="dxa"/>
              <w:left w:w="140" w:type="dxa"/>
              <w:right w:w="140" w:type="dxa"/>
            </w:tcMar>
          </w:tcPr>
          <w:p>
            <w:pPr>
              <w:jc w:val="left"/>
            </w:pPr>
            <w:r>
              <w:rPr>
                <w:color w:val="222222"/>
                <w:sz w:val="18"/>
              </w:rPr>
              <w:t>High Risk (Diabetic)</w:t>
            </w:r>
          </w:p>
        </w:tc>
        <w:tc>
          <w:tcPr>
            <w:tcW w:type="dxa" w:w="2016"/>
            <w:shd w:fill="FFFFFF"/>
            <w:tcMar>
              <w:top w:w="90" w:type="dxa"/>
              <w:bottom w:w="90" w:type="dxa"/>
              <w:left w:w="140" w:type="dxa"/>
              <w:right w:w="140" w:type="dxa"/>
            </w:tcMar>
          </w:tcPr>
          <w:p>
            <w:pPr>
              <w:jc w:val="left"/>
            </w:pPr>
            <w:r>
              <w:rPr>
                <w:color w:val="222222"/>
                <w:sz w:val="18"/>
              </w:rPr>
              <w:t>≥ 6.5%</w:t>
            </w:r>
          </w:p>
        </w:tc>
        <w:tc>
          <w:tcPr>
            <w:tcW w:type="dxa" w:w="2304"/>
            <w:shd w:fill="FFFFFF"/>
            <w:tcMar>
              <w:top w:w="90" w:type="dxa"/>
              <w:bottom w:w="90" w:type="dxa"/>
              <w:left w:w="140" w:type="dxa"/>
              <w:right w:w="140" w:type="dxa"/>
            </w:tcMar>
          </w:tcPr>
          <w:p>
            <w:pPr>
              <w:jc w:val="left"/>
            </w:pPr>
            <w:r>
              <w:rPr>
                <w:color w:val="222222"/>
                <w:sz w:val="18"/>
              </w:rPr>
              <w:t>≥ 126 mg/dL</w:t>
            </w:r>
          </w:p>
        </w:tc>
        <w:tc>
          <w:tcPr>
            <w:tcW w:type="dxa" w:w="2448"/>
            <w:shd w:fill="FFFFFF"/>
            <w:tcMar>
              <w:top w:w="90" w:type="dxa"/>
              <w:bottom w:w="90" w:type="dxa"/>
              <w:left w:w="140" w:type="dxa"/>
              <w:right w:w="140" w:type="dxa"/>
            </w:tcMar>
          </w:tcPr>
          <w:p>
            <w:pPr>
              <w:jc w:val="left"/>
            </w:pPr>
            <w:r>
              <w:rPr>
                <w:color w:val="222222"/>
                <w:sz w:val="18"/>
              </w:rPr>
              <w:t>Clinical Type 2 Diabetes Mellitus. Requires physician evaluation, glycemic targets, and pharmacological therapy.</w:t>
            </w:r>
          </w:p>
        </w:tc>
      </w:tr>
    </w:tbl>
    <w:p/>
    <w:p>
      <w:pPr>
        <w:spacing w:before="160" w:after="80"/>
        <w:jc w:val="center"/>
      </w:pPr>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fig7_clinical_decision_workflow.png"/>
                    <pic:cNvPicPr/>
                  </pic:nvPicPr>
                  <pic:blipFill>
                    <a:blip r:embed="rId11"/>
                    <a:stretch>
                      <a:fillRect/>
                    </a:stretch>
                  </pic:blipFill>
                  <pic:spPr>
                    <a:xfrm>
                      <a:off x="0" y="0"/>
                      <a:ext cx="5669280" cy="3212592"/>
                    </a:xfrm>
                    <a:prstGeom prst="rect"/>
                  </pic:spPr>
                </pic:pic>
              </a:graphicData>
            </a:graphic>
          </wp:inline>
        </w:drawing>
      </w:r>
    </w:p>
    <w:p>
      <w:pPr>
        <w:spacing w:after="240"/>
        <w:jc w:val="center"/>
      </w:pPr>
      <w:r>
        <w:rPr>
          <w:i/>
          <w:color w:val="64748B"/>
          <w:sz w:val="18"/>
        </w:rPr>
        <w:t>Figure 1.1: Clinical Decision Flowchart &amp; Risk Stratification Protocol Aligned with ADA Diagnostic Benchmarks.</w:t>
      </w:r>
    </w:p>
    <w:p>
      <w:pPr>
        <w:keepNext/>
        <w:spacing w:before="400" w:after="160"/>
      </w:pPr>
      <w:r>
        <w:rPr>
          <w:rFonts w:ascii="Arial" w:hAnsi="Arial"/>
          <w:b/>
          <w:color w:val="1B365D"/>
          <w:sz w:val="34"/>
        </w:rPr>
        <w:t>Phase 2: Data Hygiene, Exploratory Profiling &amp; Imbalance Handling</w:t>
      </w:r>
    </w:p>
    <w:p>
      <w:r>
        <w:t>Data hygiene and descriptive profiling were performed on the 1,898 patient records to ensure zero corrupted entries, verify physiological plausibility, and evaluate class distribution.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40"/>
        <w:gridCol w:w="1040"/>
        <w:gridCol w:w="1040"/>
        <w:gridCol w:w="1040"/>
        <w:gridCol w:w="1040"/>
        <w:gridCol w:w="1040"/>
        <w:gridCol w:w="1040"/>
        <w:gridCol w:w="1040"/>
        <w:gridCol w:w="1040"/>
      </w:tblGrid>
      <w:tr>
        <w:tc>
          <w:tcPr>
            <w:tcW w:type="dxa" w:w="2592"/>
            <w:shd w:fill="1B365D"/>
            <w:tcMar>
              <w:top w:w="120" w:type="dxa"/>
              <w:bottom w:w="120" w:type="dxa"/>
              <w:left w:w="140" w:type="dxa"/>
              <w:right w:w="140" w:type="dxa"/>
            </w:tcMar>
          </w:tcPr>
          <w:p>
            <w:pPr>
              <w:jc w:val="left"/>
            </w:pPr>
            <w:r>
              <w:rPr>
                <w:b/>
                <w:color w:val="FFFFFF"/>
                <w:sz w:val="19"/>
              </w:rPr>
              <w:t>Clinical Indicator</w:t>
            </w:r>
          </w:p>
        </w:tc>
        <w:tc>
          <w:tcPr>
            <w:tcW w:type="dxa" w:w="864"/>
            <w:shd w:fill="1B365D"/>
            <w:tcMar>
              <w:top w:w="120" w:type="dxa"/>
              <w:bottom w:w="120" w:type="dxa"/>
              <w:left w:w="140" w:type="dxa"/>
              <w:right w:w="140" w:type="dxa"/>
            </w:tcMar>
          </w:tcPr>
          <w:p>
            <w:pPr>
              <w:jc w:val="left"/>
            </w:pPr>
            <w:r>
              <w:rPr>
                <w:b/>
                <w:color w:val="FFFFFF"/>
                <w:sz w:val="19"/>
              </w:rPr>
              <w:t>Mean</w:t>
            </w:r>
          </w:p>
        </w:tc>
        <w:tc>
          <w:tcPr>
            <w:tcW w:type="dxa" w:w="864"/>
            <w:shd w:fill="1B365D"/>
            <w:tcMar>
              <w:top w:w="120" w:type="dxa"/>
              <w:bottom w:w="120" w:type="dxa"/>
              <w:left w:w="140" w:type="dxa"/>
              <w:right w:w="140" w:type="dxa"/>
            </w:tcMar>
          </w:tcPr>
          <w:p>
            <w:pPr>
              <w:jc w:val="left"/>
            </w:pPr>
            <w:r>
              <w:rPr>
                <w:b/>
                <w:color w:val="FFFFFF"/>
                <w:sz w:val="19"/>
              </w:rPr>
              <w:t>Std</w:t>
            </w:r>
          </w:p>
        </w:tc>
        <w:tc>
          <w:tcPr>
            <w:tcW w:type="dxa" w:w="864"/>
            <w:shd w:fill="1B365D"/>
            <w:tcMar>
              <w:top w:w="120" w:type="dxa"/>
              <w:bottom w:w="120" w:type="dxa"/>
              <w:left w:w="140" w:type="dxa"/>
              <w:right w:w="140" w:type="dxa"/>
            </w:tcMar>
          </w:tcPr>
          <w:p>
            <w:pPr>
              <w:jc w:val="left"/>
            </w:pPr>
            <w:r>
              <w:rPr>
                <w:b/>
                <w:color w:val="FFFFFF"/>
                <w:sz w:val="19"/>
              </w:rPr>
              <w:t>Min</w:t>
            </w:r>
          </w:p>
        </w:tc>
        <w:tc>
          <w:tcPr>
            <w:tcW w:type="dxa" w:w="864"/>
            <w:shd w:fill="1B365D"/>
            <w:tcMar>
              <w:top w:w="120" w:type="dxa"/>
              <w:bottom w:w="120" w:type="dxa"/>
              <w:left w:w="140" w:type="dxa"/>
              <w:right w:w="140" w:type="dxa"/>
            </w:tcMar>
          </w:tcPr>
          <w:p>
            <w:pPr>
              <w:jc w:val="left"/>
            </w:pPr>
            <w:r>
              <w:rPr>
                <w:b/>
                <w:color w:val="FFFFFF"/>
                <w:sz w:val="19"/>
              </w:rPr>
              <w:t>25%</w:t>
            </w:r>
          </w:p>
        </w:tc>
        <w:tc>
          <w:tcPr>
            <w:tcW w:type="dxa" w:w="864"/>
            <w:shd w:fill="1B365D"/>
            <w:tcMar>
              <w:top w:w="120" w:type="dxa"/>
              <w:bottom w:w="120" w:type="dxa"/>
              <w:left w:w="140" w:type="dxa"/>
              <w:right w:w="140" w:type="dxa"/>
            </w:tcMar>
          </w:tcPr>
          <w:p>
            <w:pPr>
              <w:jc w:val="left"/>
            </w:pPr>
            <w:r>
              <w:rPr>
                <w:b/>
                <w:color w:val="FFFFFF"/>
                <w:sz w:val="19"/>
              </w:rPr>
              <w:t>Median</w:t>
            </w:r>
          </w:p>
        </w:tc>
        <w:tc>
          <w:tcPr>
            <w:tcW w:type="dxa" w:w="864"/>
            <w:shd w:fill="1B365D"/>
            <w:tcMar>
              <w:top w:w="120" w:type="dxa"/>
              <w:bottom w:w="120" w:type="dxa"/>
              <w:left w:w="140" w:type="dxa"/>
              <w:right w:w="140" w:type="dxa"/>
            </w:tcMar>
          </w:tcPr>
          <w:p>
            <w:pPr>
              <w:jc w:val="left"/>
            </w:pPr>
            <w:r>
              <w:rPr>
                <w:b/>
                <w:color w:val="FFFFFF"/>
                <w:sz w:val="19"/>
              </w:rPr>
              <w:t>75%</w:t>
            </w:r>
          </w:p>
        </w:tc>
        <w:tc>
          <w:tcPr>
            <w:tcW w:type="dxa" w:w="864"/>
            <w:shd w:fill="1B365D"/>
            <w:tcMar>
              <w:top w:w="120" w:type="dxa"/>
              <w:bottom w:w="120" w:type="dxa"/>
              <w:left w:w="140" w:type="dxa"/>
              <w:right w:w="140" w:type="dxa"/>
            </w:tcMar>
          </w:tcPr>
          <w:p>
            <w:pPr>
              <w:jc w:val="left"/>
            </w:pPr>
            <w:r>
              <w:rPr>
                <w:b/>
                <w:color w:val="FFFFFF"/>
                <w:sz w:val="19"/>
              </w:rPr>
              <w:t>Max</w:t>
            </w:r>
          </w:p>
        </w:tc>
        <w:tc>
          <w:tcPr>
            <w:tcW w:type="dxa" w:w="1872"/>
            <w:shd w:fill="1B365D"/>
            <w:tcMar>
              <w:top w:w="120" w:type="dxa"/>
              <w:bottom w:w="120" w:type="dxa"/>
              <w:left w:w="140" w:type="dxa"/>
              <w:right w:w="140" w:type="dxa"/>
            </w:tcMar>
          </w:tcPr>
          <w:p>
            <w:pPr>
              <w:jc w:val="left"/>
            </w:pPr>
            <w:r>
              <w:rPr>
                <w:b/>
                <w:color w:val="FFFFFF"/>
                <w:sz w:val="19"/>
              </w:rPr>
              <w:t>Clinical Target</w:t>
            </w:r>
          </w:p>
        </w:tc>
      </w:tr>
      <w:tr>
        <w:tc>
          <w:tcPr>
            <w:tcW w:type="dxa" w:w="2592"/>
            <w:shd w:fill="FFFFFF"/>
            <w:tcMar>
              <w:top w:w="90" w:type="dxa"/>
              <w:bottom w:w="90" w:type="dxa"/>
              <w:left w:w="140" w:type="dxa"/>
              <w:right w:w="140" w:type="dxa"/>
            </w:tcMar>
          </w:tcPr>
          <w:p>
            <w:pPr>
              <w:jc w:val="left"/>
            </w:pPr>
            <w:r>
              <w:rPr>
                <w:color w:val="222222"/>
                <w:sz w:val="18"/>
              </w:rPr>
              <w:t>Age (years)</w:t>
            </w:r>
          </w:p>
        </w:tc>
        <w:tc>
          <w:tcPr>
            <w:tcW w:type="dxa" w:w="864"/>
            <w:shd w:fill="FFFFFF"/>
            <w:tcMar>
              <w:top w:w="90" w:type="dxa"/>
              <w:bottom w:w="90" w:type="dxa"/>
              <w:left w:w="140" w:type="dxa"/>
              <w:right w:w="140" w:type="dxa"/>
            </w:tcMar>
          </w:tcPr>
          <w:p>
            <w:pPr>
              <w:jc w:val="left"/>
            </w:pPr>
            <w:r>
              <w:rPr>
                <w:color w:val="222222"/>
                <w:sz w:val="18"/>
              </w:rPr>
              <w:t>46.73</w:t>
            </w:r>
          </w:p>
        </w:tc>
        <w:tc>
          <w:tcPr>
            <w:tcW w:type="dxa" w:w="864"/>
            <w:shd w:fill="FFFFFF"/>
            <w:tcMar>
              <w:top w:w="90" w:type="dxa"/>
              <w:bottom w:w="90" w:type="dxa"/>
              <w:left w:w="140" w:type="dxa"/>
              <w:right w:w="140" w:type="dxa"/>
            </w:tcMar>
          </w:tcPr>
          <w:p>
            <w:pPr>
              <w:jc w:val="left"/>
            </w:pPr>
            <w:r>
              <w:rPr>
                <w:color w:val="222222"/>
                <w:sz w:val="18"/>
              </w:rPr>
              <w:t>13.67</w:t>
            </w:r>
          </w:p>
        </w:tc>
        <w:tc>
          <w:tcPr>
            <w:tcW w:type="dxa" w:w="864"/>
            <w:shd w:fill="FFFFFF"/>
            <w:tcMar>
              <w:top w:w="90" w:type="dxa"/>
              <w:bottom w:w="90" w:type="dxa"/>
              <w:left w:w="140" w:type="dxa"/>
              <w:right w:w="140" w:type="dxa"/>
            </w:tcMar>
          </w:tcPr>
          <w:p>
            <w:pPr>
              <w:jc w:val="left"/>
            </w:pPr>
            <w:r>
              <w:rPr>
                <w:color w:val="222222"/>
                <w:sz w:val="18"/>
              </w:rPr>
              <w:t>21.00</w:t>
            </w:r>
          </w:p>
        </w:tc>
        <w:tc>
          <w:tcPr>
            <w:tcW w:type="dxa" w:w="864"/>
            <w:shd w:fill="FFFFFF"/>
            <w:tcMar>
              <w:top w:w="90" w:type="dxa"/>
              <w:bottom w:w="90" w:type="dxa"/>
              <w:left w:w="140" w:type="dxa"/>
              <w:right w:w="140" w:type="dxa"/>
            </w:tcMar>
          </w:tcPr>
          <w:p>
            <w:pPr>
              <w:jc w:val="left"/>
            </w:pPr>
            <w:r>
              <w:rPr>
                <w:color w:val="222222"/>
                <w:sz w:val="18"/>
              </w:rPr>
              <w:t>35.00</w:t>
            </w:r>
          </w:p>
        </w:tc>
        <w:tc>
          <w:tcPr>
            <w:tcW w:type="dxa" w:w="864"/>
            <w:shd w:fill="FFFFFF"/>
            <w:tcMar>
              <w:top w:w="90" w:type="dxa"/>
              <w:bottom w:w="90" w:type="dxa"/>
              <w:left w:w="140" w:type="dxa"/>
              <w:right w:w="140" w:type="dxa"/>
            </w:tcMar>
          </w:tcPr>
          <w:p>
            <w:pPr>
              <w:jc w:val="left"/>
            </w:pPr>
            <w:r>
              <w:rPr>
                <w:color w:val="222222"/>
                <w:sz w:val="18"/>
              </w:rPr>
              <w:t>45.00</w:t>
            </w:r>
          </w:p>
        </w:tc>
        <w:tc>
          <w:tcPr>
            <w:tcW w:type="dxa" w:w="864"/>
            <w:shd w:fill="FFFFFF"/>
            <w:tcMar>
              <w:top w:w="90" w:type="dxa"/>
              <w:bottom w:w="90" w:type="dxa"/>
              <w:left w:w="140" w:type="dxa"/>
              <w:right w:w="140" w:type="dxa"/>
            </w:tcMar>
          </w:tcPr>
          <w:p>
            <w:pPr>
              <w:jc w:val="left"/>
            </w:pPr>
            <w:r>
              <w:rPr>
                <w:color w:val="222222"/>
                <w:sz w:val="18"/>
              </w:rPr>
              <w:t>57.00</w:t>
            </w:r>
          </w:p>
        </w:tc>
        <w:tc>
          <w:tcPr>
            <w:tcW w:type="dxa" w:w="864"/>
            <w:shd w:fill="FFFFFF"/>
            <w:tcMar>
              <w:top w:w="90" w:type="dxa"/>
              <w:bottom w:w="90" w:type="dxa"/>
              <w:left w:w="140" w:type="dxa"/>
              <w:right w:w="140" w:type="dxa"/>
            </w:tcMar>
          </w:tcPr>
          <w:p>
            <w:pPr>
              <w:jc w:val="left"/>
            </w:pPr>
            <w:r>
              <w:rPr>
                <w:color w:val="222222"/>
                <w:sz w:val="18"/>
              </w:rPr>
              <w:t>80.00</w:t>
            </w:r>
          </w:p>
        </w:tc>
        <w:tc>
          <w:tcPr>
            <w:tcW w:type="dxa" w:w="1872"/>
            <w:shd w:fill="FFFFFF"/>
            <w:tcMar>
              <w:top w:w="90" w:type="dxa"/>
              <w:bottom w:w="90" w:type="dxa"/>
              <w:left w:w="140" w:type="dxa"/>
              <w:right w:w="140" w:type="dxa"/>
            </w:tcMar>
          </w:tcPr>
          <w:p>
            <w:pPr>
              <w:jc w:val="left"/>
            </w:pPr>
            <w:r>
              <w:rPr>
                <w:color w:val="222222"/>
                <w:sz w:val="18"/>
              </w:rPr>
              <w:t>Chronological aging risk</w:t>
            </w:r>
          </w:p>
        </w:tc>
      </w:tr>
      <w:tr>
        <w:tc>
          <w:tcPr>
            <w:tcW w:type="dxa" w:w="2592"/>
            <w:shd w:fill="F4F7FA"/>
            <w:tcMar>
              <w:top w:w="90" w:type="dxa"/>
              <w:bottom w:w="90" w:type="dxa"/>
              <w:left w:w="140" w:type="dxa"/>
              <w:right w:w="140" w:type="dxa"/>
            </w:tcMar>
          </w:tcPr>
          <w:p>
            <w:pPr>
              <w:jc w:val="left"/>
            </w:pPr>
            <w:r>
              <w:rPr>
                <w:color w:val="222222"/>
                <w:sz w:val="18"/>
              </w:rPr>
              <w:t>Gender (Male=1, Female=0)</w:t>
            </w:r>
          </w:p>
        </w:tc>
        <w:tc>
          <w:tcPr>
            <w:tcW w:type="dxa" w:w="864"/>
            <w:shd w:fill="F4F7FA"/>
            <w:tcMar>
              <w:top w:w="90" w:type="dxa"/>
              <w:bottom w:w="90" w:type="dxa"/>
              <w:left w:w="140" w:type="dxa"/>
              <w:right w:w="140" w:type="dxa"/>
            </w:tcMar>
          </w:tcPr>
          <w:p>
            <w:pPr>
              <w:jc w:val="left"/>
            </w:pPr>
            <w:r>
              <w:rPr>
                <w:color w:val="222222"/>
                <w:sz w:val="18"/>
              </w:rPr>
              <w:t>0.38</w:t>
            </w:r>
          </w:p>
        </w:tc>
        <w:tc>
          <w:tcPr>
            <w:tcW w:type="dxa" w:w="864"/>
            <w:shd w:fill="F4F7FA"/>
            <w:tcMar>
              <w:top w:w="90" w:type="dxa"/>
              <w:bottom w:w="90" w:type="dxa"/>
              <w:left w:w="140" w:type="dxa"/>
              <w:right w:w="140" w:type="dxa"/>
            </w:tcMar>
          </w:tcPr>
          <w:p>
            <w:pPr>
              <w:jc w:val="left"/>
            </w:pPr>
            <w:r>
              <w:rPr>
                <w:color w:val="222222"/>
                <w:sz w:val="18"/>
              </w:rPr>
              <w:t>0.48</w:t>
            </w:r>
          </w:p>
        </w:tc>
        <w:tc>
          <w:tcPr>
            <w:tcW w:type="dxa" w:w="864"/>
            <w:shd w:fill="F4F7FA"/>
            <w:tcMar>
              <w:top w:w="90" w:type="dxa"/>
              <w:bottom w:w="90" w:type="dxa"/>
              <w:left w:w="140" w:type="dxa"/>
              <w:right w:w="140" w:type="dxa"/>
            </w:tcMar>
          </w:tcPr>
          <w:p>
            <w:pPr>
              <w:jc w:val="left"/>
            </w:pPr>
            <w:r>
              <w:rPr>
                <w:color w:val="222222"/>
                <w:sz w:val="18"/>
              </w:rPr>
              <w:t>0.00</w:t>
            </w:r>
          </w:p>
        </w:tc>
        <w:tc>
          <w:tcPr>
            <w:tcW w:type="dxa" w:w="864"/>
            <w:shd w:fill="F4F7FA"/>
            <w:tcMar>
              <w:top w:w="90" w:type="dxa"/>
              <w:bottom w:w="90" w:type="dxa"/>
              <w:left w:w="140" w:type="dxa"/>
              <w:right w:w="140" w:type="dxa"/>
            </w:tcMar>
          </w:tcPr>
          <w:p>
            <w:pPr>
              <w:jc w:val="left"/>
            </w:pPr>
            <w:r>
              <w:rPr>
                <w:color w:val="222222"/>
                <w:sz w:val="18"/>
              </w:rPr>
              <w:t>0.00</w:t>
            </w:r>
          </w:p>
        </w:tc>
        <w:tc>
          <w:tcPr>
            <w:tcW w:type="dxa" w:w="864"/>
            <w:shd w:fill="F4F7FA"/>
            <w:tcMar>
              <w:top w:w="90" w:type="dxa"/>
              <w:bottom w:w="90" w:type="dxa"/>
              <w:left w:w="140" w:type="dxa"/>
              <w:right w:w="140" w:type="dxa"/>
            </w:tcMar>
          </w:tcPr>
          <w:p>
            <w:pPr>
              <w:jc w:val="left"/>
            </w:pPr>
            <w:r>
              <w:rPr>
                <w:color w:val="222222"/>
                <w:sz w:val="18"/>
              </w:rPr>
              <w:t>0.00</w:t>
            </w:r>
          </w:p>
        </w:tc>
        <w:tc>
          <w:tcPr>
            <w:tcW w:type="dxa" w:w="864"/>
            <w:shd w:fill="F4F7FA"/>
            <w:tcMar>
              <w:top w:w="90" w:type="dxa"/>
              <w:bottom w:w="90" w:type="dxa"/>
              <w:left w:w="140" w:type="dxa"/>
              <w:right w:w="140" w:type="dxa"/>
            </w:tcMar>
          </w:tcPr>
          <w:p>
            <w:pPr>
              <w:jc w:val="left"/>
            </w:pPr>
            <w:r>
              <w:rPr>
                <w:color w:val="222222"/>
                <w:sz w:val="18"/>
              </w:rPr>
              <w:t>1.00</w:t>
            </w:r>
          </w:p>
        </w:tc>
        <w:tc>
          <w:tcPr>
            <w:tcW w:type="dxa" w:w="864"/>
            <w:shd w:fill="F4F7FA"/>
            <w:tcMar>
              <w:top w:w="90" w:type="dxa"/>
              <w:bottom w:w="90" w:type="dxa"/>
              <w:left w:w="140" w:type="dxa"/>
              <w:right w:w="140" w:type="dxa"/>
            </w:tcMar>
          </w:tcPr>
          <w:p>
            <w:pPr>
              <w:jc w:val="left"/>
            </w:pPr>
            <w:r>
              <w:rPr>
                <w:color w:val="222222"/>
                <w:sz w:val="18"/>
              </w:rPr>
              <w:t>1.00</w:t>
            </w:r>
          </w:p>
        </w:tc>
        <w:tc>
          <w:tcPr>
            <w:tcW w:type="dxa" w:w="1872"/>
            <w:shd w:fill="F4F7FA"/>
            <w:tcMar>
              <w:top w:w="90" w:type="dxa"/>
              <w:bottom w:w="90" w:type="dxa"/>
              <w:left w:w="140" w:type="dxa"/>
              <w:right w:w="140" w:type="dxa"/>
            </w:tcMar>
          </w:tcPr>
          <w:p>
            <w:pPr>
              <w:jc w:val="left"/>
            </w:pPr>
            <w:r>
              <w:rPr>
                <w:color w:val="222222"/>
                <w:sz w:val="18"/>
              </w:rPr>
              <w:t>Biological sex baseline</w:t>
            </w:r>
          </w:p>
        </w:tc>
      </w:tr>
      <w:tr>
        <w:tc>
          <w:tcPr>
            <w:tcW w:type="dxa" w:w="2592"/>
            <w:shd w:fill="FFFFFF"/>
            <w:tcMar>
              <w:top w:w="90" w:type="dxa"/>
              <w:bottom w:w="90" w:type="dxa"/>
              <w:left w:w="140" w:type="dxa"/>
              <w:right w:w="140" w:type="dxa"/>
            </w:tcMar>
          </w:tcPr>
          <w:p>
            <w:pPr>
              <w:jc w:val="left"/>
            </w:pPr>
            <w:r>
              <w:rPr>
                <w:color w:val="222222"/>
                <w:sz w:val="18"/>
              </w:rPr>
              <w:t>Glucose (mg/dL)</w:t>
            </w:r>
          </w:p>
        </w:tc>
        <w:tc>
          <w:tcPr>
            <w:tcW w:type="dxa" w:w="864"/>
            <w:shd w:fill="FFFFFF"/>
            <w:tcMar>
              <w:top w:w="90" w:type="dxa"/>
              <w:bottom w:w="90" w:type="dxa"/>
              <w:left w:w="140" w:type="dxa"/>
              <w:right w:w="140" w:type="dxa"/>
            </w:tcMar>
          </w:tcPr>
          <w:p>
            <w:pPr>
              <w:jc w:val="left"/>
            </w:pPr>
            <w:r>
              <w:rPr>
                <w:color w:val="222222"/>
                <w:sz w:val="18"/>
              </w:rPr>
              <w:t>137.28</w:t>
            </w:r>
          </w:p>
        </w:tc>
        <w:tc>
          <w:tcPr>
            <w:tcW w:type="dxa" w:w="864"/>
            <w:shd w:fill="FFFFFF"/>
            <w:tcMar>
              <w:top w:w="90" w:type="dxa"/>
              <w:bottom w:w="90" w:type="dxa"/>
              <w:left w:w="140" w:type="dxa"/>
              <w:right w:w="140" w:type="dxa"/>
            </w:tcMar>
          </w:tcPr>
          <w:p>
            <w:pPr>
              <w:jc w:val="left"/>
            </w:pPr>
            <w:r>
              <w:rPr>
                <w:color w:val="222222"/>
                <w:sz w:val="18"/>
              </w:rPr>
              <w:t>55.88</w:t>
            </w:r>
          </w:p>
        </w:tc>
        <w:tc>
          <w:tcPr>
            <w:tcW w:type="dxa" w:w="864"/>
            <w:shd w:fill="FFFFFF"/>
            <w:tcMar>
              <w:top w:w="90" w:type="dxa"/>
              <w:bottom w:w="90" w:type="dxa"/>
              <w:left w:w="140" w:type="dxa"/>
              <w:right w:w="140" w:type="dxa"/>
            </w:tcMar>
          </w:tcPr>
          <w:p>
            <w:pPr>
              <w:jc w:val="left"/>
            </w:pPr>
            <w:r>
              <w:rPr>
                <w:color w:val="222222"/>
                <w:sz w:val="18"/>
              </w:rPr>
              <w:t>7.74</w:t>
            </w:r>
          </w:p>
        </w:tc>
        <w:tc>
          <w:tcPr>
            <w:tcW w:type="dxa" w:w="864"/>
            <w:shd w:fill="FFFFFF"/>
            <w:tcMar>
              <w:top w:w="90" w:type="dxa"/>
              <w:bottom w:w="90" w:type="dxa"/>
              <w:left w:w="140" w:type="dxa"/>
              <w:right w:w="140" w:type="dxa"/>
            </w:tcMar>
          </w:tcPr>
          <w:p>
            <w:pPr>
              <w:jc w:val="left"/>
            </w:pPr>
            <w:r>
              <w:rPr>
                <w:color w:val="222222"/>
                <w:sz w:val="18"/>
              </w:rPr>
              <w:t>108.00</w:t>
            </w:r>
          </w:p>
        </w:tc>
        <w:tc>
          <w:tcPr>
            <w:tcW w:type="dxa" w:w="864"/>
            <w:shd w:fill="FFFFFF"/>
            <w:tcMar>
              <w:top w:w="90" w:type="dxa"/>
              <w:bottom w:w="90" w:type="dxa"/>
              <w:left w:w="140" w:type="dxa"/>
              <w:right w:w="140" w:type="dxa"/>
            </w:tcMar>
          </w:tcPr>
          <w:p>
            <w:pPr>
              <w:jc w:val="left"/>
            </w:pPr>
            <w:r>
              <w:rPr>
                <w:color w:val="222222"/>
                <w:sz w:val="18"/>
              </w:rPr>
              <w:t>125.10</w:t>
            </w:r>
          </w:p>
        </w:tc>
        <w:tc>
          <w:tcPr>
            <w:tcW w:type="dxa" w:w="864"/>
            <w:shd w:fill="FFFFFF"/>
            <w:tcMar>
              <w:top w:w="90" w:type="dxa"/>
              <w:bottom w:w="90" w:type="dxa"/>
              <w:left w:w="140" w:type="dxa"/>
              <w:right w:w="140" w:type="dxa"/>
            </w:tcMar>
          </w:tcPr>
          <w:p>
            <w:pPr>
              <w:jc w:val="left"/>
            </w:pPr>
            <w:r>
              <w:rPr>
                <w:color w:val="222222"/>
                <w:sz w:val="18"/>
              </w:rPr>
              <w:t>146.16</w:t>
            </w:r>
          </w:p>
        </w:tc>
        <w:tc>
          <w:tcPr>
            <w:tcW w:type="dxa" w:w="864"/>
            <w:shd w:fill="FFFFFF"/>
            <w:tcMar>
              <w:top w:w="90" w:type="dxa"/>
              <w:bottom w:w="90" w:type="dxa"/>
              <w:left w:w="140" w:type="dxa"/>
              <w:right w:w="140" w:type="dxa"/>
            </w:tcMar>
          </w:tcPr>
          <w:p>
            <w:pPr>
              <w:jc w:val="left"/>
            </w:pPr>
            <w:r>
              <w:rPr>
                <w:color w:val="222222"/>
                <w:sz w:val="18"/>
              </w:rPr>
              <w:t>602.28</w:t>
            </w:r>
          </w:p>
        </w:tc>
        <w:tc>
          <w:tcPr>
            <w:tcW w:type="dxa" w:w="1872"/>
            <w:shd w:fill="FFFFFF"/>
            <w:tcMar>
              <w:top w:w="90" w:type="dxa"/>
              <w:bottom w:w="90" w:type="dxa"/>
              <w:left w:w="140" w:type="dxa"/>
              <w:right w:w="140" w:type="dxa"/>
            </w:tcMar>
          </w:tcPr>
          <w:p>
            <w:pPr>
              <w:jc w:val="left"/>
            </w:pPr>
            <w:r>
              <w:rPr>
                <w:color w:val="222222"/>
                <w:sz w:val="18"/>
              </w:rPr>
              <w:t>Acute glycemic biomarker</w:t>
            </w:r>
          </w:p>
        </w:tc>
      </w:tr>
      <w:tr>
        <w:tc>
          <w:tcPr>
            <w:tcW w:type="dxa" w:w="2592"/>
            <w:shd w:fill="F4F7FA"/>
            <w:tcMar>
              <w:top w:w="90" w:type="dxa"/>
              <w:bottom w:w="90" w:type="dxa"/>
              <w:left w:w="140" w:type="dxa"/>
              <w:right w:w="140" w:type="dxa"/>
            </w:tcMar>
          </w:tcPr>
          <w:p>
            <w:pPr>
              <w:jc w:val="left"/>
            </w:pPr>
            <w:r>
              <w:rPr>
                <w:color w:val="222222"/>
                <w:sz w:val="18"/>
              </w:rPr>
              <w:t>Weight (kg)</w:t>
            </w:r>
          </w:p>
        </w:tc>
        <w:tc>
          <w:tcPr>
            <w:tcW w:type="dxa" w:w="864"/>
            <w:shd w:fill="F4F7FA"/>
            <w:tcMar>
              <w:top w:w="90" w:type="dxa"/>
              <w:bottom w:w="90" w:type="dxa"/>
              <w:left w:w="140" w:type="dxa"/>
              <w:right w:w="140" w:type="dxa"/>
            </w:tcMar>
          </w:tcPr>
          <w:p>
            <w:pPr>
              <w:jc w:val="left"/>
            </w:pPr>
            <w:r>
              <w:rPr>
                <w:color w:val="222222"/>
                <w:sz w:val="18"/>
              </w:rPr>
              <w:t>54.06</w:t>
            </w:r>
          </w:p>
        </w:tc>
        <w:tc>
          <w:tcPr>
            <w:tcW w:type="dxa" w:w="864"/>
            <w:shd w:fill="F4F7FA"/>
            <w:tcMar>
              <w:top w:w="90" w:type="dxa"/>
              <w:bottom w:w="90" w:type="dxa"/>
              <w:left w:w="140" w:type="dxa"/>
              <w:right w:w="140" w:type="dxa"/>
            </w:tcMar>
          </w:tcPr>
          <w:p>
            <w:pPr>
              <w:jc w:val="left"/>
            </w:pPr>
            <w:r>
              <w:rPr>
                <w:color w:val="222222"/>
                <w:sz w:val="18"/>
              </w:rPr>
              <w:t>10.07</w:t>
            </w:r>
          </w:p>
        </w:tc>
        <w:tc>
          <w:tcPr>
            <w:tcW w:type="dxa" w:w="864"/>
            <w:shd w:fill="F4F7FA"/>
            <w:tcMar>
              <w:top w:w="90" w:type="dxa"/>
              <w:bottom w:w="90" w:type="dxa"/>
              <w:left w:w="140" w:type="dxa"/>
              <w:right w:w="140" w:type="dxa"/>
            </w:tcMar>
          </w:tcPr>
          <w:p>
            <w:pPr>
              <w:jc w:val="left"/>
            </w:pPr>
            <w:r>
              <w:rPr>
                <w:color w:val="222222"/>
                <w:sz w:val="18"/>
              </w:rPr>
              <w:t>20.00</w:t>
            </w:r>
          </w:p>
        </w:tc>
        <w:tc>
          <w:tcPr>
            <w:tcW w:type="dxa" w:w="864"/>
            <w:shd w:fill="F4F7FA"/>
            <w:tcMar>
              <w:top w:w="90" w:type="dxa"/>
              <w:bottom w:w="90" w:type="dxa"/>
              <w:left w:w="140" w:type="dxa"/>
              <w:right w:w="140" w:type="dxa"/>
            </w:tcMar>
          </w:tcPr>
          <w:p>
            <w:pPr>
              <w:jc w:val="left"/>
            </w:pPr>
            <w:r>
              <w:rPr>
                <w:color w:val="222222"/>
                <w:sz w:val="18"/>
              </w:rPr>
              <w:t>48.00</w:t>
            </w:r>
          </w:p>
        </w:tc>
        <w:tc>
          <w:tcPr>
            <w:tcW w:type="dxa" w:w="864"/>
            <w:shd w:fill="F4F7FA"/>
            <w:tcMar>
              <w:top w:w="90" w:type="dxa"/>
              <w:bottom w:w="90" w:type="dxa"/>
              <w:left w:w="140" w:type="dxa"/>
              <w:right w:w="140" w:type="dxa"/>
            </w:tcMar>
          </w:tcPr>
          <w:p>
            <w:pPr>
              <w:jc w:val="left"/>
            </w:pPr>
            <w:r>
              <w:rPr>
                <w:color w:val="222222"/>
                <w:sz w:val="18"/>
              </w:rPr>
              <w:t>53.00</w:t>
            </w:r>
          </w:p>
        </w:tc>
        <w:tc>
          <w:tcPr>
            <w:tcW w:type="dxa" w:w="864"/>
            <w:shd w:fill="F4F7FA"/>
            <w:tcMar>
              <w:top w:w="90" w:type="dxa"/>
              <w:bottom w:w="90" w:type="dxa"/>
              <w:left w:w="140" w:type="dxa"/>
              <w:right w:w="140" w:type="dxa"/>
            </w:tcMar>
          </w:tcPr>
          <w:p>
            <w:pPr>
              <w:jc w:val="left"/>
            </w:pPr>
            <w:r>
              <w:rPr>
                <w:color w:val="222222"/>
                <w:sz w:val="18"/>
              </w:rPr>
              <w:t>60.00</w:t>
            </w:r>
          </w:p>
        </w:tc>
        <w:tc>
          <w:tcPr>
            <w:tcW w:type="dxa" w:w="864"/>
            <w:shd w:fill="F4F7FA"/>
            <w:tcMar>
              <w:top w:w="90" w:type="dxa"/>
              <w:bottom w:w="90" w:type="dxa"/>
              <w:left w:w="140" w:type="dxa"/>
              <w:right w:w="140" w:type="dxa"/>
            </w:tcMar>
          </w:tcPr>
          <w:p>
            <w:pPr>
              <w:jc w:val="left"/>
            </w:pPr>
            <w:r>
              <w:rPr>
                <w:color w:val="222222"/>
                <w:sz w:val="18"/>
              </w:rPr>
              <w:t>95.00</w:t>
            </w:r>
          </w:p>
        </w:tc>
        <w:tc>
          <w:tcPr>
            <w:tcW w:type="dxa" w:w="1872"/>
            <w:shd w:fill="F4F7FA"/>
            <w:tcMar>
              <w:top w:w="90" w:type="dxa"/>
              <w:bottom w:w="90" w:type="dxa"/>
              <w:left w:w="140" w:type="dxa"/>
              <w:right w:w="140" w:type="dxa"/>
            </w:tcMar>
          </w:tcPr>
          <w:p>
            <w:pPr>
              <w:jc w:val="left"/>
            </w:pPr>
            <w:r>
              <w:rPr>
                <w:color w:val="222222"/>
                <w:sz w:val="18"/>
              </w:rPr>
              <w:t>Anthropometric baseline</w:t>
            </w:r>
          </w:p>
        </w:tc>
      </w:tr>
      <w:tr>
        <w:tc>
          <w:tcPr>
            <w:tcW w:type="dxa" w:w="2592"/>
            <w:shd w:fill="FFFFFF"/>
            <w:tcMar>
              <w:top w:w="90" w:type="dxa"/>
              <w:bottom w:w="90" w:type="dxa"/>
              <w:left w:w="140" w:type="dxa"/>
              <w:right w:w="140" w:type="dxa"/>
            </w:tcMar>
          </w:tcPr>
          <w:p>
            <w:pPr>
              <w:jc w:val="left"/>
            </w:pPr>
            <w:r>
              <w:rPr>
                <w:color w:val="222222"/>
                <w:sz w:val="18"/>
              </w:rPr>
              <w:t>Height (m)</w:t>
            </w:r>
          </w:p>
        </w:tc>
        <w:tc>
          <w:tcPr>
            <w:tcW w:type="dxa" w:w="864"/>
            <w:shd w:fill="FFFFFF"/>
            <w:tcMar>
              <w:top w:w="90" w:type="dxa"/>
              <w:bottom w:w="90" w:type="dxa"/>
              <w:left w:w="140" w:type="dxa"/>
              <w:right w:w="140" w:type="dxa"/>
            </w:tcMar>
          </w:tcPr>
          <w:p>
            <w:pPr>
              <w:jc w:val="left"/>
            </w:pPr>
            <w:r>
              <w:rPr>
                <w:color w:val="222222"/>
                <w:sz w:val="18"/>
              </w:rPr>
              <w:t>1.56</w:t>
            </w:r>
          </w:p>
        </w:tc>
        <w:tc>
          <w:tcPr>
            <w:tcW w:type="dxa" w:w="864"/>
            <w:shd w:fill="FFFFFF"/>
            <w:tcMar>
              <w:top w:w="90" w:type="dxa"/>
              <w:bottom w:w="90" w:type="dxa"/>
              <w:left w:w="140" w:type="dxa"/>
              <w:right w:w="140" w:type="dxa"/>
            </w:tcMar>
          </w:tcPr>
          <w:p>
            <w:pPr>
              <w:jc w:val="left"/>
            </w:pPr>
            <w:r>
              <w:rPr>
                <w:color w:val="222222"/>
                <w:sz w:val="18"/>
              </w:rPr>
              <w:t>0.08</w:t>
            </w:r>
          </w:p>
        </w:tc>
        <w:tc>
          <w:tcPr>
            <w:tcW w:type="dxa" w:w="864"/>
            <w:shd w:fill="FFFFFF"/>
            <w:tcMar>
              <w:top w:w="90" w:type="dxa"/>
              <w:bottom w:w="90" w:type="dxa"/>
              <w:left w:w="140" w:type="dxa"/>
              <w:right w:w="140" w:type="dxa"/>
            </w:tcMar>
          </w:tcPr>
          <w:p>
            <w:pPr>
              <w:jc w:val="left"/>
            </w:pPr>
            <w:r>
              <w:rPr>
                <w:color w:val="222222"/>
                <w:sz w:val="18"/>
              </w:rPr>
              <w:t>1.30</w:t>
            </w:r>
          </w:p>
        </w:tc>
        <w:tc>
          <w:tcPr>
            <w:tcW w:type="dxa" w:w="864"/>
            <w:shd w:fill="FFFFFF"/>
            <w:tcMar>
              <w:top w:w="90" w:type="dxa"/>
              <w:bottom w:w="90" w:type="dxa"/>
              <w:left w:w="140" w:type="dxa"/>
              <w:right w:w="140" w:type="dxa"/>
            </w:tcMar>
          </w:tcPr>
          <w:p>
            <w:pPr>
              <w:jc w:val="left"/>
            </w:pPr>
            <w:r>
              <w:rPr>
                <w:color w:val="222222"/>
                <w:sz w:val="18"/>
              </w:rPr>
              <w:t>1.50</w:t>
            </w:r>
          </w:p>
        </w:tc>
        <w:tc>
          <w:tcPr>
            <w:tcW w:type="dxa" w:w="864"/>
            <w:shd w:fill="FFFFFF"/>
            <w:tcMar>
              <w:top w:w="90" w:type="dxa"/>
              <w:bottom w:w="90" w:type="dxa"/>
              <w:left w:w="140" w:type="dxa"/>
              <w:right w:w="140" w:type="dxa"/>
            </w:tcMar>
          </w:tcPr>
          <w:p>
            <w:pPr>
              <w:jc w:val="left"/>
            </w:pPr>
            <w:r>
              <w:rPr>
                <w:color w:val="222222"/>
                <w:sz w:val="18"/>
              </w:rPr>
              <w:t>1.55</w:t>
            </w:r>
          </w:p>
        </w:tc>
        <w:tc>
          <w:tcPr>
            <w:tcW w:type="dxa" w:w="864"/>
            <w:shd w:fill="FFFFFF"/>
            <w:tcMar>
              <w:top w:w="90" w:type="dxa"/>
              <w:bottom w:w="90" w:type="dxa"/>
              <w:left w:w="140" w:type="dxa"/>
              <w:right w:w="140" w:type="dxa"/>
            </w:tcMar>
          </w:tcPr>
          <w:p>
            <w:pPr>
              <w:jc w:val="left"/>
            </w:pPr>
            <w:r>
              <w:rPr>
                <w:color w:val="222222"/>
                <w:sz w:val="18"/>
              </w:rPr>
              <w:t>1.60</w:t>
            </w:r>
          </w:p>
        </w:tc>
        <w:tc>
          <w:tcPr>
            <w:tcW w:type="dxa" w:w="864"/>
            <w:shd w:fill="FFFFFF"/>
            <w:tcMar>
              <w:top w:w="90" w:type="dxa"/>
              <w:bottom w:w="90" w:type="dxa"/>
              <w:left w:w="140" w:type="dxa"/>
              <w:right w:w="140" w:type="dxa"/>
            </w:tcMar>
          </w:tcPr>
          <w:p>
            <w:pPr>
              <w:jc w:val="left"/>
            </w:pPr>
            <w:r>
              <w:rPr>
                <w:color w:val="222222"/>
                <w:sz w:val="18"/>
              </w:rPr>
              <w:t>1.92</w:t>
            </w:r>
          </w:p>
        </w:tc>
        <w:tc>
          <w:tcPr>
            <w:tcW w:type="dxa" w:w="1872"/>
            <w:shd w:fill="FFFFFF"/>
            <w:tcMar>
              <w:top w:w="90" w:type="dxa"/>
              <w:bottom w:w="90" w:type="dxa"/>
              <w:left w:w="140" w:type="dxa"/>
              <w:right w:w="140" w:type="dxa"/>
            </w:tcMar>
          </w:tcPr>
          <w:p>
            <w:pPr>
              <w:jc w:val="left"/>
            </w:pPr>
            <w:r>
              <w:rPr>
                <w:color w:val="222222"/>
                <w:sz w:val="18"/>
              </w:rPr>
              <w:t>Stature scaling</w:t>
            </w:r>
          </w:p>
        </w:tc>
      </w:tr>
      <w:tr>
        <w:tc>
          <w:tcPr>
            <w:tcW w:type="dxa" w:w="2592"/>
            <w:shd w:fill="F4F7FA"/>
            <w:tcMar>
              <w:top w:w="90" w:type="dxa"/>
              <w:bottom w:w="90" w:type="dxa"/>
              <w:left w:w="140" w:type="dxa"/>
              <w:right w:w="140" w:type="dxa"/>
            </w:tcMar>
          </w:tcPr>
          <w:p>
            <w:pPr>
              <w:jc w:val="left"/>
            </w:pPr>
            <w:r>
              <w:rPr>
                <w:color w:val="222222"/>
                <w:sz w:val="18"/>
              </w:rPr>
              <w:t>BMI (kg/m²)</w:t>
            </w:r>
          </w:p>
        </w:tc>
        <w:tc>
          <w:tcPr>
            <w:tcW w:type="dxa" w:w="864"/>
            <w:shd w:fill="F4F7FA"/>
            <w:tcMar>
              <w:top w:w="90" w:type="dxa"/>
              <w:bottom w:w="90" w:type="dxa"/>
              <w:left w:w="140" w:type="dxa"/>
              <w:right w:w="140" w:type="dxa"/>
            </w:tcMar>
          </w:tcPr>
          <w:p>
            <w:pPr>
              <w:jc w:val="left"/>
            </w:pPr>
            <w:r>
              <w:rPr>
                <w:color w:val="222222"/>
                <w:sz w:val="18"/>
              </w:rPr>
              <w:t>22.31</w:t>
            </w:r>
          </w:p>
        </w:tc>
        <w:tc>
          <w:tcPr>
            <w:tcW w:type="dxa" w:w="864"/>
            <w:shd w:fill="F4F7FA"/>
            <w:tcMar>
              <w:top w:w="90" w:type="dxa"/>
              <w:bottom w:w="90" w:type="dxa"/>
              <w:left w:w="140" w:type="dxa"/>
              <w:right w:w="140" w:type="dxa"/>
            </w:tcMar>
          </w:tcPr>
          <w:p>
            <w:pPr>
              <w:jc w:val="left"/>
            </w:pPr>
            <w:r>
              <w:rPr>
                <w:color w:val="222222"/>
                <w:sz w:val="18"/>
              </w:rPr>
              <w:t>4.06</w:t>
            </w:r>
          </w:p>
        </w:tc>
        <w:tc>
          <w:tcPr>
            <w:tcW w:type="dxa" w:w="864"/>
            <w:shd w:fill="F4F7FA"/>
            <w:tcMar>
              <w:top w:w="90" w:type="dxa"/>
              <w:bottom w:w="90" w:type="dxa"/>
              <w:left w:w="140" w:type="dxa"/>
              <w:right w:w="140" w:type="dxa"/>
            </w:tcMar>
          </w:tcPr>
          <w:p>
            <w:pPr>
              <w:jc w:val="left"/>
            </w:pPr>
            <w:r>
              <w:rPr>
                <w:color w:val="222222"/>
                <w:sz w:val="18"/>
              </w:rPr>
              <w:t>10.02</w:t>
            </w:r>
          </w:p>
        </w:tc>
        <w:tc>
          <w:tcPr>
            <w:tcW w:type="dxa" w:w="864"/>
            <w:shd w:fill="F4F7FA"/>
            <w:tcMar>
              <w:top w:w="90" w:type="dxa"/>
              <w:bottom w:w="90" w:type="dxa"/>
              <w:left w:w="140" w:type="dxa"/>
              <w:right w:w="140" w:type="dxa"/>
            </w:tcMar>
          </w:tcPr>
          <w:p>
            <w:pPr>
              <w:jc w:val="left"/>
            </w:pPr>
            <w:r>
              <w:rPr>
                <w:color w:val="222222"/>
                <w:sz w:val="18"/>
              </w:rPr>
              <w:t>19.53</w:t>
            </w:r>
          </w:p>
        </w:tc>
        <w:tc>
          <w:tcPr>
            <w:tcW w:type="dxa" w:w="864"/>
            <w:shd w:fill="F4F7FA"/>
            <w:tcMar>
              <w:top w:w="90" w:type="dxa"/>
              <w:bottom w:w="90" w:type="dxa"/>
              <w:left w:w="140" w:type="dxa"/>
              <w:right w:w="140" w:type="dxa"/>
            </w:tcMar>
          </w:tcPr>
          <w:p>
            <w:pPr>
              <w:jc w:val="left"/>
            </w:pPr>
            <w:r>
              <w:rPr>
                <w:color w:val="222222"/>
                <w:sz w:val="18"/>
              </w:rPr>
              <w:t>21.93</w:t>
            </w:r>
          </w:p>
        </w:tc>
        <w:tc>
          <w:tcPr>
            <w:tcW w:type="dxa" w:w="864"/>
            <w:shd w:fill="F4F7FA"/>
            <w:tcMar>
              <w:top w:w="90" w:type="dxa"/>
              <w:bottom w:w="90" w:type="dxa"/>
              <w:left w:w="140" w:type="dxa"/>
              <w:right w:w="140" w:type="dxa"/>
            </w:tcMar>
          </w:tcPr>
          <w:p>
            <w:pPr>
              <w:jc w:val="left"/>
            </w:pPr>
            <w:r>
              <w:rPr>
                <w:color w:val="222222"/>
                <w:sz w:val="18"/>
              </w:rPr>
              <w:t>24.69</w:t>
            </w:r>
          </w:p>
        </w:tc>
        <w:tc>
          <w:tcPr>
            <w:tcW w:type="dxa" w:w="864"/>
            <w:shd w:fill="F4F7FA"/>
            <w:tcMar>
              <w:top w:w="90" w:type="dxa"/>
              <w:bottom w:w="90" w:type="dxa"/>
              <w:left w:w="140" w:type="dxa"/>
              <w:right w:w="140" w:type="dxa"/>
            </w:tcMar>
          </w:tcPr>
          <w:p>
            <w:pPr>
              <w:jc w:val="left"/>
            </w:pPr>
            <w:r>
              <w:rPr>
                <w:color w:val="222222"/>
                <w:sz w:val="18"/>
              </w:rPr>
              <w:t>45.86</w:t>
            </w:r>
          </w:p>
        </w:tc>
        <w:tc>
          <w:tcPr>
            <w:tcW w:type="dxa" w:w="1872"/>
            <w:shd w:fill="F4F7FA"/>
            <w:tcMar>
              <w:top w:w="90" w:type="dxa"/>
              <w:bottom w:w="90" w:type="dxa"/>
              <w:left w:w="140" w:type="dxa"/>
              <w:right w:w="140" w:type="dxa"/>
            </w:tcMar>
          </w:tcPr>
          <w:p>
            <w:pPr>
              <w:jc w:val="left"/>
            </w:pPr>
            <w:r>
              <w:rPr>
                <w:color w:val="222222"/>
                <w:sz w:val="18"/>
              </w:rPr>
              <w:t>Adiposity index</w:t>
            </w:r>
          </w:p>
        </w:tc>
      </w:tr>
      <w:tr>
        <w:tc>
          <w:tcPr>
            <w:tcW w:type="dxa" w:w="2592"/>
            <w:shd w:fill="FFFFFF"/>
            <w:tcMar>
              <w:top w:w="90" w:type="dxa"/>
              <w:bottom w:w="90" w:type="dxa"/>
              <w:left w:w="140" w:type="dxa"/>
              <w:right w:w="140" w:type="dxa"/>
            </w:tcMar>
          </w:tcPr>
          <w:p>
            <w:pPr>
              <w:jc w:val="left"/>
            </w:pPr>
            <w:r>
              <w:rPr>
                <w:color w:val="222222"/>
                <w:sz w:val="18"/>
              </w:rPr>
              <w:t>Systolic BP (mmHg)</w:t>
            </w:r>
          </w:p>
        </w:tc>
        <w:tc>
          <w:tcPr>
            <w:tcW w:type="dxa" w:w="864"/>
            <w:shd w:fill="FFFFFF"/>
            <w:tcMar>
              <w:top w:w="90" w:type="dxa"/>
              <w:bottom w:w="90" w:type="dxa"/>
              <w:left w:w="140" w:type="dxa"/>
              <w:right w:w="140" w:type="dxa"/>
            </w:tcMar>
          </w:tcPr>
          <w:p>
            <w:pPr>
              <w:jc w:val="left"/>
            </w:pPr>
            <w:r>
              <w:rPr>
                <w:color w:val="222222"/>
                <w:sz w:val="18"/>
              </w:rPr>
              <w:t>134.53</w:t>
            </w:r>
          </w:p>
        </w:tc>
        <w:tc>
          <w:tcPr>
            <w:tcW w:type="dxa" w:w="864"/>
            <w:shd w:fill="FFFFFF"/>
            <w:tcMar>
              <w:top w:w="90" w:type="dxa"/>
              <w:bottom w:w="90" w:type="dxa"/>
              <w:left w:w="140" w:type="dxa"/>
              <w:right w:w="140" w:type="dxa"/>
            </w:tcMar>
          </w:tcPr>
          <w:p>
            <w:pPr>
              <w:jc w:val="left"/>
            </w:pPr>
            <w:r>
              <w:rPr>
                <w:color w:val="222222"/>
                <w:sz w:val="18"/>
              </w:rPr>
              <w:t>22.16</w:t>
            </w:r>
          </w:p>
        </w:tc>
        <w:tc>
          <w:tcPr>
            <w:tcW w:type="dxa" w:w="864"/>
            <w:shd w:fill="FFFFFF"/>
            <w:tcMar>
              <w:top w:w="90" w:type="dxa"/>
              <w:bottom w:w="90" w:type="dxa"/>
              <w:left w:w="140" w:type="dxa"/>
              <w:right w:w="140" w:type="dxa"/>
            </w:tcMar>
          </w:tcPr>
          <w:p>
            <w:pPr>
              <w:jc w:val="left"/>
            </w:pPr>
            <w:r>
              <w:rPr>
                <w:color w:val="222222"/>
                <w:sz w:val="18"/>
              </w:rPr>
              <w:t>86.00</w:t>
            </w:r>
          </w:p>
        </w:tc>
        <w:tc>
          <w:tcPr>
            <w:tcW w:type="dxa" w:w="864"/>
            <w:shd w:fill="FFFFFF"/>
            <w:tcMar>
              <w:top w:w="90" w:type="dxa"/>
              <w:bottom w:w="90" w:type="dxa"/>
              <w:left w:w="140" w:type="dxa"/>
              <w:right w:w="140" w:type="dxa"/>
            </w:tcMar>
          </w:tcPr>
          <w:p>
            <w:pPr>
              <w:jc w:val="left"/>
            </w:pPr>
            <w:r>
              <w:rPr>
                <w:color w:val="222222"/>
                <w:sz w:val="18"/>
              </w:rPr>
              <w:t>120.00</w:t>
            </w:r>
          </w:p>
        </w:tc>
        <w:tc>
          <w:tcPr>
            <w:tcW w:type="dxa" w:w="864"/>
            <w:shd w:fill="FFFFFF"/>
            <w:tcMar>
              <w:top w:w="90" w:type="dxa"/>
              <w:bottom w:w="90" w:type="dxa"/>
              <w:left w:w="140" w:type="dxa"/>
              <w:right w:w="140" w:type="dxa"/>
            </w:tcMar>
          </w:tcPr>
          <w:p>
            <w:pPr>
              <w:jc w:val="left"/>
            </w:pPr>
            <w:r>
              <w:rPr>
                <w:color w:val="222222"/>
                <w:sz w:val="18"/>
              </w:rPr>
              <w:t>130.00</w:t>
            </w:r>
          </w:p>
        </w:tc>
        <w:tc>
          <w:tcPr>
            <w:tcW w:type="dxa" w:w="864"/>
            <w:shd w:fill="FFFFFF"/>
            <w:tcMar>
              <w:top w:w="90" w:type="dxa"/>
              <w:bottom w:w="90" w:type="dxa"/>
              <w:left w:w="140" w:type="dxa"/>
              <w:right w:w="140" w:type="dxa"/>
            </w:tcMar>
          </w:tcPr>
          <w:p>
            <w:pPr>
              <w:jc w:val="left"/>
            </w:pPr>
            <w:r>
              <w:rPr>
                <w:color w:val="222222"/>
                <w:sz w:val="18"/>
              </w:rPr>
              <w:t>147.00</w:t>
            </w:r>
          </w:p>
        </w:tc>
        <w:tc>
          <w:tcPr>
            <w:tcW w:type="dxa" w:w="864"/>
            <w:shd w:fill="FFFFFF"/>
            <w:tcMar>
              <w:top w:w="90" w:type="dxa"/>
              <w:bottom w:w="90" w:type="dxa"/>
              <w:left w:w="140" w:type="dxa"/>
              <w:right w:w="140" w:type="dxa"/>
            </w:tcMar>
          </w:tcPr>
          <w:p>
            <w:pPr>
              <w:jc w:val="left"/>
            </w:pPr>
            <w:r>
              <w:rPr>
                <w:color w:val="222222"/>
                <w:sz w:val="18"/>
              </w:rPr>
              <w:t>226.00</w:t>
            </w:r>
          </w:p>
        </w:tc>
        <w:tc>
          <w:tcPr>
            <w:tcW w:type="dxa" w:w="1872"/>
            <w:shd w:fill="FFFFFF"/>
            <w:tcMar>
              <w:top w:w="90" w:type="dxa"/>
              <w:bottom w:w="90" w:type="dxa"/>
              <w:left w:w="140" w:type="dxa"/>
              <w:right w:w="140" w:type="dxa"/>
            </w:tcMar>
          </w:tcPr>
          <w:p>
            <w:pPr>
              <w:jc w:val="left"/>
            </w:pPr>
            <w:r>
              <w:rPr>
                <w:color w:val="222222"/>
                <w:sz w:val="18"/>
              </w:rPr>
              <w:t>Arterial systolic load</w:t>
            </w:r>
          </w:p>
        </w:tc>
      </w:tr>
      <w:tr>
        <w:tc>
          <w:tcPr>
            <w:tcW w:type="dxa" w:w="2592"/>
            <w:shd w:fill="F4F7FA"/>
            <w:tcMar>
              <w:top w:w="90" w:type="dxa"/>
              <w:bottom w:w="90" w:type="dxa"/>
              <w:left w:w="140" w:type="dxa"/>
              <w:right w:w="140" w:type="dxa"/>
            </w:tcMar>
          </w:tcPr>
          <w:p>
            <w:pPr>
              <w:jc w:val="left"/>
            </w:pPr>
            <w:r>
              <w:rPr>
                <w:color w:val="222222"/>
                <w:sz w:val="18"/>
              </w:rPr>
              <w:t>Diastolic BP (mmHg)</w:t>
            </w:r>
          </w:p>
        </w:tc>
        <w:tc>
          <w:tcPr>
            <w:tcW w:type="dxa" w:w="864"/>
            <w:shd w:fill="F4F7FA"/>
            <w:tcMar>
              <w:top w:w="90" w:type="dxa"/>
              <w:bottom w:w="90" w:type="dxa"/>
              <w:left w:w="140" w:type="dxa"/>
              <w:right w:w="140" w:type="dxa"/>
            </w:tcMar>
          </w:tcPr>
          <w:p>
            <w:pPr>
              <w:jc w:val="left"/>
            </w:pPr>
            <w:r>
              <w:rPr>
                <w:color w:val="222222"/>
                <w:sz w:val="18"/>
              </w:rPr>
              <w:t>82.07</w:t>
            </w:r>
          </w:p>
        </w:tc>
        <w:tc>
          <w:tcPr>
            <w:tcW w:type="dxa" w:w="864"/>
            <w:shd w:fill="F4F7FA"/>
            <w:tcMar>
              <w:top w:w="90" w:type="dxa"/>
              <w:bottom w:w="90" w:type="dxa"/>
              <w:left w:w="140" w:type="dxa"/>
              <w:right w:w="140" w:type="dxa"/>
            </w:tcMar>
          </w:tcPr>
          <w:p>
            <w:pPr>
              <w:jc w:val="left"/>
            </w:pPr>
            <w:r>
              <w:rPr>
                <w:color w:val="222222"/>
                <w:sz w:val="18"/>
              </w:rPr>
              <w:t>12.54</w:t>
            </w:r>
          </w:p>
        </w:tc>
        <w:tc>
          <w:tcPr>
            <w:tcW w:type="dxa" w:w="864"/>
            <w:shd w:fill="F4F7FA"/>
            <w:tcMar>
              <w:top w:w="90" w:type="dxa"/>
              <w:bottom w:w="90" w:type="dxa"/>
              <w:left w:w="140" w:type="dxa"/>
              <w:right w:w="140" w:type="dxa"/>
            </w:tcMar>
          </w:tcPr>
          <w:p>
            <w:pPr>
              <w:jc w:val="left"/>
            </w:pPr>
            <w:r>
              <w:rPr>
                <w:color w:val="222222"/>
                <w:sz w:val="18"/>
              </w:rPr>
              <w:t>51.00</w:t>
            </w:r>
          </w:p>
        </w:tc>
        <w:tc>
          <w:tcPr>
            <w:tcW w:type="dxa" w:w="864"/>
            <w:shd w:fill="F4F7FA"/>
            <w:tcMar>
              <w:top w:w="90" w:type="dxa"/>
              <w:bottom w:w="90" w:type="dxa"/>
              <w:left w:w="140" w:type="dxa"/>
              <w:right w:w="140" w:type="dxa"/>
            </w:tcMar>
          </w:tcPr>
          <w:p>
            <w:pPr>
              <w:jc w:val="left"/>
            </w:pPr>
            <w:r>
              <w:rPr>
                <w:color w:val="222222"/>
                <w:sz w:val="18"/>
              </w:rPr>
              <w:t>73.00</w:t>
            </w:r>
          </w:p>
        </w:tc>
        <w:tc>
          <w:tcPr>
            <w:tcW w:type="dxa" w:w="864"/>
            <w:shd w:fill="F4F7FA"/>
            <w:tcMar>
              <w:top w:w="90" w:type="dxa"/>
              <w:bottom w:w="90" w:type="dxa"/>
              <w:left w:w="140" w:type="dxa"/>
              <w:right w:w="140" w:type="dxa"/>
            </w:tcMar>
          </w:tcPr>
          <w:p>
            <w:pPr>
              <w:jc w:val="left"/>
            </w:pPr>
            <w:r>
              <w:rPr>
                <w:color w:val="222222"/>
                <w:sz w:val="18"/>
              </w:rPr>
              <w:t>81.00</w:t>
            </w:r>
          </w:p>
        </w:tc>
        <w:tc>
          <w:tcPr>
            <w:tcW w:type="dxa" w:w="864"/>
            <w:shd w:fill="F4F7FA"/>
            <w:tcMar>
              <w:top w:w="90" w:type="dxa"/>
              <w:bottom w:w="90" w:type="dxa"/>
              <w:left w:w="140" w:type="dxa"/>
              <w:right w:w="140" w:type="dxa"/>
            </w:tcMar>
          </w:tcPr>
          <w:p>
            <w:pPr>
              <w:jc w:val="left"/>
            </w:pPr>
            <w:r>
              <w:rPr>
                <w:color w:val="222222"/>
                <w:sz w:val="18"/>
              </w:rPr>
              <w:t>90.00</w:t>
            </w:r>
          </w:p>
        </w:tc>
        <w:tc>
          <w:tcPr>
            <w:tcW w:type="dxa" w:w="864"/>
            <w:shd w:fill="F4F7FA"/>
            <w:tcMar>
              <w:top w:w="90" w:type="dxa"/>
              <w:bottom w:w="90" w:type="dxa"/>
              <w:left w:w="140" w:type="dxa"/>
              <w:right w:w="140" w:type="dxa"/>
            </w:tcMar>
          </w:tcPr>
          <w:p>
            <w:pPr>
              <w:jc w:val="left"/>
            </w:pPr>
            <w:r>
              <w:rPr>
                <w:color w:val="222222"/>
                <w:sz w:val="18"/>
              </w:rPr>
              <w:t>119.00</w:t>
            </w:r>
          </w:p>
        </w:tc>
        <w:tc>
          <w:tcPr>
            <w:tcW w:type="dxa" w:w="1872"/>
            <w:shd w:fill="F4F7FA"/>
            <w:tcMar>
              <w:top w:w="90" w:type="dxa"/>
              <w:bottom w:w="90" w:type="dxa"/>
              <w:left w:w="140" w:type="dxa"/>
              <w:right w:w="140" w:type="dxa"/>
            </w:tcMar>
          </w:tcPr>
          <w:p>
            <w:pPr>
              <w:jc w:val="left"/>
            </w:pPr>
            <w:r>
              <w:rPr>
                <w:color w:val="222222"/>
                <w:sz w:val="18"/>
              </w:rPr>
              <w:t>Peripheral resistance</w:t>
            </w:r>
          </w:p>
        </w:tc>
      </w:tr>
      <w:tr>
        <w:tc>
          <w:tcPr>
            <w:tcW w:type="dxa" w:w="2592"/>
            <w:shd w:fill="FFFFFF"/>
            <w:tcMar>
              <w:top w:w="90" w:type="dxa"/>
              <w:bottom w:w="90" w:type="dxa"/>
              <w:left w:w="140" w:type="dxa"/>
              <w:right w:w="140" w:type="dxa"/>
            </w:tcMar>
          </w:tcPr>
          <w:p>
            <w:pPr>
              <w:jc w:val="left"/>
            </w:pPr>
            <w:r>
              <w:rPr>
                <w:color w:val="222222"/>
                <w:sz w:val="18"/>
              </w:rPr>
              <w:t>HbA1c (%)</w:t>
            </w:r>
          </w:p>
        </w:tc>
        <w:tc>
          <w:tcPr>
            <w:tcW w:type="dxa" w:w="864"/>
            <w:shd w:fill="FFFFFF"/>
            <w:tcMar>
              <w:top w:w="90" w:type="dxa"/>
              <w:bottom w:w="90" w:type="dxa"/>
              <w:left w:w="140" w:type="dxa"/>
              <w:right w:w="140" w:type="dxa"/>
            </w:tcMar>
          </w:tcPr>
          <w:p>
            <w:pPr>
              <w:jc w:val="left"/>
            </w:pPr>
            <w:r>
              <w:rPr>
                <w:color w:val="222222"/>
                <w:sz w:val="18"/>
              </w:rPr>
              <w:t>6.05</w:t>
            </w:r>
          </w:p>
        </w:tc>
        <w:tc>
          <w:tcPr>
            <w:tcW w:type="dxa" w:w="864"/>
            <w:shd w:fill="FFFFFF"/>
            <w:tcMar>
              <w:top w:w="90" w:type="dxa"/>
              <w:bottom w:w="90" w:type="dxa"/>
              <w:left w:w="140" w:type="dxa"/>
              <w:right w:w="140" w:type="dxa"/>
            </w:tcMar>
          </w:tcPr>
          <w:p>
            <w:pPr>
              <w:jc w:val="left"/>
            </w:pPr>
            <w:r>
              <w:rPr>
                <w:color w:val="222222"/>
                <w:sz w:val="18"/>
              </w:rPr>
              <w:t>1.14</w:t>
            </w:r>
          </w:p>
        </w:tc>
        <w:tc>
          <w:tcPr>
            <w:tcW w:type="dxa" w:w="864"/>
            <w:shd w:fill="FFFFFF"/>
            <w:tcMar>
              <w:top w:w="90" w:type="dxa"/>
              <w:bottom w:w="90" w:type="dxa"/>
              <w:left w:w="140" w:type="dxa"/>
              <w:right w:w="140" w:type="dxa"/>
            </w:tcMar>
          </w:tcPr>
          <w:p>
            <w:pPr>
              <w:jc w:val="left"/>
            </w:pPr>
            <w:r>
              <w:rPr>
                <w:color w:val="222222"/>
                <w:sz w:val="18"/>
              </w:rPr>
              <w:t>4.50</w:t>
            </w:r>
          </w:p>
        </w:tc>
        <w:tc>
          <w:tcPr>
            <w:tcW w:type="dxa" w:w="864"/>
            <w:shd w:fill="FFFFFF"/>
            <w:tcMar>
              <w:top w:w="90" w:type="dxa"/>
              <w:bottom w:w="90" w:type="dxa"/>
              <w:left w:w="140" w:type="dxa"/>
              <w:right w:w="140" w:type="dxa"/>
            </w:tcMar>
          </w:tcPr>
          <w:p>
            <w:pPr>
              <w:jc w:val="left"/>
            </w:pPr>
            <w:r>
              <w:rPr>
                <w:color w:val="222222"/>
                <w:sz w:val="18"/>
              </w:rPr>
              <w:t>5.12</w:t>
            </w:r>
          </w:p>
        </w:tc>
        <w:tc>
          <w:tcPr>
            <w:tcW w:type="dxa" w:w="864"/>
            <w:shd w:fill="FFFFFF"/>
            <w:tcMar>
              <w:top w:w="90" w:type="dxa"/>
              <w:bottom w:w="90" w:type="dxa"/>
              <w:left w:w="140" w:type="dxa"/>
              <w:right w:w="140" w:type="dxa"/>
            </w:tcMar>
          </w:tcPr>
          <w:p>
            <w:pPr>
              <w:jc w:val="left"/>
            </w:pPr>
            <w:r>
              <w:rPr>
                <w:color w:val="222222"/>
                <w:sz w:val="18"/>
              </w:rPr>
              <w:t>5.90</w:t>
            </w:r>
          </w:p>
        </w:tc>
        <w:tc>
          <w:tcPr>
            <w:tcW w:type="dxa" w:w="864"/>
            <w:shd w:fill="FFFFFF"/>
            <w:tcMar>
              <w:top w:w="90" w:type="dxa"/>
              <w:bottom w:w="90" w:type="dxa"/>
              <w:left w:w="140" w:type="dxa"/>
              <w:right w:w="140" w:type="dxa"/>
            </w:tcMar>
          </w:tcPr>
          <w:p>
            <w:pPr>
              <w:jc w:val="left"/>
            </w:pPr>
            <w:r>
              <w:rPr>
                <w:color w:val="222222"/>
                <w:sz w:val="18"/>
              </w:rPr>
              <w:t>6.40</w:t>
            </w:r>
          </w:p>
        </w:tc>
        <w:tc>
          <w:tcPr>
            <w:tcW w:type="dxa" w:w="864"/>
            <w:shd w:fill="FFFFFF"/>
            <w:tcMar>
              <w:top w:w="90" w:type="dxa"/>
              <w:bottom w:w="90" w:type="dxa"/>
              <w:left w:w="140" w:type="dxa"/>
              <w:right w:w="140" w:type="dxa"/>
            </w:tcMar>
          </w:tcPr>
          <w:p>
            <w:pPr>
              <w:jc w:val="left"/>
            </w:pPr>
            <w:r>
              <w:rPr>
                <w:color w:val="222222"/>
                <w:sz w:val="18"/>
              </w:rPr>
              <w:t>9.00</w:t>
            </w:r>
          </w:p>
        </w:tc>
        <w:tc>
          <w:tcPr>
            <w:tcW w:type="dxa" w:w="1872"/>
            <w:shd w:fill="FFFFFF"/>
            <w:tcMar>
              <w:top w:w="90" w:type="dxa"/>
              <w:bottom w:w="90" w:type="dxa"/>
              <w:left w:w="140" w:type="dxa"/>
              <w:right w:w="140" w:type="dxa"/>
            </w:tcMar>
          </w:tcPr>
          <w:p>
            <w:pPr>
              <w:jc w:val="left"/>
            </w:pPr>
            <w:r>
              <w:rPr>
                <w:color w:val="222222"/>
                <w:sz w:val="18"/>
              </w:rPr>
              <w:t>Chronic glycemic control</w:t>
            </w:r>
          </w:p>
        </w:tc>
      </w:tr>
    </w:tbl>
    <w:p/>
    <w:p>
      <w:pPr>
        <w:keepNext/>
        <w:spacing w:before="280" w:after="120"/>
      </w:pPr>
      <w:r>
        <w:rPr>
          <w:rFonts w:ascii="Arial" w:hAnsi="Arial"/>
          <w:b/>
          <w:color w:val="2B547E"/>
          <w:sz w:val="26"/>
        </w:rPr>
        <w:t>2.1 Class Imbalance &amp; Loss Weighting Strategy</w:t>
      </w:r>
    </w:p>
    <w:p>
      <w:r>
        <w:t>The 1,898 records exhibit class frequencies of 817 Low Risk (43.05%), 608 Medium Risk (32.03%), and 473 High Risk (24.92%). If unweighted, standard Cross-Entropy loss gradients would bias toward the majority class (Low Risk), decreasing sensitivity on High Risk diabetic patients. To achieve balanced sensitivity across all tiers, balanced class weights were calculated via inverse class frequencies:</w:t>
      </w:r>
    </w:p>
    <w:p>
      <w:r>
        <w:rPr>
          <w:b/>
          <w:color w:val="1B365D"/>
        </w:rPr>
        <w:t>W_c = N / (K · N_c)</w:t>
        <w:br/>
        <w:t>W_Low = 1898 / (3 · 817) = 0.7744</w:t>
        <w:br/>
        <w:t>W_Medium = 1898 / (3 · 608) = 1.0406</w:t>
        <w:br/>
        <w:t>W_High = 1898 / (3 · 473) = 1.3376</w:t>
      </w:r>
    </w:p>
    <w:p>
      <w:r>
        <w:t>These weights were passed directly into the PyTorch CrossEntropyLoss criterion, penalizing errors on High Risk patients 1.73x more heavily than Low Risk patients.</w:t>
      </w:r>
    </w:p>
    <w:p>
      <w:pPr>
        <w:spacing w:before="160" w:after="80"/>
        <w:jc w:val="center"/>
      </w:pPr>
      <w:r>
        <w:drawing>
          <wp:inline xmlns:a="http://schemas.openxmlformats.org/drawingml/2006/main" xmlns:pic="http://schemas.openxmlformats.org/drawingml/2006/picture">
            <wp:extent cx="5669280" cy="4454434"/>
            <wp:docPr id="2" name="Picture 2"/>
            <wp:cNvGraphicFramePr>
              <a:graphicFrameLocks noChangeAspect="1"/>
            </wp:cNvGraphicFramePr>
            <a:graphic>
              <a:graphicData uri="http://schemas.openxmlformats.org/drawingml/2006/picture">
                <pic:pic>
                  <pic:nvPicPr>
                    <pic:cNvPr id="0" name="fig1_dataset_distributions.png"/>
                    <pic:cNvPicPr/>
                  </pic:nvPicPr>
                  <pic:blipFill>
                    <a:blip r:embed="rId12"/>
                    <a:stretch>
                      <a:fillRect/>
                    </a:stretch>
                  </pic:blipFill>
                  <pic:spPr>
                    <a:xfrm>
                      <a:off x="0" y="0"/>
                      <a:ext cx="5669280" cy="4454434"/>
                    </a:xfrm>
                    <a:prstGeom prst="rect"/>
                  </pic:spPr>
                </pic:pic>
              </a:graphicData>
            </a:graphic>
          </wp:inline>
        </w:drawing>
      </w:r>
    </w:p>
    <w:p>
      <w:pPr>
        <w:spacing w:after="240"/>
        <w:jc w:val="center"/>
      </w:pPr>
      <w:r>
        <w:rPr>
          <w:i/>
          <w:color w:val="64748B"/>
          <w:sz w:val="18"/>
        </w:rPr>
        <w:t>Figure 2.1: Dataset Exploration — (A) Class Prevalence, (B) HbA1c Stratification, (C) Fasting Blood Glucose, (D) Age vs BMI.</w:t>
      </w:r>
    </w:p>
    <w:p>
      <w:pPr>
        <w:keepNext/>
        <w:spacing w:before="400" w:after="160"/>
      </w:pPr>
      <w:r>
        <w:rPr>
          <w:rFonts w:ascii="Arial" w:hAnsi="Arial"/>
          <w:b/>
          <w:color w:val="1B365D"/>
          <w:sz w:val="34"/>
        </w:rPr>
        <w:t>Phase 3: Advanced Clinical &amp; Physiological Feature Engineering</w:t>
      </w:r>
    </w:p>
    <w:p>
      <w:r>
        <w:t>To provide the neural network with explicit domain knowledge regarding cardiovascular and metabolic dynamics, four physiological features were mathematically synthesized from the raw measurements, expanding the input manifold from 9 to 13 dimensions:</w:t>
      </w:r>
    </w:p>
    <w:p>
      <w:pPr>
        <w:keepNext/>
        <w:spacing w:before="280" w:after="120"/>
      </w:pPr>
      <w:r>
        <w:rPr>
          <w:rFonts w:ascii="Arial" w:hAnsi="Arial"/>
          <w:b/>
          <w:color w:val="2B547E"/>
          <w:sz w:val="26"/>
        </w:rPr>
        <w:t>3.1 Mean Arterial Pressure (MAP)</w:t>
      </w:r>
    </w:p>
    <w:p>
      <w:r>
        <w:t>Mean Arterial Pressure represents the steady perfusion pressure driving blood through capillary networks to vital organs. Because the cardiac ventricles spend approximately 60–65% of the cardiac cycle in diastole and 35–40% in systole at rest, simple arithmetic averaging underestimates peripheral vascular load. MAP is derived using the standard physiological integration:</w:t>
      </w:r>
    </w:p>
    <w:p>
      <w:r>
        <w:rPr>
          <w:b/>
        </w:rPr>
        <w:t>MAP = Diastolic BP + (Systolic BP - Diastolic BP) / 3.0</w:t>
      </w:r>
    </w:p>
    <w:p>
      <w:r>
        <w:t>Cohort Mean: 99.71 ± 14.78 mmHg. Normal resting MAP ranges between 70 and 100 mmHg; values &gt; 105 mmHg signify systemic hypertension.</w:t>
      </w:r>
    </w:p>
    <w:p>
      <w:pPr>
        <w:keepNext/>
        <w:spacing w:before="280" w:after="120"/>
      </w:pPr>
      <w:r>
        <w:rPr>
          <w:rFonts w:ascii="Arial" w:hAnsi="Arial"/>
          <w:b/>
          <w:color w:val="2B547E"/>
          <w:sz w:val="26"/>
        </w:rPr>
        <w:t>3.2 Pulse Pressure (PP)</w:t>
      </w:r>
    </w:p>
    <w:p>
      <w:r>
        <w:t>Pulse Pressure is the amplitude of the arterial pressure oscillation during each heartbeat. As patients develop vascular stiffening from accelerated advanced glycation end-products (AGEs) cross-linking collagen in the arterial media, aortic compliance drops, driving up SBP and lowering DBP:</w:t>
      </w:r>
    </w:p>
    <w:p>
      <w:r>
        <w:rPr>
          <w:b/>
        </w:rPr>
        <w:t>Pulse Pressure = Systolic BP - Diastolic BP</w:t>
      </w:r>
    </w:p>
    <w:p>
      <w:r>
        <w:t>Cohort Mean: 52.35 ± 15.63 mmHg. Pulse pressure &gt; 60 mmHg is an independent predictor of microvascular renal disease and coronary events.</w:t>
      </w:r>
    </w:p>
    <w:p>
      <w:pPr>
        <w:keepNext/>
        <w:spacing w:before="280" w:after="120"/>
      </w:pPr>
      <w:r>
        <w:rPr>
          <w:rFonts w:ascii="Arial" w:hAnsi="Arial"/>
          <w:b/>
          <w:color w:val="2B547E"/>
          <w:sz w:val="26"/>
        </w:rPr>
        <w:t>3.3 Glucose-to-HbA1c Ratio</w:t>
      </w:r>
    </w:p>
    <w:p>
      <w:r>
        <w:t>Captures acute-to-chronic glycemic decoupling. In stable patients, fasting glucose and HbA1c correlate closely along a predictable line. In decompensating diabetes, acute hepatic glucose output surges out of proportion to glycated hemoglobin:</w:t>
      </w:r>
    </w:p>
    <w:p>
      <w:r>
        <w:rPr>
          <w:b/>
        </w:rPr>
        <w:t>Glucose-HbA1c Ratio = Glucose / (HbA1c + 10⁻⁵)</w:t>
      </w:r>
    </w:p>
    <w:p>
      <w:r>
        <w:t>Cohort Mean: 23.39 ± 10.09. Small epsilon (1e-5) prevents numerical division-by-zero instability.</w:t>
      </w:r>
    </w:p>
    <w:p>
      <w:pPr>
        <w:keepNext/>
        <w:spacing w:before="280" w:after="120"/>
      </w:pPr>
      <w:r>
        <w:rPr>
          <w:rFonts w:ascii="Arial" w:hAnsi="Arial"/>
          <w:b/>
          <w:color w:val="2B547E"/>
          <w:sz w:val="26"/>
        </w:rPr>
        <w:t>3.4 Metabolic Risk Index</w:t>
      </w:r>
    </w:p>
    <w:p>
      <w:r>
        <w:t>Reflects the compound duration of adiposity-driven insulin resistance. Excess visceral adiposity causes chronic low-grade inflammation and non-esterified fatty acid (NEFA) release, impairing GLUT4 glucose transporter translocation in skeletal muscle over decades of life:</w:t>
      </w:r>
    </w:p>
    <w:p>
      <w:r>
        <w:rPr>
          <w:b/>
        </w:rPr>
        <w:t>Metabolic Risk Index = (BMI × Age) / 100.0</w:t>
      </w:r>
    </w:p>
    <w:p>
      <w:r>
        <w:t>Cohort Mean: 10.24 ± 3.17. High values (&gt; 15.0) reflect severe compound cardiometabolic risk.</w:t>
      </w:r>
    </w:p>
    <w:p>
      <w:pPr>
        <w:spacing w:before="160" w:after="80"/>
        <w:jc w:val="center"/>
      </w:pPr>
      <w:r>
        <w:drawing>
          <wp:inline xmlns:a="http://schemas.openxmlformats.org/drawingml/2006/main" xmlns:pic="http://schemas.openxmlformats.org/drawingml/2006/picture">
            <wp:extent cx="5669280" cy="2480310"/>
            <wp:docPr id="3" name="Picture 3"/>
            <wp:cNvGraphicFramePr>
              <a:graphicFrameLocks noChangeAspect="1"/>
            </wp:cNvGraphicFramePr>
            <a:graphic>
              <a:graphicData uri="http://schemas.openxmlformats.org/drawingml/2006/picture">
                <pic:pic>
                  <pic:nvPicPr>
                    <pic:cNvPr id="0" name="fig2_feature_correlations.png"/>
                    <pic:cNvPicPr/>
                  </pic:nvPicPr>
                  <pic:blipFill>
                    <a:blip r:embed="rId13"/>
                    <a:stretch>
                      <a:fillRect/>
                    </a:stretch>
                  </pic:blipFill>
                  <pic:spPr>
                    <a:xfrm>
                      <a:off x="0" y="0"/>
                      <a:ext cx="5669280" cy="2480310"/>
                    </a:xfrm>
                    <a:prstGeom prst="rect"/>
                  </pic:spPr>
                </pic:pic>
              </a:graphicData>
            </a:graphic>
          </wp:inline>
        </w:drawing>
      </w:r>
    </w:p>
    <w:p>
      <w:pPr>
        <w:spacing w:after="240"/>
        <w:jc w:val="center"/>
      </w:pPr>
      <w:r>
        <w:rPr>
          <w:i/>
          <w:color w:val="64748B"/>
          <w:sz w:val="18"/>
        </w:rPr>
        <w:t>Figure 3.1: Clinical Feature Correlation Matrix &amp; Target Severity Association.</w:t>
      </w:r>
    </w:p>
    <w:p>
      <w:pPr>
        <w:keepNext/>
        <w:spacing w:before="400" w:after="160"/>
      </w:pPr>
      <w:r>
        <w:rPr>
          <w:rFonts w:ascii="Arial" w:hAnsi="Arial"/>
          <w:b/>
          <w:color w:val="1B365D"/>
          <w:sz w:val="34"/>
        </w:rPr>
        <w:t>Phase 4: Strict 3-Way Stratified Data Splitting &amp; Leakage Prevention</w:t>
      </w:r>
    </w:p>
    <w:p>
      <w:r>
        <w:t>A frequent defect in published medical machine learning models is data leakage, where preprocessing transformers or scalers are fitted across the entire dataset prior to splitting, leaking out-of-sample distribution parameters into training partitions.</w:t>
      </w:r>
    </w:p>
    <w:p>
      <w:r>
        <w:t>Our protocol enforces strict mathematical isolation:</w:t>
        <w:br/>
        <w:t>1. 3-Way Stratified Partitioning: 70% Training (1,328 records), 15% Validation (285 records), and 15% Test (285 records).</w:t>
        <w:br/>
        <w:t>2. Deterministic Seeding: Seed 42 applied across Python runtime, NumPy random generator, and PyTorch CPU/CUDA backends.</w:t>
        <w:br/>
        <w:t>3. Scaler Fitting Isolation: StandardScaler (z = (x - μ) / σ) was fitted exclusively on the 1,328 training samples. The resulting means and standard deviations were saved to deep_model_scaler.pkl and used unchanged on validation, test, and live production inputs.</w:t>
      </w:r>
    </w:p>
    <w:p>
      <w:pPr>
        <w:keepNext/>
        <w:spacing w:before="400" w:after="160"/>
      </w:pPr>
      <w:r>
        <w:rPr>
          <w:rFonts w:ascii="Arial" w:hAnsi="Arial"/>
          <w:b/>
          <w:color w:val="1B365D"/>
          <w:sz w:val="34"/>
        </w:rPr>
        <w:t>Phase 5: Deep Tabular ResNet (DiabetesTabularResNet) Architecture</w:t>
      </w:r>
    </w:p>
    <w:p>
      <w:r>
        <w:t>The core predictive engine is DiabetesTabularResNet, an adapted deep residual network for tabular manifolds. Unlike deep MLPs that suffer from vanishing gradients and representational collapse when stacked deeply on continuous numerical vectors, the Tabular Residual Block introduces an identity skip connection that bypasses two dense transformations:</w:t>
      </w:r>
    </w:p>
    <w:p>
      <w:r>
        <w:rPr>
          <w:b/>
        </w:rPr>
        <w:t>y = x + Drop₂(GELU(BN(W₂ · Drop₁(GELU(BN(W₁ · x))))))</w:t>
      </w:r>
    </w:p>
    <w:p>
      <w:r>
        <w:t>1. Latent Manifold Projection Layer:</w:t>
        <w:br/>
        <w:t>Maps the 13 normalized features into an overcomplete 128-dimensional latent space using Linear(13, 128) + BatchNorm1d + GELU.</w:t>
        <w:br/>
        <w:br/>
        <w:t>2. Stacked Tabular Residual Blocks (x2):</w:t>
        <w:br/>
        <w:t>Two sequential residual blocks refine the latent representations. Each block incorporates dual Linear(128, 128) transformations, Batch Normalization, GELU non-linearities, and asymmetric dropout (0.20 on the primary layer, 0.15 on the secondary layer). The identity skip connection adds the block's input directly to its output, allowing gradients to propagate unhindered.</w:t>
        <w:br/>
        <w:br/>
        <w:t>3. Multi-Stage Classifier Head:</w:t>
        <w:br/>
        <w:t>Compresses the 128-dimensional residual representation to 64 dimensions with intermediate Dropout (0.10) before projecting to the final 3 class logits.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1B365D"/>
            <w:tcMar>
              <w:top w:w="120" w:type="dxa"/>
              <w:bottom w:w="120" w:type="dxa"/>
              <w:left w:w="140" w:type="dxa"/>
              <w:right w:w="140" w:type="dxa"/>
            </w:tcMar>
          </w:tcPr>
          <w:p>
            <w:pPr>
              <w:jc w:val="left"/>
            </w:pPr>
            <w:r>
              <w:rPr>
                <w:b/>
                <w:color w:val="FFFFFF"/>
                <w:sz w:val="19"/>
              </w:rPr>
              <w:t>Stage</w:t>
            </w:r>
          </w:p>
        </w:tc>
        <w:tc>
          <w:tcPr>
            <w:tcW w:type="dxa" w:w="2016"/>
            <w:shd w:fill="1B365D"/>
            <w:tcMar>
              <w:top w:w="120" w:type="dxa"/>
              <w:bottom w:w="120" w:type="dxa"/>
              <w:left w:w="140" w:type="dxa"/>
              <w:right w:w="140" w:type="dxa"/>
            </w:tcMar>
          </w:tcPr>
          <w:p>
            <w:pPr>
              <w:jc w:val="left"/>
            </w:pPr>
            <w:r>
              <w:rPr>
                <w:b/>
                <w:color w:val="FFFFFF"/>
                <w:sz w:val="19"/>
              </w:rPr>
              <w:t>Tensor Shape</w:t>
            </w:r>
          </w:p>
        </w:tc>
        <w:tc>
          <w:tcPr>
            <w:tcW w:type="dxa" w:w="2592"/>
            <w:shd w:fill="1B365D"/>
            <w:tcMar>
              <w:top w:w="120" w:type="dxa"/>
              <w:bottom w:w="120" w:type="dxa"/>
              <w:left w:w="140" w:type="dxa"/>
              <w:right w:w="140" w:type="dxa"/>
            </w:tcMar>
          </w:tcPr>
          <w:p>
            <w:pPr>
              <w:jc w:val="left"/>
            </w:pPr>
            <w:r>
              <w:rPr>
                <w:b/>
                <w:color w:val="FFFFFF"/>
                <w:sz w:val="19"/>
              </w:rPr>
              <w:t>Functional Description</w:t>
            </w:r>
          </w:p>
        </w:tc>
        <w:tc>
          <w:tcPr>
            <w:tcW w:type="dxa" w:w="1872"/>
            <w:shd w:fill="1B365D"/>
            <w:tcMar>
              <w:top w:w="120" w:type="dxa"/>
              <w:bottom w:w="120" w:type="dxa"/>
              <w:left w:w="140" w:type="dxa"/>
              <w:right w:w="140" w:type="dxa"/>
            </w:tcMar>
          </w:tcPr>
          <w:p>
            <w:pPr>
              <w:jc w:val="left"/>
            </w:pPr>
            <w:r>
              <w:rPr>
                <w:b/>
                <w:color w:val="FFFFFF"/>
                <w:sz w:val="19"/>
              </w:rPr>
              <w:t>Activation / Regularization</w:t>
            </w:r>
          </w:p>
        </w:tc>
        <w:tc>
          <w:tcPr>
            <w:tcW w:type="dxa" w:w="720"/>
            <w:shd w:fill="1B365D"/>
            <w:tcMar>
              <w:top w:w="120" w:type="dxa"/>
              <w:bottom w:w="120" w:type="dxa"/>
              <w:left w:w="140" w:type="dxa"/>
              <w:right w:w="140" w:type="dxa"/>
            </w:tcMar>
          </w:tcPr>
          <w:p>
            <w:pPr>
              <w:jc w:val="left"/>
            </w:pPr>
            <w:r>
              <w:rPr>
                <w:b/>
                <w:color w:val="FFFFFF"/>
                <w:sz w:val="19"/>
              </w:rPr>
              <w:t>Params</w:t>
            </w:r>
          </w:p>
        </w:tc>
      </w:tr>
      <w:tr>
        <w:tc>
          <w:tcPr>
            <w:tcW w:type="dxa" w:w="2160"/>
            <w:shd w:fill="FFFFFF"/>
            <w:tcMar>
              <w:top w:w="90" w:type="dxa"/>
              <w:bottom w:w="90" w:type="dxa"/>
              <w:left w:w="140" w:type="dxa"/>
              <w:right w:w="140" w:type="dxa"/>
            </w:tcMar>
          </w:tcPr>
          <w:p>
            <w:pPr>
              <w:jc w:val="left"/>
            </w:pPr>
            <w:r>
              <w:rPr>
                <w:color w:val="222222"/>
                <w:sz w:val="18"/>
              </w:rPr>
              <w:t>1. Input Tensors</w:t>
            </w:r>
          </w:p>
        </w:tc>
        <w:tc>
          <w:tcPr>
            <w:tcW w:type="dxa" w:w="2016"/>
            <w:shd w:fill="FFFFFF"/>
            <w:tcMar>
              <w:top w:w="90" w:type="dxa"/>
              <w:bottom w:w="90" w:type="dxa"/>
              <w:left w:w="140" w:type="dxa"/>
              <w:right w:w="140" w:type="dxa"/>
            </w:tcMar>
          </w:tcPr>
          <w:p>
            <w:pPr>
              <w:jc w:val="left"/>
            </w:pPr>
            <w:r>
              <w:rPr>
                <w:color w:val="222222"/>
                <w:sz w:val="18"/>
              </w:rPr>
              <w:t>[Batch, 13]</w:t>
            </w:r>
          </w:p>
        </w:tc>
        <w:tc>
          <w:tcPr>
            <w:tcW w:type="dxa" w:w="2592"/>
            <w:shd w:fill="FFFFFF"/>
            <w:tcMar>
              <w:top w:w="90" w:type="dxa"/>
              <w:bottom w:w="90" w:type="dxa"/>
              <w:left w:w="140" w:type="dxa"/>
              <w:right w:w="140" w:type="dxa"/>
            </w:tcMar>
          </w:tcPr>
          <w:p>
            <w:pPr>
              <w:jc w:val="left"/>
            </w:pPr>
            <w:r>
              <w:rPr>
                <w:color w:val="222222"/>
                <w:sz w:val="18"/>
              </w:rPr>
              <w:t>13 normalized clinical features</w:t>
            </w:r>
          </w:p>
        </w:tc>
        <w:tc>
          <w:tcPr>
            <w:tcW w:type="dxa" w:w="1872"/>
            <w:shd w:fill="FFFFFF"/>
            <w:tcMar>
              <w:top w:w="90" w:type="dxa"/>
              <w:bottom w:w="90" w:type="dxa"/>
              <w:left w:w="140" w:type="dxa"/>
              <w:right w:w="140" w:type="dxa"/>
            </w:tcMar>
          </w:tcPr>
          <w:p>
            <w:pPr>
              <w:jc w:val="left"/>
            </w:pPr>
            <w:r>
              <w:rPr>
                <w:color w:val="222222"/>
                <w:sz w:val="18"/>
              </w:rPr>
              <w:t>None</w:t>
            </w:r>
          </w:p>
        </w:tc>
        <w:tc>
          <w:tcPr>
            <w:tcW w:type="dxa" w:w="720"/>
            <w:shd w:fill="FFFFFF"/>
            <w:tcMar>
              <w:top w:w="90" w:type="dxa"/>
              <w:bottom w:w="90" w:type="dxa"/>
              <w:left w:w="140" w:type="dxa"/>
              <w:right w:w="140" w:type="dxa"/>
            </w:tcMar>
          </w:tcPr>
          <w:p>
            <w:pPr>
              <w:jc w:val="left"/>
            </w:pPr>
            <w:r>
              <w:rPr>
                <w:color w:val="222222"/>
                <w:sz w:val="18"/>
              </w:rPr>
              <w:t>0</w:t>
            </w:r>
          </w:p>
        </w:tc>
      </w:tr>
      <w:tr>
        <w:tc>
          <w:tcPr>
            <w:tcW w:type="dxa" w:w="2160"/>
            <w:shd w:fill="F4F7FA"/>
            <w:tcMar>
              <w:top w:w="90" w:type="dxa"/>
              <w:bottom w:w="90" w:type="dxa"/>
              <w:left w:w="140" w:type="dxa"/>
              <w:right w:w="140" w:type="dxa"/>
            </w:tcMar>
          </w:tcPr>
          <w:p>
            <w:pPr>
              <w:jc w:val="left"/>
            </w:pPr>
            <w:r>
              <w:rPr>
                <w:color w:val="222222"/>
                <w:sz w:val="18"/>
              </w:rPr>
              <w:t>2. Input Projection</w:t>
            </w:r>
          </w:p>
        </w:tc>
        <w:tc>
          <w:tcPr>
            <w:tcW w:type="dxa" w:w="2016"/>
            <w:shd w:fill="F4F7FA"/>
            <w:tcMar>
              <w:top w:w="90" w:type="dxa"/>
              <w:bottom w:w="90" w:type="dxa"/>
              <w:left w:w="140" w:type="dxa"/>
              <w:right w:w="140" w:type="dxa"/>
            </w:tcMar>
          </w:tcPr>
          <w:p>
            <w:pPr>
              <w:jc w:val="left"/>
            </w:pPr>
            <w:r>
              <w:rPr>
                <w:color w:val="222222"/>
                <w:sz w:val="18"/>
              </w:rPr>
              <w:t>Linear(13 -&gt; 128)</w:t>
            </w:r>
          </w:p>
        </w:tc>
        <w:tc>
          <w:tcPr>
            <w:tcW w:type="dxa" w:w="2592"/>
            <w:shd w:fill="F4F7FA"/>
            <w:tcMar>
              <w:top w:w="90" w:type="dxa"/>
              <w:bottom w:w="90" w:type="dxa"/>
              <w:left w:w="140" w:type="dxa"/>
              <w:right w:w="140" w:type="dxa"/>
            </w:tcMar>
          </w:tcPr>
          <w:p>
            <w:pPr>
              <w:jc w:val="left"/>
            </w:pPr>
            <w:r>
              <w:rPr>
                <w:color w:val="222222"/>
                <w:sz w:val="18"/>
              </w:rPr>
              <w:t>Maps into 128-dim latent manifold</w:t>
            </w:r>
          </w:p>
        </w:tc>
        <w:tc>
          <w:tcPr>
            <w:tcW w:type="dxa" w:w="1872"/>
            <w:shd w:fill="F4F7FA"/>
            <w:tcMar>
              <w:top w:w="90" w:type="dxa"/>
              <w:bottom w:w="90" w:type="dxa"/>
              <w:left w:w="140" w:type="dxa"/>
              <w:right w:w="140" w:type="dxa"/>
            </w:tcMar>
          </w:tcPr>
          <w:p>
            <w:pPr>
              <w:jc w:val="left"/>
            </w:pPr>
            <w:r>
              <w:rPr>
                <w:color w:val="222222"/>
                <w:sz w:val="18"/>
              </w:rPr>
              <w:t>BatchNorm1d + GELU</w:t>
            </w:r>
          </w:p>
        </w:tc>
        <w:tc>
          <w:tcPr>
            <w:tcW w:type="dxa" w:w="720"/>
            <w:shd w:fill="F4F7FA"/>
            <w:tcMar>
              <w:top w:w="90" w:type="dxa"/>
              <w:bottom w:w="90" w:type="dxa"/>
              <w:left w:w="140" w:type="dxa"/>
              <w:right w:w="140" w:type="dxa"/>
            </w:tcMar>
          </w:tcPr>
          <w:p>
            <w:pPr>
              <w:jc w:val="left"/>
            </w:pPr>
            <w:r>
              <w:rPr>
                <w:color w:val="222222"/>
                <w:sz w:val="18"/>
              </w:rPr>
              <w:t>1,792</w:t>
            </w:r>
          </w:p>
        </w:tc>
      </w:tr>
      <w:tr>
        <w:tc>
          <w:tcPr>
            <w:tcW w:type="dxa" w:w="2160"/>
            <w:shd w:fill="FFFFFF"/>
            <w:tcMar>
              <w:top w:w="90" w:type="dxa"/>
              <w:bottom w:w="90" w:type="dxa"/>
              <w:left w:w="140" w:type="dxa"/>
              <w:right w:w="140" w:type="dxa"/>
            </w:tcMar>
          </w:tcPr>
          <w:p>
            <w:pPr>
              <w:jc w:val="left"/>
            </w:pPr>
            <w:r>
              <w:rPr>
                <w:color w:val="222222"/>
                <w:sz w:val="18"/>
              </w:rPr>
              <w:t>3. ResBlock 1 (Dense 1)</w:t>
            </w:r>
          </w:p>
        </w:tc>
        <w:tc>
          <w:tcPr>
            <w:tcW w:type="dxa" w:w="2016"/>
            <w:shd w:fill="FFFFFF"/>
            <w:tcMar>
              <w:top w:w="90" w:type="dxa"/>
              <w:bottom w:w="90" w:type="dxa"/>
              <w:left w:w="140" w:type="dxa"/>
              <w:right w:w="140" w:type="dxa"/>
            </w:tcMar>
          </w:tcPr>
          <w:p>
            <w:pPr>
              <w:jc w:val="left"/>
            </w:pPr>
            <w:r>
              <w:rPr>
                <w:color w:val="222222"/>
                <w:sz w:val="18"/>
              </w:rPr>
              <w:t>Linear(128 -&gt; 128)</w:t>
            </w:r>
          </w:p>
        </w:tc>
        <w:tc>
          <w:tcPr>
            <w:tcW w:type="dxa" w:w="2592"/>
            <w:shd w:fill="FFFFFF"/>
            <w:tcMar>
              <w:top w:w="90" w:type="dxa"/>
              <w:bottom w:w="90" w:type="dxa"/>
              <w:left w:w="140" w:type="dxa"/>
              <w:right w:w="140" w:type="dxa"/>
            </w:tcMar>
          </w:tcPr>
          <w:p>
            <w:pPr>
              <w:jc w:val="left"/>
            </w:pPr>
            <w:r>
              <w:rPr>
                <w:color w:val="222222"/>
                <w:sz w:val="18"/>
              </w:rPr>
              <w:t>First residual transformation</w:t>
            </w:r>
          </w:p>
        </w:tc>
        <w:tc>
          <w:tcPr>
            <w:tcW w:type="dxa" w:w="1872"/>
            <w:shd w:fill="FFFFFF"/>
            <w:tcMar>
              <w:top w:w="90" w:type="dxa"/>
              <w:bottom w:w="90" w:type="dxa"/>
              <w:left w:w="140" w:type="dxa"/>
              <w:right w:w="140" w:type="dxa"/>
            </w:tcMar>
          </w:tcPr>
          <w:p>
            <w:pPr>
              <w:jc w:val="left"/>
            </w:pPr>
            <w:r>
              <w:rPr>
                <w:color w:val="222222"/>
                <w:sz w:val="18"/>
              </w:rPr>
              <w:t>BatchNorm1d + GELU + Drop(0.20)</w:t>
            </w:r>
          </w:p>
        </w:tc>
        <w:tc>
          <w:tcPr>
            <w:tcW w:type="dxa" w:w="720"/>
            <w:shd w:fill="FFFFFF"/>
            <w:tcMar>
              <w:top w:w="90" w:type="dxa"/>
              <w:bottom w:w="90" w:type="dxa"/>
              <w:left w:w="140" w:type="dxa"/>
              <w:right w:w="140" w:type="dxa"/>
            </w:tcMar>
          </w:tcPr>
          <w:p>
            <w:pPr>
              <w:jc w:val="left"/>
            </w:pPr>
            <w:r>
              <w:rPr>
                <w:color w:val="222222"/>
                <w:sz w:val="18"/>
              </w:rPr>
              <w:t>16,640</w:t>
            </w:r>
          </w:p>
        </w:tc>
      </w:tr>
      <w:tr>
        <w:tc>
          <w:tcPr>
            <w:tcW w:type="dxa" w:w="2160"/>
            <w:shd w:fill="F4F7FA"/>
            <w:tcMar>
              <w:top w:w="90" w:type="dxa"/>
              <w:bottom w:w="90" w:type="dxa"/>
              <w:left w:w="140" w:type="dxa"/>
              <w:right w:w="140" w:type="dxa"/>
            </w:tcMar>
          </w:tcPr>
          <w:p>
            <w:pPr>
              <w:jc w:val="left"/>
            </w:pPr>
            <w:r>
              <w:rPr>
                <w:color w:val="222222"/>
                <w:sz w:val="18"/>
              </w:rPr>
              <w:t>4. ResBlock 1 (Dense 2)</w:t>
            </w:r>
          </w:p>
        </w:tc>
        <w:tc>
          <w:tcPr>
            <w:tcW w:type="dxa" w:w="2016"/>
            <w:shd w:fill="F4F7FA"/>
            <w:tcMar>
              <w:top w:w="90" w:type="dxa"/>
              <w:bottom w:w="90" w:type="dxa"/>
              <w:left w:w="140" w:type="dxa"/>
              <w:right w:w="140" w:type="dxa"/>
            </w:tcMar>
          </w:tcPr>
          <w:p>
            <w:pPr>
              <w:jc w:val="left"/>
            </w:pPr>
            <w:r>
              <w:rPr>
                <w:color w:val="222222"/>
                <w:sz w:val="18"/>
              </w:rPr>
              <w:t>Linear(128 -&gt; 128)</w:t>
            </w:r>
          </w:p>
        </w:tc>
        <w:tc>
          <w:tcPr>
            <w:tcW w:type="dxa" w:w="2592"/>
            <w:shd w:fill="F4F7FA"/>
            <w:tcMar>
              <w:top w:w="90" w:type="dxa"/>
              <w:bottom w:w="90" w:type="dxa"/>
              <w:left w:w="140" w:type="dxa"/>
              <w:right w:w="140" w:type="dxa"/>
            </w:tcMar>
          </w:tcPr>
          <w:p>
            <w:pPr>
              <w:jc w:val="left"/>
            </w:pPr>
            <w:r>
              <w:rPr>
                <w:color w:val="222222"/>
                <w:sz w:val="18"/>
              </w:rPr>
              <w:t>Second residual transformation</w:t>
            </w:r>
          </w:p>
        </w:tc>
        <w:tc>
          <w:tcPr>
            <w:tcW w:type="dxa" w:w="1872"/>
            <w:shd w:fill="F4F7FA"/>
            <w:tcMar>
              <w:top w:w="90" w:type="dxa"/>
              <w:bottom w:w="90" w:type="dxa"/>
              <w:left w:w="140" w:type="dxa"/>
              <w:right w:w="140" w:type="dxa"/>
            </w:tcMar>
          </w:tcPr>
          <w:p>
            <w:pPr>
              <w:jc w:val="left"/>
            </w:pPr>
            <w:r>
              <w:rPr>
                <w:color w:val="222222"/>
                <w:sz w:val="18"/>
              </w:rPr>
              <w:t>BatchNorm1d + GELU + Drop(0.15)</w:t>
            </w:r>
          </w:p>
        </w:tc>
        <w:tc>
          <w:tcPr>
            <w:tcW w:type="dxa" w:w="720"/>
            <w:shd w:fill="F4F7FA"/>
            <w:tcMar>
              <w:top w:w="90" w:type="dxa"/>
              <w:bottom w:w="90" w:type="dxa"/>
              <w:left w:w="140" w:type="dxa"/>
              <w:right w:w="140" w:type="dxa"/>
            </w:tcMar>
          </w:tcPr>
          <w:p>
            <w:pPr>
              <w:jc w:val="left"/>
            </w:pPr>
            <w:r>
              <w:rPr>
                <w:color w:val="222222"/>
                <w:sz w:val="18"/>
              </w:rPr>
              <w:t>16,640</w:t>
            </w:r>
          </w:p>
        </w:tc>
      </w:tr>
      <w:tr>
        <w:tc>
          <w:tcPr>
            <w:tcW w:type="dxa" w:w="2160"/>
            <w:shd w:fill="FFFFFF"/>
            <w:tcMar>
              <w:top w:w="90" w:type="dxa"/>
              <w:bottom w:w="90" w:type="dxa"/>
              <w:left w:w="140" w:type="dxa"/>
              <w:right w:w="140" w:type="dxa"/>
            </w:tcMar>
          </w:tcPr>
          <w:p>
            <w:pPr>
              <w:jc w:val="left"/>
            </w:pPr>
            <w:r>
              <w:rPr>
                <w:color w:val="222222"/>
                <w:sz w:val="18"/>
              </w:rPr>
              <w:t>5. ResBlock 1 Skip Add</w:t>
            </w:r>
          </w:p>
        </w:tc>
        <w:tc>
          <w:tcPr>
            <w:tcW w:type="dxa" w:w="2016"/>
            <w:shd w:fill="FFFFFF"/>
            <w:tcMar>
              <w:top w:w="90" w:type="dxa"/>
              <w:bottom w:w="90" w:type="dxa"/>
              <w:left w:w="140" w:type="dxa"/>
              <w:right w:w="140" w:type="dxa"/>
            </w:tcMar>
          </w:tcPr>
          <w:p>
            <w:pPr>
              <w:jc w:val="left"/>
            </w:pPr>
            <w:r>
              <w:rPr>
                <w:color w:val="222222"/>
                <w:sz w:val="18"/>
              </w:rPr>
              <w:t>[Batch, 128]</w:t>
            </w:r>
          </w:p>
        </w:tc>
        <w:tc>
          <w:tcPr>
            <w:tcW w:type="dxa" w:w="2592"/>
            <w:shd w:fill="FFFFFF"/>
            <w:tcMar>
              <w:top w:w="90" w:type="dxa"/>
              <w:bottom w:w="90" w:type="dxa"/>
              <w:left w:w="140" w:type="dxa"/>
              <w:right w:w="140" w:type="dxa"/>
            </w:tcMar>
          </w:tcPr>
          <w:p>
            <w:pPr>
              <w:jc w:val="left"/>
            </w:pPr>
            <w:r>
              <w:rPr>
                <w:color w:val="222222"/>
                <w:sz w:val="18"/>
              </w:rPr>
              <w:t>Elementwise sum: y = x + F(x)</w:t>
            </w:r>
          </w:p>
        </w:tc>
        <w:tc>
          <w:tcPr>
            <w:tcW w:type="dxa" w:w="1872"/>
            <w:shd w:fill="FFFFFF"/>
            <w:tcMar>
              <w:top w:w="90" w:type="dxa"/>
              <w:bottom w:w="90" w:type="dxa"/>
              <w:left w:w="140" w:type="dxa"/>
              <w:right w:w="140" w:type="dxa"/>
            </w:tcMar>
          </w:tcPr>
          <w:p>
            <w:pPr>
              <w:jc w:val="left"/>
            </w:pPr>
            <w:r>
              <w:rPr>
                <w:color w:val="222222"/>
                <w:sz w:val="18"/>
              </w:rPr>
              <w:t>Identity Shortcut</w:t>
            </w:r>
          </w:p>
        </w:tc>
        <w:tc>
          <w:tcPr>
            <w:tcW w:type="dxa" w:w="720"/>
            <w:shd w:fill="FFFFFF"/>
            <w:tcMar>
              <w:top w:w="90" w:type="dxa"/>
              <w:bottom w:w="90" w:type="dxa"/>
              <w:left w:w="140" w:type="dxa"/>
              <w:right w:w="140" w:type="dxa"/>
            </w:tcMar>
          </w:tcPr>
          <w:p>
            <w:pPr>
              <w:jc w:val="left"/>
            </w:pPr>
            <w:r>
              <w:rPr>
                <w:color w:val="222222"/>
                <w:sz w:val="18"/>
              </w:rPr>
              <w:t>0</w:t>
            </w:r>
          </w:p>
        </w:tc>
      </w:tr>
      <w:tr>
        <w:tc>
          <w:tcPr>
            <w:tcW w:type="dxa" w:w="2160"/>
            <w:shd w:fill="F4F7FA"/>
            <w:tcMar>
              <w:top w:w="90" w:type="dxa"/>
              <w:bottom w:w="90" w:type="dxa"/>
              <w:left w:w="140" w:type="dxa"/>
              <w:right w:w="140" w:type="dxa"/>
            </w:tcMar>
          </w:tcPr>
          <w:p>
            <w:pPr>
              <w:jc w:val="left"/>
            </w:pPr>
            <w:r>
              <w:rPr>
                <w:color w:val="222222"/>
                <w:sz w:val="18"/>
              </w:rPr>
              <w:t>6. ResBlock 2 (Dense 1)</w:t>
            </w:r>
          </w:p>
        </w:tc>
        <w:tc>
          <w:tcPr>
            <w:tcW w:type="dxa" w:w="2016"/>
            <w:shd w:fill="F4F7FA"/>
            <w:tcMar>
              <w:top w:w="90" w:type="dxa"/>
              <w:bottom w:w="90" w:type="dxa"/>
              <w:left w:w="140" w:type="dxa"/>
              <w:right w:w="140" w:type="dxa"/>
            </w:tcMar>
          </w:tcPr>
          <w:p>
            <w:pPr>
              <w:jc w:val="left"/>
            </w:pPr>
            <w:r>
              <w:rPr>
                <w:color w:val="222222"/>
                <w:sz w:val="18"/>
              </w:rPr>
              <w:t>Linear(128 -&gt; 128)</w:t>
            </w:r>
          </w:p>
        </w:tc>
        <w:tc>
          <w:tcPr>
            <w:tcW w:type="dxa" w:w="2592"/>
            <w:shd w:fill="F4F7FA"/>
            <w:tcMar>
              <w:top w:w="90" w:type="dxa"/>
              <w:bottom w:w="90" w:type="dxa"/>
              <w:left w:w="140" w:type="dxa"/>
              <w:right w:w="140" w:type="dxa"/>
            </w:tcMar>
          </w:tcPr>
          <w:p>
            <w:pPr>
              <w:jc w:val="left"/>
            </w:pPr>
            <w:r>
              <w:rPr>
                <w:color w:val="222222"/>
                <w:sz w:val="18"/>
              </w:rPr>
              <w:t>Deep non-linear feature interaction</w:t>
            </w:r>
          </w:p>
        </w:tc>
        <w:tc>
          <w:tcPr>
            <w:tcW w:type="dxa" w:w="1872"/>
            <w:shd w:fill="F4F7FA"/>
            <w:tcMar>
              <w:top w:w="90" w:type="dxa"/>
              <w:bottom w:w="90" w:type="dxa"/>
              <w:left w:w="140" w:type="dxa"/>
              <w:right w:w="140" w:type="dxa"/>
            </w:tcMar>
          </w:tcPr>
          <w:p>
            <w:pPr>
              <w:jc w:val="left"/>
            </w:pPr>
            <w:r>
              <w:rPr>
                <w:color w:val="222222"/>
                <w:sz w:val="18"/>
              </w:rPr>
              <w:t>BatchNorm1d + GELU + Drop(0.20)</w:t>
            </w:r>
          </w:p>
        </w:tc>
        <w:tc>
          <w:tcPr>
            <w:tcW w:type="dxa" w:w="720"/>
            <w:shd w:fill="F4F7FA"/>
            <w:tcMar>
              <w:top w:w="90" w:type="dxa"/>
              <w:bottom w:w="90" w:type="dxa"/>
              <w:left w:w="140" w:type="dxa"/>
              <w:right w:w="140" w:type="dxa"/>
            </w:tcMar>
          </w:tcPr>
          <w:p>
            <w:pPr>
              <w:jc w:val="left"/>
            </w:pPr>
            <w:r>
              <w:rPr>
                <w:color w:val="222222"/>
                <w:sz w:val="18"/>
              </w:rPr>
              <w:t>16,640</w:t>
            </w:r>
          </w:p>
        </w:tc>
      </w:tr>
      <w:tr>
        <w:tc>
          <w:tcPr>
            <w:tcW w:type="dxa" w:w="2160"/>
            <w:shd w:fill="FFFFFF"/>
            <w:tcMar>
              <w:top w:w="90" w:type="dxa"/>
              <w:bottom w:w="90" w:type="dxa"/>
              <w:left w:w="140" w:type="dxa"/>
              <w:right w:w="140" w:type="dxa"/>
            </w:tcMar>
          </w:tcPr>
          <w:p>
            <w:pPr>
              <w:jc w:val="left"/>
            </w:pPr>
            <w:r>
              <w:rPr>
                <w:color w:val="222222"/>
                <w:sz w:val="18"/>
              </w:rPr>
              <w:t>7. ResBlock 2 (Dense 2)</w:t>
            </w:r>
          </w:p>
        </w:tc>
        <w:tc>
          <w:tcPr>
            <w:tcW w:type="dxa" w:w="2016"/>
            <w:shd w:fill="FFFFFF"/>
            <w:tcMar>
              <w:top w:w="90" w:type="dxa"/>
              <w:bottom w:w="90" w:type="dxa"/>
              <w:left w:w="140" w:type="dxa"/>
              <w:right w:w="140" w:type="dxa"/>
            </w:tcMar>
          </w:tcPr>
          <w:p>
            <w:pPr>
              <w:jc w:val="left"/>
            </w:pPr>
            <w:r>
              <w:rPr>
                <w:color w:val="222222"/>
                <w:sz w:val="18"/>
              </w:rPr>
              <w:t>Linear(128 -&gt; 128)</w:t>
            </w:r>
          </w:p>
        </w:tc>
        <w:tc>
          <w:tcPr>
            <w:tcW w:type="dxa" w:w="2592"/>
            <w:shd w:fill="FFFFFF"/>
            <w:tcMar>
              <w:top w:w="90" w:type="dxa"/>
              <w:bottom w:w="90" w:type="dxa"/>
              <w:left w:w="140" w:type="dxa"/>
              <w:right w:w="140" w:type="dxa"/>
            </w:tcMar>
          </w:tcPr>
          <w:p>
            <w:pPr>
              <w:jc w:val="left"/>
            </w:pPr>
            <w:r>
              <w:rPr>
                <w:color w:val="222222"/>
                <w:sz w:val="18"/>
              </w:rPr>
              <w:t>Higher-order abstraction refinement</w:t>
            </w:r>
          </w:p>
        </w:tc>
        <w:tc>
          <w:tcPr>
            <w:tcW w:type="dxa" w:w="1872"/>
            <w:shd w:fill="FFFFFF"/>
            <w:tcMar>
              <w:top w:w="90" w:type="dxa"/>
              <w:bottom w:w="90" w:type="dxa"/>
              <w:left w:w="140" w:type="dxa"/>
              <w:right w:w="140" w:type="dxa"/>
            </w:tcMar>
          </w:tcPr>
          <w:p>
            <w:pPr>
              <w:jc w:val="left"/>
            </w:pPr>
            <w:r>
              <w:rPr>
                <w:color w:val="222222"/>
                <w:sz w:val="18"/>
              </w:rPr>
              <w:t>BatchNorm1d + GELU + Drop(0.15)</w:t>
            </w:r>
          </w:p>
        </w:tc>
        <w:tc>
          <w:tcPr>
            <w:tcW w:type="dxa" w:w="720"/>
            <w:shd w:fill="FFFFFF"/>
            <w:tcMar>
              <w:top w:w="90" w:type="dxa"/>
              <w:bottom w:w="90" w:type="dxa"/>
              <w:left w:w="140" w:type="dxa"/>
              <w:right w:w="140" w:type="dxa"/>
            </w:tcMar>
          </w:tcPr>
          <w:p>
            <w:pPr>
              <w:jc w:val="left"/>
            </w:pPr>
            <w:r>
              <w:rPr>
                <w:color w:val="222222"/>
                <w:sz w:val="18"/>
              </w:rPr>
              <w:t>16,640</w:t>
            </w:r>
          </w:p>
        </w:tc>
      </w:tr>
      <w:tr>
        <w:tc>
          <w:tcPr>
            <w:tcW w:type="dxa" w:w="2160"/>
            <w:shd w:fill="F4F7FA"/>
            <w:tcMar>
              <w:top w:w="90" w:type="dxa"/>
              <w:bottom w:w="90" w:type="dxa"/>
              <w:left w:w="140" w:type="dxa"/>
              <w:right w:w="140" w:type="dxa"/>
            </w:tcMar>
          </w:tcPr>
          <w:p>
            <w:pPr>
              <w:jc w:val="left"/>
            </w:pPr>
            <w:r>
              <w:rPr>
                <w:color w:val="222222"/>
                <w:sz w:val="18"/>
              </w:rPr>
              <w:t>8. ResBlock 2 Skip Add</w:t>
            </w:r>
          </w:p>
        </w:tc>
        <w:tc>
          <w:tcPr>
            <w:tcW w:type="dxa" w:w="2016"/>
            <w:shd w:fill="F4F7FA"/>
            <w:tcMar>
              <w:top w:w="90" w:type="dxa"/>
              <w:bottom w:w="90" w:type="dxa"/>
              <w:left w:w="140" w:type="dxa"/>
              <w:right w:w="140" w:type="dxa"/>
            </w:tcMar>
          </w:tcPr>
          <w:p>
            <w:pPr>
              <w:jc w:val="left"/>
            </w:pPr>
            <w:r>
              <w:rPr>
                <w:color w:val="222222"/>
                <w:sz w:val="18"/>
              </w:rPr>
              <w:t>[Batch, 128]</w:t>
            </w:r>
          </w:p>
        </w:tc>
        <w:tc>
          <w:tcPr>
            <w:tcW w:type="dxa" w:w="2592"/>
            <w:shd w:fill="F4F7FA"/>
            <w:tcMar>
              <w:top w:w="90" w:type="dxa"/>
              <w:bottom w:w="90" w:type="dxa"/>
              <w:left w:w="140" w:type="dxa"/>
              <w:right w:w="140" w:type="dxa"/>
            </w:tcMar>
          </w:tcPr>
          <w:p>
            <w:pPr>
              <w:jc w:val="left"/>
            </w:pPr>
            <w:r>
              <w:rPr>
                <w:color w:val="222222"/>
                <w:sz w:val="18"/>
              </w:rPr>
              <w:t>Elementwise sum: y = x + F(x)</w:t>
            </w:r>
          </w:p>
        </w:tc>
        <w:tc>
          <w:tcPr>
            <w:tcW w:type="dxa" w:w="1872"/>
            <w:shd w:fill="F4F7FA"/>
            <w:tcMar>
              <w:top w:w="90" w:type="dxa"/>
              <w:bottom w:w="90" w:type="dxa"/>
              <w:left w:w="140" w:type="dxa"/>
              <w:right w:w="140" w:type="dxa"/>
            </w:tcMar>
          </w:tcPr>
          <w:p>
            <w:pPr>
              <w:jc w:val="left"/>
            </w:pPr>
            <w:r>
              <w:rPr>
                <w:color w:val="222222"/>
                <w:sz w:val="18"/>
              </w:rPr>
              <w:t>Identity Shortcut</w:t>
            </w:r>
          </w:p>
        </w:tc>
        <w:tc>
          <w:tcPr>
            <w:tcW w:type="dxa" w:w="720"/>
            <w:shd w:fill="F4F7FA"/>
            <w:tcMar>
              <w:top w:w="90" w:type="dxa"/>
              <w:bottom w:w="90" w:type="dxa"/>
              <w:left w:w="140" w:type="dxa"/>
              <w:right w:w="140" w:type="dxa"/>
            </w:tcMar>
          </w:tcPr>
          <w:p>
            <w:pPr>
              <w:jc w:val="left"/>
            </w:pPr>
            <w:r>
              <w:rPr>
                <w:color w:val="222222"/>
                <w:sz w:val="18"/>
              </w:rPr>
              <w:t>0</w:t>
            </w:r>
          </w:p>
        </w:tc>
      </w:tr>
      <w:tr>
        <w:tc>
          <w:tcPr>
            <w:tcW w:type="dxa" w:w="2160"/>
            <w:shd w:fill="FFFFFF"/>
            <w:tcMar>
              <w:top w:w="90" w:type="dxa"/>
              <w:bottom w:w="90" w:type="dxa"/>
              <w:left w:w="140" w:type="dxa"/>
              <w:right w:w="140" w:type="dxa"/>
            </w:tcMar>
          </w:tcPr>
          <w:p>
            <w:pPr>
              <w:jc w:val="left"/>
            </w:pPr>
            <w:r>
              <w:rPr>
                <w:color w:val="222222"/>
                <w:sz w:val="18"/>
              </w:rPr>
              <w:t>9. Classifier Dense</w:t>
            </w:r>
          </w:p>
        </w:tc>
        <w:tc>
          <w:tcPr>
            <w:tcW w:type="dxa" w:w="2016"/>
            <w:shd w:fill="FFFFFF"/>
            <w:tcMar>
              <w:top w:w="90" w:type="dxa"/>
              <w:bottom w:w="90" w:type="dxa"/>
              <w:left w:w="140" w:type="dxa"/>
              <w:right w:w="140" w:type="dxa"/>
            </w:tcMar>
          </w:tcPr>
          <w:p>
            <w:pPr>
              <w:jc w:val="left"/>
            </w:pPr>
            <w:r>
              <w:rPr>
                <w:color w:val="222222"/>
                <w:sz w:val="18"/>
              </w:rPr>
              <w:t>Linear(128 -&gt; 64)</w:t>
            </w:r>
          </w:p>
        </w:tc>
        <w:tc>
          <w:tcPr>
            <w:tcW w:type="dxa" w:w="2592"/>
            <w:shd w:fill="FFFFFF"/>
            <w:tcMar>
              <w:top w:w="90" w:type="dxa"/>
              <w:bottom w:w="90" w:type="dxa"/>
              <w:left w:w="140" w:type="dxa"/>
              <w:right w:w="140" w:type="dxa"/>
            </w:tcMar>
          </w:tcPr>
          <w:p>
            <w:pPr>
              <w:jc w:val="left"/>
            </w:pPr>
            <w:r>
              <w:rPr>
                <w:color w:val="222222"/>
                <w:sz w:val="18"/>
              </w:rPr>
              <w:t>Latent space compression</w:t>
            </w:r>
          </w:p>
        </w:tc>
        <w:tc>
          <w:tcPr>
            <w:tcW w:type="dxa" w:w="1872"/>
            <w:shd w:fill="FFFFFF"/>
            <w:tcMar>
              <w:top w:w="90" w:type="dxa"/>
              <w:bottom w:w="90" w:type="dxa"/>
              <w:left w:w="140" w:type="dxa"/>
              <w:right w:w="140" w:type="dxa"/>
            </w:tcMar>
          </w:tcPr>
          <w:p>
            <w:pPr>
              <w:jc w:val="left"/>
            </w:pPr>
            <w:r>
              <w:rPr>
                <w:color w:val="222222"/>
                <w:sz w:val="18"/>
              </w:rPr>
              <w:t>BatchNorm1d + GELU + Drop(0.10)</w:t>
            </w:r>
          </w:p>
        </w:tc>
        <w:tc>
          <w:tcPr>
            <w:tcW w:type="dxa" w:w="720"/>
            <w:shd w:fill="FFFFFF"/>
            <w:tcMar>
              <w:top w:w="90" w:type="dxa"/>
              <w:bottom w:w="90" w:type="dxa"/>
              <w:left w:w="140" w:type="dxa"/>
              <w:right w:w="140" w:type="dxa"/>
            </w:tcMar>
          </w:tcPr>
          <w:p>
            <w:pPr>
              <w:jc w:val="left"/>
            </w:pPr>
            <w:r>
              <w:rPr>
                <w:color w:val="222222"/>
                <w:sz w:val="18"/>
              </w:rPr>
              <w:t>8,320</w:t>
            </w:r>
          </w:p>
        </w:tc>
      </w:tr>
      <w:tr>
        <w:tc>
          <w:tcPr>
            <w:tcW w:type="dxa" w:w="2160"/>
            <w:shd w:fill="F4F7FA"/>
            <w:tcMar>
              <w:top w:w="90" w:type="dxa"/>
              <w:bottom w:w="90" w:type="dxa"/>
              <w:left w:w="140" w:type="dxa"/>
              <w:right w:w="140" w:type="dxa"/>
            </w:tcMar>
          </w:tcPr>
          <w:p>
            <w:pPr>
              <w:jc w:val="left"/>
            </w:pPr>
            <w:r>
              <w:rPr>
                <w:color w:val="222222"/>
                <w:sz w:val="18"/>
              </w:rPr>
              <w:t>10. Final Classifier</w:t>
            </w:r>
          </w:p>
        </w:tc>
        <w:tc>
          <w:tcPr>
            <w:tcW w:type="dxa" w:w="2016"/>
            <w:shd w:fill="F4F7FA"/>
            <w:tcMar>
              <w:top w:w="90" w:type="dxa"/>
              <w:bottom w:w="90" w:type="dxa"/>
              <w:left w:w="140" w:type="dxa"/>
              <w:right w:w="140" w:type="dxa"/>
            </w:tcMar>
          </w:tcPr>
          <w:p>
            <w:pPr>
              <w:jc w:val="left"/>
            </w:pPr>
            <w:r>
              <w:rPr>
                <w:color w:val="222222"/>
                <w:sz w:val="18"/>
              </w:rPr>
              <w:t>Linear(64 -&gt; 3)</w:t>
            </w:r>
          </w:p>
        </w:tc>
        <w:tc>
          <w:tcPr>
            <w:tcW w:type="dxa" w:w="2592"/>
            <w:shd w:fill="F4F7FA"/>
            <w:tcMar>
              <w:top w:w="90" w:type="dxa"/>
              <w:bottom w:w="90" w:type="dxa"/>
              <w:left w:w="140" w:type="dxa"/>
              <w:right w:w="140" w:type="dxa"/>
            </w:tcMar>
          </w:tcPr>
          <w:p>
            <w:pPr>
              <w:jc w:val="left"/>
            </w:pPr>
            <w:r>
              <w:rPr>
                <w:color w:val="222222"/>
                <w:sz w:val="18"/>
              </w:rPr>
              <w:t>Unnormalized class logits</w:t>
            </w:r>
          </w:p>
        </w:tc>
        <w:tc>
          <w:tcPr>
            <w:tcW w:type="dxa" w:w="1872"/>
            <w:shd w:fill="F4F7FA"/>
            <w:tcMar>
              <w:top w:w="90" w:type="dxa"/>
              <w:bottom w:w="90" w:type="dxa"/>
              <w:left w:w="140" w:type="dxa"/>
              <w:right w:w="140" w:type="dxa"/>
            </w:tcMar>
          </w:tcPr>
          <w:p>
            <w:pPr>
              <w:jc w:val="left"/>
            </w:pPr>
            <w:r>
              <w:rPr>
                <w:color w:val="222222"/>
                <w:sz w:val="18"/>
              </w:rPr>
              <w:t>Softmax Calibration</w:t>
            </w:r>
          </w:p>
        </w:tc>
        <w:tc>
          <w:tcPr>
            <w:tcW w:type="dxa" w:w="720"/>
            <w:shd w:fill="F4F7FA"/>
            <w:tcMar>
              <w:top w:w="90" w:type="dxa"/>
              <w:bottom w:w="90" w:type="dxa"/>
              <w:left w:w="140" w:type="dxa"/>
              <w:right w:w="140" w:type="dxa"/>
            </w:tcMar>
          </w:tcPr>
          <w:p>
            <w:pPr>
              <w:jc w:val="left"/>
            </w:pPr>
            <w:r>
              <w:rPr>
                <w:color w:val="222222"/>
                <w:sz w:val="18"/>
              </w:rPr>
              <w:t>195</w:t>
            </w:r>
          </w:p>
        </w:tc>
      </w:tr>
      <w:tr>
        <w:tc>
          <w:tcPr>
            <w:tcW w:type="dxa" w:w="2160"/>
            <w:shd w:fill="FFFFFF"/>
            <w:tcMar>
              <w:top w:w="90" w:type="dxa"/>
              <w:bottom w:w="90" w:type="dxa"/>
              <w:left w:w="140" w:type="dxa"/>
              <w:right w:w="140" w:type="dxa"/>
            </w:tcMar>
          </w:tcPr>
          <w:p>
            <w:pPr>
              <w:jc w:val="left"/>
            </w:pPr>
            <w:r>
              <w:rPr>
                <w:color w:val="222222"/>
                <w:sz w:val="18"/>
              </w:rPr>
              <w:t>Total Parameters</w:t>
            </w:r>
          </w:p>
        </w:tc>
        <w:tc>
          <w:tcPr>
            <w:tcW w:type="dxa" w:w="2016"/>
            <w:shd w:fill="FFFFFF"/>
            <w:tcMar>
              <w:top w:w="90" w:type="dxa"/>
              <w:bottom w:w="90" w:type="dxa"/>
              <w:left w:w="140" w:type="dxa"/>
              <w:right w:w="140" w:type="dxa"/>
            </w:tcMar>
          </w:tcPr>
          <w:p>
            <w:pPr>
              <w:jc w:val="left"/>
            </w:pPr>
            <w:r>
              <w:rPr>
                <w:color w:val="222222"/>
                <w:sz w:val="18"/>
              </w:rPr>
              <w:t>76,867 Trainable Parameters</w:t>
            </w:r>
          </w:p>
        </w:tc>
        <w:tc>
          <w:tcPr>
            <w:tcW w:type="dxa" w:w="2592"/>
            <w:shd w:fill="FFFFFF"/>
            <w:tcMar>
              <w:top w:w="90" w:type="dxa"/>
              <w:bottom w:w="90" w:type="dxa"/>
              <w:left w:w="140" w:type="dxa"/>
              <w:right w:w="140" w:type="dxa"/>
            </w:tcMar>
          </w:tcPr>
          <w:p>
            <w:pPr>
              <w:jc w:val="left"/>
            </w:pPr>
            <w:r>
              <w:rPr>
                <w:color w:val="222222"/>
                <w:sz w:val="18"/>
              </w:rPr>
              <w:t>Serialized model: diabetes_deep_model.pt (331 KB)</w:t>
            </w:r>
          </w:p>
        </w:tc>
        <w:tc>
          <w:tcPr>
            <w:tcW w:type="dxa" w:w="1872"/>
            <w:shd w:fill="FFFFFF"/>
            <w:tcMar>
              <w:top w:w="90" w:type="dxa"/>
              <w:bottom w:w="90" w:type="dxa"/>
              <w:left w:w="140" w:type="dxa"/>
              <w:right w:w="140" w:type="dxa"/>
            </w:tcMar>
          </w:tcPr>
          <w:p>
            <w:pPr>
              <w:jc w:val="left"/>
            </w:pPr>
            <w:r>
              <w:rPr>
                <w:color w:val="222222"/>
                <w:sz w:val="18"/>
              </w:rPr>
              <w:t>Kaeming Normal Init</w:t>
            </w:r>
          </w:p>
        </w:tc>
        <w:tc>
          <w:tcPr>
            <w:tcW w:type="dxa" w:w="720"/>
            <w:shd w:fill="FFFFFF"/>
            <w:tcMar>
              <w:top w:w="90" w:type="dxa"/>
              <w:bottom w:w="90" w:type="dxa"/>
              <w:left w:w="140" w:type="dxa"/>
              <w:right w:w="140" w:type="dxa"/>
            </w:tcMar>
          </w:tcPr>
          <w:p>
            <w:pPr>
              <w:jc w:val="left"/>
            </w:pPr>
            <w:r>
              <w:rPr>
                <w:color w:val="222222"/>
                <w:sz w:val="18"/>
              </w:rPr>
              <w:t>76,867</w:t>
            </w:r>
          </w:p>
        </w:tc>
      </w:tr>
    </w:tbl>
    <w:p/>
    <w:p>
      <w:pPr>
        <w:spacing w:before="160" w:after="8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3_neural_architecture.png"/>
                    <pic:cNvPicPr/>
                  </pic:nvPicPr>
                  <pic:blipFill>
                    <a:blip r:embed="rId14"/>
                    <a:stretch>
                      <a:fillRect/>
                    </a:stretch>
                  </pic:blipFill>
                  <pic:spPr>
                    <a:xfrm>
                      <a:off x="0" y="0"/>
                      <a:ext cx="5669280" cy="3401568"/>
                    </a:xfrm>
                    <a:prstGeom prst="rect"/>
                  </pic:spPr>
                </pic:pic>
              </a:graphicData>
            </a:graphic>
          </wp:inline>
        </w:drawing>
      </w:r>
    </w:p>
    <w:p>
      <w:pPr>
        <w:spacing w:after="240"/>
        <w:jc w:val="center"/>
      </w:pPr>
      <w:r>
        <w:rPr>
          <w:i/>
          <w:color w:val="64748B"/>
          <w:sz w:val="18"/>
        </w:rPr>
        <w:t>Figure 5.1: Deep Tabular ResNet (DiabetesTabularResNet) Neural Architecture Schematic.</w:t>
      </w:r>
    </w:p>
    <w:p>
      <w:pPr>
        <w:keepNext/>
        <w:spacing w:before="400" w:after="160"/>
      </w:pPr>
      <w:r>
        <w:rPr>
          <w:rFonts w:ascii="Arial" w:hAnsi="Arial"/>
          <w:b/>
          <w:color w:val="1B365D"/>
          <w:sz w:val="34"/>
        </w:rPr>
        <w:t>Phase 6: Training Methodology, Loss Formulation &amp; Regularization Strategies</w:t>
      </w:r>
    </w:p>
    <w:p>
      <w:r>
        <w:t>To achieve 98.60% out-of-sample accuracy without overfitting the 1,898 cohort records, modern deep learning regularization techniques were combined:</w:t>
      </w:r>
    </w:p>
    <w:p>
      <w:r>
        <w:t>1. MixUp Tabular Data Augmentation (α = 0.20, Probability = 0.50):</w:t>
        <w:br/>
        <w:t>MixUp constructs virtual training examples by drawing pairs of patient vectors (x_i, y_i) and (x_j, y_j) and forming convex combinations: x_mix = λ x_i + (1 - λ) x_j, where λ ~ Beta(0.2, 0.2). This enforces linear behavior between clinical clusters, smoothing decision boundaries.</w:t>
      </w:r>
    </w:p>
    <w:p>
      <w:r>
        <w:t>2. Label-Smoothed Balanced Cross-Entropy Loss (ε = 0.03):</w:t>
        <w:br/>
        <w:t>Standard one-hot targets force output logits toward infinity, causing model overconfidence on borderline patients. Label smoothing redistributes 3% of target probability uniformly across all classes, preventing overconfident misclassifications on borderline HbA1c values (e.g. 5.69% vs 5.71%).</w:t>
      </w:r>
    </w:p>
    <w:p>
      <w:r>
        <w:t>3. AdamW Optimizer with Cosine Annealing Learning Rate:</w:t>
        <w:br/>
        <w:t>Weight decay (1e-4) is decoupled from gradient momentum updates. The learning rate begins at 3e-3 and follows a Cosine Annealing trajectory across 500 epochs down to η_min = 1e-5.</w:t>
      </w:r>
    </w:p>
    <w:p>
      <w:r>
        <w:t>4. Validation Macro-F1 Checkpoint Restoration:</w:t>
        <w:br/>
        <w:t>At every epoch, the validation macro-F1 is evaluated. The optimal weights state is saved and restored at training completion, preventing over-training.</w:t>
      </w:r>
    </w:p>
    <w:p>
      <w:pPr>
        <w:keepNext/>
        <w:spacing w:before="400" w:after="160"/>
      </w:pPr>
      <w:r>
        <w:rPr>
          <w:rFonts w:ascii="Arial" w:hAnsi="Arial"/>
          <w:b/>
          <w:color w:val="1B365D"/>
          <w:sz w:val="34"/>
        </w:rPr>
        <w:t>Phase 7: Model Evaluation, Multi-Class Benchmarks &amp; Safety Margins</w:t>
      </w:r>
    </w:p>
    <w:p>
      <w:r>
        <w:t>Performance was evaluated on the unseen 285-patient test partition. The model achieved 98.60% overall accuracy (281 / 285 correct). Table 7.1 details the classification report across all three risk categories: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024"/>
            <w:shd w:fill="1B365D"/>
            <w:tcMar>
              <w:top w:w="120" w:type="dxa"/>
              <w:bottom w:w="120" w:type="dxa"/>
              <w:left w:w="140" w:type="dxa"/>
              <w:right w:w="140" w:type="dxa"/>
            </w:tcMar>
          </w:tcPr>
          <w:p>
            <w:pPr>
              <w:jc w:val="left"/>
            </w:pPr>
            <w:r>
              <w:rPr>
                <w:b/>
                <w:color w:val="FFFFFF"/>
                <w:sz w:val="19"/>
              </w:rPr>
              <w:t>Severity Class</w:t>
            </w:r>
          </w:p>
        </w:tc>
        <w:tc>
          <w:tcPr>
            <w:tcW w:type="dxa" w:w="1584"/>
            <w:shd w:fill="1B365D"/>
            <w:tcMar>
              <w:top w:w="120" w:type="dxa"/>
              <w:bottom w:w="120" w:type="dxa"/>
              <w:left w:w="140" w:type="dxa"/>
              <w:right w:w="140" w:type="dxa"/>
            </w:tcMar>
          </w:tcPr>
          <w:p>
            <w:pPr>
              <w:jc w:val="left"/>
            </w:pPr>
            <w:r>
              <w:rPr>
                <w:b/>
                <w:color w:val="FFFFFF"/>
                <w:sz w:val="19"/>
              </w:rPr>
              <w:t>Precision</w:t>
            </w:r>
          </w:p>
        </w:tc>
        <w:tc>
          <w:tcPr>
            <w:tcW w:type="dxa" w:w="1872"/>
            <w:shd w:fill="1B365D"/>
            <w:tcMar>
              <w:top w:w="120" w:type="dxa"/>
              <w:bottom w:w="120" w:type="dxa"/>
              <w:left w:w="140" w:type="dxa"/>
              <w:right w:w="140" w:type="dxa"/>
            </w:tcMar>
          </w:tcPr>
          <w:p>
            <w:pPr>
              <w:jc w:val="left"/>
            </w:pPr>
            <w:r>
              <w:rPr>
                <w:b/>
                <w:color w:val="FFFFFF"/>
                <w:sz w:val="19"/>
              </w:rPr>
              <w:t>Recall (Sensitivity)</w:t>
            </w:r>
          </w:p>
        </w:tc>
        <w:tc>
          <w:tcPr>
            <w:tcW w:type="dxa" w:w="1584"/>
            <w:shd w:fill="1B365D"/>
            <w:tcMar>
              <w:top w:w="120" w:type="dxa"/>
              <w:bottom w:w="120" w:type="dxa"/>
              <w:left w:w="140" w:type="dxa"/>
              <w:right w:w="140" w:type="dxa"/>
            </w:tcMar>
          </w:tcPr>
          <w:p>
            <w:pPr>
              <w:jc w:val="left"/>
            </w:pPr>
            <w:r>
              <w:rPr>
                <w:b/>
                <w:color w:val="FFFFFF"/>
                <w:sz w:val="19"/>
              </w:rPr>
              <w:t>F1-Score</w:t>
            </w:r>
          </w:p>
        </w:tc>
        <w:tc>
          <w:tcPr>
            <w:tcW w:type="dxa" w:w="1296"/>
            <w:shd w:fill="1B365D"/>
            <w:tcMar>
              <w:top w:w="120" w:type="dxa"/>
              <w:bottom w:w="120" w:type="dxa"/>
              <w:left w:w="140" w:type="dxa"/>
              <w:right w:w="140" w:type="dxa"/>
            </w:tcMar>
          </w:tcPr>
          <w:p>
            <w:pPr>
              <w:jc w:val="left"/>
            </w:pPr>
            <w:r>
              <w:rPr>
                <w:b/>
                <w:color w:val="FFFFFF"/>
                <w:sz w:val="19"/>
              </w:rPr>
              <w:t>Test Support</w:t>
            </w:r>
          </w:p>
        </w:tc>
      </w:tr>
      <w:tr>
        <w:tc>
          <w:tcPr>
            <w:tcW w:type="dxa" w:w="3024"/>
            <w:shd w:fill="FFFFFF"/>
            <w:tcMar>
              <w:top w:w="90" w:type="dxa"/>
              <w:bottom w:w="90" w:type="dxa"/>
              <w:left w:w="140" w:type="dxa"/>
              <w:right w:w="140" w:type="dxa"/>
            </w:tcMar>
          </w:tcPr>
          <w:p>
            <w:pPr>
              <w:jc w:val="left"/>
            </w:pPr>
            <w:r>
              <w:rPr>
                <w:color w:val="222222"/>
                <w:sz w:val="18"/>
              </w:rPr>
              <w:t>Low Risk (&lt; 5.7%)</w:t>
            </w:r>
          </w:p>
        </w:tc>
        <w:tc>
          <w:tcPr>
            <w:tcW w:type="dxa" w:w="1584"/>
            <w:shd w:fill="FFFFFF"/>
            <w:tcMar>
              <w:top w:w="90" w:type="dxa"/>
              <w:bottom w:w="90" w:type="dxa"/>
              <w:left w:w="140" w:type="dxa"/>
              <w:right w:w="140" w:type="dxa"/>
            </w:tcMar>
          </w:tcPr>
          <w:p>
            <w:pPr>
              <w:jc w:val="left"/>
            </w:pPr>
            <w:r>
              <w:rPr>
                <w:color w:val="222222"/>
                <w:sz w:val="18"/>
              </w:rPr>
              <w:t>0.9919 (99.2%)</w:t>
            </w:r>
          </w:p>
        </w:tc>
        <w:tc>
          <w:tcPr>
            <w:tcW w:type="dxa" w:w="1872"/>
            <w:shd w:fill="FFFFFF"/>
            <w:tcMar>
              <w:top w:w="90" w:type="dxa"/>
              <w:bottom w:w="90" w:type="dxa"/>
              <w:left w:w="140" w:type="dxa"/>
              <w:right w:w="140" w:type="dxa"/>
            </w:tcMar>
          </w:tcPr>
          <w:p>
            <w:pPr>
              <w:jc w:val="left"/>
            </w:pPr>
            <w:r>
              <w:rPr>
                <w:color w:val="222222"/>
                <w:sz w:val="18"/>
              </w:rPr>
              <w:t>0.9919 (99.2%)</w:t>
            </w:r>
          </w:p>
        </w:tc>
        <w:tc>
          <w:tcPr>
            <w:tcW w:type="dxa" w:w="1584"/>
            <w:shd w:fill="FFFFFF"/>
            <w:tcMar>
              <w:top w:w="90" w:type="dxa"/>
              <w:bottom w:w="90" w:type="dxa"/>
              <w:left w:w="140" w:type="dxa"/>
              <w:right w:w="140" w:type="dxa"/>
            </w:tcMar>
          </w:tcPr>
          <w:p>
            <w:pPr>
              <w:jc w:val="left"/>
            </w:pPr>
            <w:r>
              <w:rPr>
                <w:color w:val="222222"/>
                <w:sz w:val="18"/>
              </w:rPr>
              <w:t>0.9919 (99.2%)</w:t>
            </w:r>
          </w:p>
        </w:tc>
        <w:tc>
          <w:tcPr>
            <w:tcW w:type="dxa" w:w="1296"/>
            <w:shd w:fill="FFFFFF"/>
            <w:tcMar>
              <w:top w:w="90" w:type="dxa"/>
              <w:bottom w:w="90" w:type="dxa"/>
              <w:left w:w="140" w:type="dxa"/>
              <w:right w:w="140" w:type="dxa"/>
            </w:tcMar>
          </w:tcPr>
          <w:p>
            <w:pPr>
              <w:jc w:val="left"/>
            </w:pPr>
            <w:r>
              <w:rPr>
                <w:color w:val="222222"/>
                <w:sz w:val="18"/>
              </w:rPr>
              <w:t>123 patients</w:t>
            </w:r>
          </w:p>
        </w:tc>
      </w:tr>
      <w:tr>
        <w:tc>
          <w:tcPr>
            <w:tcW w:type="dxa" w:w="3024"/>
            <w:shd w:fill="F4F7FA"/>
            <w:tcMar>
              <w:top w:w="90" w:type="dxa"/>
              <w:bottom w:w="90" w:type="dxa"/>
              <w:left w:w="140" w:type="dxa"/>
              <w:right w:w="140" w:type="dxa"/>
            </w:tcMar>
          </w:tcPr>
          <w:p>
            <w:pPr>
              <w:jc w:val="left"/>
            </w:pPr>
            <w:r>
              <w:rPr>
                <w:color w:val="222222"/>
                <w:sz w:val="18"/>
              </w:rPr>
              <w:t>Medium Risk (5.7% – 6.4%)</w:t>
            </w:r>
          </w:p>
        </w:tc>
        <w:tc>
          <w:tcPr>
            <w:tcW w:type="dxa" w:w="1584"/>
            <w:shd w:fill="F4F7FA"/>
            <w:tcMar>
              <w:top w:w="90" w:type="dxa"/>
              <w:bottom w:w="90" w:type="dxa"/>
              <w:left w:w="140" w:type="dxa"/>
              <w:right w:w="140" w:type="dxa"/>
            </w:tcMar>
          </w:tcPr>
          <w:p>
            <w:pPr>
              <w:jc w:val="left"/>
            </w:pPr>
            <w:r>
              <w:rPr>
                <w:color w:val="222222"/>
                <w:sz w:val="18"/>
              </w:rPr>
              <w:t>0.9677 (96.8%)</w:t>
            </w:r>
          </w:p>
        </w:tc>
        <w:tc>
          <w:tcPr>
            <w:tcW w:type="dxa" w:w="1872"/>
            <w:shd w:fill="F4F7FA"/>
            <w:tcMar>
              <w:top w:w="90" w:type="dxa"/>
              <w:bottom w:w="90" w:type="dxa"/>
              <w:left w:w="140" w:type="dxa"/>
              <w:right w:w="140" w:type="dxa"/>
            </w:tcMar>
          </w:tcPr>
          <w:p>
            <w:pPr>
              <w:jc w:val="left"/>
            </w:pPr>
            <w:r>
              <w:rPr>
                <w:color w:val="222222"/>
                <w:sz w:val="18"/>
              </w:rPr>
              <w:t>0.9890 (98.9%)</w:t>
            </w:r>
          </w:p>
        </w:tc>
        <w:tc>
          <w:tcPr>
            <w:tcW w:type="dxa" w:w="1584"/>
            <w:shd w:fill="F4F7FA"/>
            <w:tcMar>
              <w:top w:w="90" w:type="dxa"/>
              <w:bottom w:w="90" w:type="dxa"/>
              <w:left w:w="140" w:type="dxa"/>
              <w:right w:w="140" w:type="dxa"/>
            </w:tcMar>
          </w:tcPr>
          <w:p>
            <w:pPr>
              <w:jc w:val="left"/>
            </w:pPr>
            <w:r>
              <w:rPr>
                <w:color w:val="222222"/>
                <w:sz w:val="18"/>
              </w:rPr>
              <w:t>0.9783 (97.8%)</w:t>
            </w:r>
          </w:p>
        </w:tc>
        <w:tc>
          <w:tcPr>
            <w:tcW w:type="dxa" w:w="1296"/>
            <w:shd w:fill="F4F7FA"/>
            <w:tcMar>
              <w:top w:w="90" w:type="dxa"/>
              <w:bottom w:w="90" w:type="dxa"/>
              <w:left w:w="140" w:type="dxa"/>
              <w:right w:w="140" w:type="dxa"/>
            </w:tcMar>
          </w:tcPr>
          <w:p>
            <w:pPr>
              <w:jc w:val="left"/>
            </w:pPr>
            <w:r>
              <w:rPr>
                <w:color w:val="222222"/>
                <w:sz w:val="18"/>
              </w:rPr>
              <w:t>91 patients</w:t>
            </w:r>
          </w:p>
        </w:tc>
      </w:tr>
      <w:tr>
        <w:tc>
          <w:tcPr>
            <w:tcW w:type="dxa" w:w="3024"/>
            <w:shd w:fill="FFFFFF"/>
            <w:tcMar>
              <w:top w:w="90" w:type="dxa"/>
              <w:bottom w:w="90" w:type="dxa"/>
              <w:left w:w="140" w:type="dxa"/>
              <w:right w:w="140" w:type="dxa"/>
            </w:tcMar>
          </w:tcPr>
          <w:p>
            <w:pPr>
              <w:jc w:val="left"/>
            </w:pPr>
            <w:r>
              <w:rPr>
                <w:color w:val="222222"/>
                <w:sz w:val="18"/>
              </w:rPr>
              <w:t>High Risk (≥ 6.5%)</w:t>
            </w:r>
          </w:p>
        </w:tc>
        <w:tc>
          <w:tcPr>
            <w:tcW w:type="dxa" w:w="1584"/>
            <w:shd w:fill="FFFFFF"/>
            <w:tcMar>
              <w:top w:w="90" w:type="dxa"/>
              <w:bottom w:w="90" w:type="dxa"/>
              <w:left w:w="140" w:type="dxa"/>
              <w:right w:w="140" w:type="dxa"/>
            </w:tcMar>
          </w:tcPr>
          <w:p>
            <w:pPr>
              <w:jc w:val="left"/>
            </w:pPr>
            <w:r>
              <w:rPr>
                <w:color w:val="222222"/>
                <w:sz w:val="18"/>
              </w:rPr>
              <w:t>1.0000 (100.0%)</w:t>
            </w:r>
          </w:p>
        </w:tc>
        <w:tc>
          <w:tcPr>
            <w:tcW w:type="dxa" w:w="1872"/>
            <w:shd w:fill="FFFFFF"/>
            <w:tcMar>
              <w:top w:w="90" w:type="dxa"/>
              <w:bottom w:w="90" w:type="dxa"/>
              <w:left w:w="140" w:type="dxa"/>
              <w:right w:w="140" w:type="dxa"/>
            </w:tcMar>
          </w:tcPr>
          <w:p>
            <w:pPr>
              <w:jc w:val="left"/>
            </w:pPr>
            <w:r>
              <w:rPr>
                <w:color w:val="222222"/>
                <w:sz w:val="18"/>
              </w:rPr>
              <w:t>0.9718 (97.2%)</w:t>
            </w:r>
          </w:p>
        </w:tc>
        <w:tc>
          <w:tcPr>
            <w:tcW w:type="dxa" w:w="1584"/>
            <w:shd w:fill="FFFFFF"/>
            <w:tcMar>
              <w:top w:w="90" w:type="dxa"/>
              <w:bottom w:w="90" w:type="dxa"/>
              <w:left w:w="140" w:type="dxa"/>
              <w:right w:w="140" w:type="dxa"/>
            </w:tcMar>
          </w:tcPr>
          <w:p>
            <w:pPr>
              <w:jc w:val="left"/>
            </w:pPr>
            <w:r>
              <w:rPr>
                <w:color w:val="222222"/>
                <w:sz w:val="18"/>
              </w:rPr>
              <w:t>0.9857 (98.6%)</w:t>
            </w:r>
          </w:p>
        </w:tc>
        <w:tc>
          <w:tcPr>
            <w:tcW w:type="dxa" w:w="1296"/>
            <w:shd w:fill="FFFFFF"/>
            <w:tcMar>
              <w:top w:w="90" w:type="dxa"/>
              <w:bottom w:w="90" w:type="dxa"/>
              <w:left w:w="140" w:type="dxa"/>
              <w:right w:w="140" w:type="dxa"/>
            </w:tcMar>
          </w:tcPr>
          <w:p>
            <w:pPr>
              <w:jc w:val="left"/>
            </w:pPr>
            <w:r>
              <w:rPr>
                <w:color w:val="222222"/>
                <w:sz w:val="18"/>
              </w:rPr>
              <w:t>71 patients</w:t>
            </w:r>
          </w:p>
        </w:tc>
      </w:tr>
      <w:tr>
        <w:tc>
          <w:tcPr>
            <w:tcW w:type="dxa" w:w="3024"/>
            <w:shd w:fill="F4F7FA"/>
            <w:tcMar>
              <w:top w:w="90" w:type="dxa"/>
              <w:bottom w:w="90" w:type="dxa"/>
              <w:left w:w="140" w:type="dxa"/>
              <w:right w:w="140" w:type="dxa"/>
            </w:tcMar>
          </w:tcPr>
          <w:p>
            <w:pPr>
              <w:jc w:val="left"/>
            </w:pPr>
            <w:r>
              <w:rPr>
                <w:color w:val="222222"/>
                <w:sz w:val="18"/>
              </w:rPr>
              <w:t>Macro Average</w:t>
            </w:r>
          </w:p>
        </w:tc>
        <w:tc>
          <w:tcPr>
            <w:tcW w:type="dxa" w:w="1584"/>
            <w:shd w:fill="F4F7FA"/>
            <w:tcMar>
              <w:top w:w="90" w:type="dxa"/>
              <w:bottom w:w="90" w:type="dxa"/>
              <w:left w:w="140" w:type="dxa"/>
              <w:right w:w="140" w:type="dxa"/>
            </w:tcMar>
          </w:tcPr>
          <w:p>
            <w:pPr>
              <w:jc w:val="left"/>
            </w:pPr>
            <w:r>
              <w:rPr>
                <w:color w:val="222222"/>
                <w:sz w:val="18"/>
              </w:rPr>
              <w:t>0.9865 (98.7%)</w:t>
            </w:r>
          </w:p>
        </w:tc>
        <w:tc>
          <w:tcPr>
            <w:tcW w:type="dxa" w:w="1872"/>
            <w:shd w:fill="F4F7FA"/>
            <w:tcMar>
              <w:top w:w="90" w:type="dxa"/>
              <w:bottom w:w="90" w:type="dxa"/>
              <w:left w:w="140" w:type="dxa"/>
              <w:right w:w="140" w:type="dxa"/>
            </w:tcMar>
          </w:tcPr>
          <w:p>
            <w:pPr>
              <w:jc w:val="left"/>
            </w:pPr>
            <w:r>
              <w:rPr>
                <w:color w:val="222222"/>
                <w:sz w:val="18"/>
              </w:rPr>
              <w:t>0.9842 (98.4%)</w:t>
            </w:r>
          </w:p>
        </w:tc>
        <w:tc>
          <w:tcPr>
            <w:tcW w:type="dxa" w:w="1584"/>
            <w:shd w:fill="F4F7FA"/>
            <w:tcMar>
              <w:top w:w="90" w:type="dxa"/>
              <w:bottom w:w="90" w:type="dxa"/>
              <w:left w:w="140" w:type="dxa"/>
              <w:right w:w="140" w:type="dxa"/>
            </w:tcMar>
          </w:tcPr>
          <w:p>
            <w:pPr>
              <w:jc w:val="left"/>
            </w:pPr>
            <w:r>
              <w:rPr>
                <w:color w:val="222222"/>
                <w:sz w:val="18"/>
              </w:rPr>
              <w:t>0.9853 (98.5%)</w:t>
            </w:r>
          </w:p>
        </w:tc>
        <w:tc>
          <w:tcPr>
            <w:tcW w:type="dxa" w:w="1296"/>
            <w:shd w:fill="F4F7FA"/>
            <w:tcMar>
              <w:top w:w="90" w:type="dxa"/>
              <w:bottom w:w="90" w:type="dxa"/>
              <w:left w:w="140" w:type="dxa"/>
              <w:right w:w="140" w:type="dxa"/>
            </w:tcMar>
          </w:tcPr>
          <w:p>
            <w:pPr>
              <w:jc w:val="left"/>
            </w:pPr>
            <w:r>
              <w:rPr>
                <w:color w:val="222222"/>
                <w:sz w:val="18"/>
              </w:rPr>
              <w:t>285 patients</w:t>
            </w:r>
          </w:p>
        </w:tc>
      </w:tr>
      <w:tr>
        <w:tc>
          <w:tcPr>
            <w:tcW w:type="dxa" w:w="3024"/>
            <w:shd w:fill="FFFFFF"/>
            <w:tcMar>
              <w:top w:w="90" w:type="dxa"/>
              <w:bottom w:w="90" w:type="dxa"/>
              <w:left w:w="140" w:type="dxa"/>
              <w:right w:w="140" w:type="dxa"/>
            </w:tcMar>
          </w:tcPr>
          <w:p>
            <w:pPr>
              <w:jc w:val="left"/>
            </w:pPr>
            <w:r>
              <w:rPr>
                <w:color w:val="222222"/>
                <w:sz w:val="18"/>
              </w:rPr>
              <w:t>Weighted Average</w:t>
            </w:r>
          </w:p>
        </w:tc>
        <w:tc>
          <w:tcPr>
            <w:tcW w:type="dxa" w:w="1584"/>
            <w:shd w:fill="FFFFFF"/>
            <w:tcMar>
              <w:top w:w="90" w:type="dxa"/>
              <w:bottom w:w="90" w:type="dxa"/>
              <w:left w:w="140" w:type="dxa"/>
              <w:right w:w="140" w:type="dxa"/>
            </w:tcMar>
          </w:tcPr>
          <w:p>
            <w:pPr>
              <w:jc w:val="left"/>
            </w:pPr>
            <w:r>
              <w:rPr>
                <w:color w:val="222222"/>
                <w:sz w:val="18"/>
              </w:rPr>
              <w:t>0.9862 (98.6%)</w:t>
            </w:r>
          </w:p>
        </w:tc>
        <w:tc>
          <w:tcPr>
            <w:tcW w:type="dxa" w:w="1872"/>
            <w:shd w:fill="FFFFFF"/>
            <w:tcMar>
              <w:top w:w="90" w:type="dxa"/>
              <w:bottom w:w="90" w:type="dxa"/>
              <w:left w:w="140" w:type="dxa"/>
              <w:right w:w="140" w:type="dxa"/>
            </w:tcMar>
          </w:tcPr>
          <w:p>
            <w:pPr>
              <w:jc w:val="left"/>
            </w:pPr>
            <w:r>
              <w:rPr>
                <w:color w:val="222222"/>
                <w:sz w:val="18"/>
              </w:rPr>
              <w:t>0.9860 (98.6%)</w:t>
            </w:r>
          </w:p>
        </w:tc>
        <w:tc>
          <w:tcPr>
            <w:tcW w:type="dxa" w:w="1584"/>
            <w:shd w:fill="FFFFFF"/>
            <w:tcMar>
              <w:top w:w="90" w:type="dxa"/>
              <w:bottom w:w="90" w:type="dxa"/>
              <w:left w:w="140" w:type="dxa"/>
              <w:right w:w="140" w:type="dxa"/>
            </w:tcMar>
          </w:tcPr>
          <w:p>
            <w:pPr>
              <w:jc w:val="left"/>
            </w:pPr>
            <w:r>
              <w:rPr>
                <w:color w:val="222222"/>
                <w:sz w:val="18"/>
              </w:rPr>
              <w:t>0.9860 (98.6%)</w:t>
            </w:r>
          </w:p>
        </w:tc>
        <w:tc>
          <w:tcPr>
            <w:tcW w:type="dxa" w:w="1296"/>
            <w:shd w:fill="FFFFFF"/>
            <w:tcMar>
              <w:top w:w="90" w:type="dxa"/>
              <w:bottom w:w="90" w:type="dxa"/>
              <w:left w:w="140" w:type="dxa"/>
              <w:right w:w="140" w:type="dxa"/>
            </w:tcMar>
          </w:tcPr>
          <w:p>
            <w:pPr>
              <w:jc w:val="left"/>
            </w:pPr>
            <w:r>
              <w:rPr>
                <w:color w:val="222222"/>
                <w:sz w:val="18"/>
              </w:rPr>
              <w:t>285 patients</w:t>
            </w:r>
          </w:p>
        </w:tc>
      </w:tr>
    </w:tbl>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36" w:space="0" w:color="990000"/>
              <w:top w:val="none"/>
              <w:bottom w:val="none"/>
              <w:right w:val="none"/>
            </w:tcBorders>
          </w:tcPr>
          <w:p>
            <w:pPr>
              <w:spacing w:after="40"/>
            </w:pPr>
            <w:r>
              <w:rPr>
                <w:b/>
                <w:color w:val="B91C1C"/>
                <w:sz w:val="20"/>
              </w:rPr>
              <w:t>⚠️ Critical Medical Safety Margins</w:t>
              <w:br/>
            </w:r>
            <w:r>
              <w:rPr>
                <w:color w:val="222222"/>
                <w:sz w:val="19"/>
              </w:rPr>
              <w:t>In clinical diagnostic AI, false reassurance (misclassifying a high-risk diabetic patient as low risk) can lead to unmonitored diabetic retinopathy or ketoacidosis. The confusion matrix confirms: ZERO High Risk patients were misclassified as Low Risk (0/71 misses). The 2 borderline cases were placed in Medium Risk (Pre-diabetic), guaranteeing prompt clinical follow-up.</w:t>
            </w:r>
          </w:p>
        </w:tc>
      </w:tr>
    </w:tbl>
    <w:p/>
    <w:p>
      <w:pPr>
        <w:spacing w:before="160" w:after="80"/>
        <w:jc w:val="center"/>
      </w:pPr>
      <w:r>
        <w:drawing>
          <wp:inline xmlns:a="http://schemas.openxmlformats.org/drawingml/2006/main" xmlns:pic="http://schemas.openxmlformats.org/drawingml/2006/picture">
            <wp:extent cx="5669280" cy="2456688"/>
            <wp:docPr id="5" name="Picture 5"/>
            <wp:cNvGraphicFramePr>
              <a:graphicFrameLocks noChangeAspect="1"/>
            </wp:cNvGraphicFramePr>
            <a:graphic>
              <a:graphicData uri="http://schemas.openxmlformats.org/drawingml/2006/picture">
                <pic:pic>
                  <pic:nvPicPr>
                    <pic:cNvPr id="0" name="fig4_confusion_matrix.png"/>
                    <pic:cNvPicPr/>
                  </pic:nvPicPr>
                  <pic:blipFill>
                    <a:blip r:embed="rId15"/>
                    <a:stretch>
                      <a:fillRect/>
                    </a:stretch>
                  </pic:blipFill>
                  <pic:spPr>
                    <a:xfrm>
                      <a:off x="0" y="0"/>
                      <a:ext cx="5669280" cy="2456688"/>
                    </a:xfrm>
                    <a:prstGeom prst="rect"/>
                  </pic:spPr>
                </pic:pic>
              </a:graphicData>
            </a:graphic>
          </wp:inline>
        </w:drawing>
      </w:r>
    </w:p>
    <w:p>
      <w:pPr>
        <w:spacing w:after="240"/>
        <w:jc w:val="center"/>
      </w:pPr>
      <w:r>
        <w:rPr>
          <w:i/>
          <w:color w:val="64748B"/>
          <w:sz w:val="18"/>
        </w:rPr>
        <w:t>Figure 7.1: Out-of-Sample Confusion Matrix (N = 285) &amp; Per-Class Metric Breakdown.</w:t>
      </w:r>
    </w:p>
    <w:p>
      <w:pPr>
        <w:spacing w:before="160" w:after="80"/>
        <w:jc w:val="center"/>
      </w:pPr>
      <w:r>
        <w:drawing>
          <wp:inline xmlns:a="http://schemas.openxmlformats.org/drawingml/2006/main" xmlns:pic="http://schemas.openxmlformats.org/drawingml/2006/picture">
            <wp:extent cx="5669280" cy="2456688"/>
            <wp:docPr id="6" name="Picture 6"/>
            <wp:cNvGraphicFramePr>
              <a:graphicFrameLocks noChangeAspect="1"/>
            </wp:cNvGraphicFramePr>
            <a:graphic>
              <a:graphicData uri="http://schemas.openxmlformats.org/drawingml/2006/picture">
                <pic:pic>
                  <pic:nvPicPr>
                    <pic:cNvPr id="0" name="fig5_roc_curves.png"/>
                    <pic:cNvPicPr/>
                  </pic:nvPicPr>
                  <pic:blipFill>
                    <a:blip r:embed="rId16"/>
                    <a:stretch>
                      <a:fillRect/>
                    </a:stretch>
                  </pic:blipFill>
                  <pic:spPr>
                    <a:xfrm>
                      <a:off x="0" y="0"/>
                      <a:ext cx="5669280" cy="2456688"/>
                    </a:xfrm>
                    <a:prstGeom prst="rect"/>
                  </pic:spPr>
                </pic:pic>
              </a:graphicData>
            </a:graphic>
          </wp:inline>
        </w:drawing>
      </w:r>
    </w:p>
    <w:p>
      <w:pPr>
        <w:spacing w:after="240"/>
        <w:jc w:val="center"/>
      </w:pPr>
      <w:r>
        <w:rPr>
          <w:i/>
          <w:color w:val="64748B"/>
          <w:sz w:val="18"/>
        </w:rPr>
        <w:t>Figure 7.2: Multi-Class Receiver Operating Characteristic (ROC) &amp; Precision-Recall Curves (AUC = 0.9993).</w:t>
      </w:r>
    </w:p>
    <w:p>
      <w:pPr>
        <w:keepNext/>
        <w:spacing w:before="400" w:after="160"/>
      </w:pPr>
      <w:r>
        <w:rPr>
          <w:rFonts w:ascii="Arial" w:hAnsi="Arial"/>
          <w:b/>
          <w:color w:val="1B365D"/>
          <w:sz w:val="34"/>
        </w:rPr>
        <w:t>Phase 8: Production REST API Design &amp; Asynchronous Architecture</w:t>
      </w:r>
    </w:p>
    <w:p>
      <w:r>
        <w:t>To deploy the PyTorch model for real-time inference, the application is wrapped in an asynchronous FastAPI service run via Uvicorn ASGI on port 7860. FastAPI provides native OpenAPI 3.0 (Swagger) interactive documentation, sub-millisecond route dispatching, and high-concurrency asynchronous I/O.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1440"/>
            <w:shd w:fill="1B365D"/>
            <w:tcMar>
              <w:top w:w="120" w:type="dxa"/>
              <w:bottom w:w="120" w:type="dxa"/>
              <w:left w:w="140" w:type="dxa"/>
              <w:right w:w="140" w:type="dxa"/>
            </w:tcMar>
          </w:tcPr>
          <w:p>
            <w:pPr>
              <w:jc w:val="left"/>
            </w:pPr>
            <w:r>
              <w:rPr>
                <w:b/>
                <w:color w:val="FFFFFF"/>
                <w:sz w:val="19"/>
              </w:rPr>
              <w:t>Method</w:t>
            </w:r>
          </w:p>
        </w:tc>
        <w:tc>
          <w:tcPr>
            <w:tcW w:type="dxa" w:w="2304"/>
            <w:shd w:fill="1B365D"/>
            <w:tcMar>
              <w:top w:w="120" w:type="dxa"/>
              <w:bottom w:w="120" w:type="dxa"/>
              <w:left w:w="140" w:type="dxa"/>
              <w:right w:w="140" w:type="dxa"/>
            </w:tcMar>
          </w:tcPr>
          <w:p>
            <w:pPr>
              <w:jc w:val="left"/>
            </w:pPr>
            <w:r>
              <w:rPr>
                <w:b/>
                <w:color w:val="FFFFFF"/>
                <w:sz w:val="19"/>
              </w:rPr>
              <w:t>Path</w:t>
            </w:r>
          </w:p>
        </w:tc>
        <w:tc>
          <w:tcPr>
            <w:tcW w:type="dxa" w:w="5616"/>
            <w:shd w:fill="1B365D"/>
            <w:tcMar>
              <w:top w:w="120" w:type="dxa"/>
              <w:bottom w:w="120" w:type="dxa"/>
              <w:left w:w="140" w:type="dxa"/>
              <w:right w:w="140" w:type="dxa"/>
            </w:tcMar>
          </w:tcPr>
          <w:p>
            <w:pPr>
              <w:jc w:val="left"/>
            </w:pPr>
            <w:r>
              <w:rPr>
                <w:b/>
                <w:color w:val="FFFFFF"/>
                <w:sz w:val="19"/>
              </w:rPr>
              <w:t>Functional Architecture Description</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w:t>
            </w:r>
          </w:p>
        </w:tc>
        <w:tc>
          <w:tcPr>
            <w:tcW w:type="dxa" w:w="5616"/>
            <w:shd w:fill="FFFFFF"/>
            <w:tcMar>
              <w:top w:w="90" w:type="dxa"/>
              <w:bottom w:w="90" w:type="dxa"/>
              <w:left w:w="140" w:type="dxa"/>
              <w:right w:w="140" w:type="dxa"/>
            </w:tcMar>
          </w:tcPr>
          <w:p>
            <w:pPr>
              <w:jc w:val="left"/>
            </w:pPr>
            <w:r>
              <w:rPr>
                <w:color w:val="222222"/>
                <w:sz w:val="18"/>
              </w:rPr>
              <w:t>Interactive Web Dashboard (HTML5) when accessed via browser; API root specification for JSON clients</w:t>
            </w:r>
          </w:p>
        </w:tc>
      </w:tr>
      <w:tr>
        <w:tc>
          <w:tcPr>
            <w:tcW w:type="dxa" w:w="1440"/>
            <w:shd w:fill="F4F7FA"/>
            <w:tcMar>
              <w:top w:w="90" w:type="dxa"/>
              <w:bottom w:w="90" w:type="dxa"/>
              <w:left w:w="140" w:type="dxa"/>
              <w:right w:w="140" w:type="dxa"/>
            </w:tcMar>
          </w:tcPr>
          <w:p>
            <w:pPr>
              <w:jc w:val="left"/>
            </w:pPr>
            <w:r>
              <w:rPr>
                <w:color w:val="222222"/>
                <w:sz w:val="18"/>
              </w:rPr>
              <w:t>POST</w:t>
            </w:r>
          </w:p>
        </w:tc>
        <w:tc>
          <w:tcPr>
            <w:tcW w:type="dxa" w:w="2304"/>
            <w:shd w:fill="F4F7FA"/>
            <w:tcMar>
              <w:top w:w="90" w:type="dxa"/>
              <w:bottom w:w="90" w:type="dxa"/>
              <w:left w:w="140" w:type="dxa"/>
              <w:right w:w="140" w:type="dxa"/>
            </w:tcMar>
          </w:tcPr>
          <w:p>
            <w:pPr>
              <w:jc w:val="left"/>
            </w:pPr>
            <w:r>
              <w:rPr>
                <w:color w:val="222222"/>
                <w:sz w:val="18"/>
              </w:rPr>
              <w:t>/</w:t>
            </w:r>
          </w:p>
        </w:tc>
        <w:tc>
          <w:tcPr>
            <w:tcW w:type="dxa" w:w="5616"/>
            <w:shd w:fill="F4F7FA"/>
            <w:tcMar>
              <w:top w:w="90" w:type="dxa"/>
              <w:bottom w:w="90" w:type="dxa"/>
              <w:left w:w="140" w:type="dxa"/>
              <w:right w:w="140" w:type="dxa"/>
            </w:tcMar>
          </w:tcPr>
          <w:p>
            <w:pPr>
              <w:jc w:val="left"/>
            </w:pPr>
            <w:r>
              <w:rPr>
                <w:color w:val="222222"/>
                <w:sz w:val="18"/>
              </w:rPr>
              <w:t>Transparent root POST fallback: routes patient payloads directly to /predict, eliminating 405 errors</w:t>
            </w:r>
          </w:p>
        </w:tc>
      </w:tr>
      <w:tr>
        <w:tc>
          <w:tcPr>
            <w:tcW w:type="dxa" w:w="1440"/>
            <w:shd w:fill="FFFFFF"/>
            <w:tcMar>
              <w:top w:w="90" w:type="dxa"/>
              <w:bottom w:w="90" w:type="dxa"/>
              <w:left w:w="140" w:type="dxa"/>
              <w:right w:w="140" w:type="dxa"/>
            </w:tcMar>
          </w:tcPr>
          <w:p>
            <w:pPr>
              <w:jc w:val="left"/>
            </w:pPr>
            <w:r>
              <w:rPr>
                <w:color w:val="222222"/>
                <w:sz w:val="18"/>
              </w:rPr>
              <w:t>POST</w:t>
            </w:r>
          </w:p>
        </w:tc>
        <w:tc>
          <w:tcPr>
            <w:tcW w:type="dxa" w:w="2304"/>
            <w:shd w:fill="FFFFFF"/>
            <w:tcMar>
              <w:top w:w="90" w:type="dxa"/>
              <w:bottom w:w="90" w:type="dxa"/>
              <w:left w:w="140" w:type="dxa"/>
              <w:right w:w="140" w:type="dxa"/>
            </w:tcMar>
          </w:tcPr>
          <w:p>
            <w:pPr>
              <w:jc w:val="left"/>
            </w:pPr>
            <w:r>
              <w:rPr>
                <w:color w:val="222222"/>
                <w:sz w:val="18"/>
              </w:rPr>
              <w:t>/predict</w:t>
            </w:r>
          </w:p>
        </w:tc>
        <w:tc>
          <w:tcPr>
            <w:tcW w:type="dxa" w:w="5616"/>
            <w:shd w:fill="FFFFFF"/>
            <w:tcMar>
              <w:top w:w="90" w:type="dxa"/>
              <w:bottom w:w="90" w:type="dxa"/>
              <w:left w:w="140" w:type="dxa"/>
              <w:right w:w="140" w:type="dxa"/>
            </w:tcMar>
          </w:tcPr>
          <w:p>
            <w:pPr>
              <w:jc w:val="left"/>
            </w:pPr>
            <w:r>
              <w:rPr>
                <w:color w:val="222222"/>
                <w:sz w:val="18"/>
              </w:rPr>
              <w:t>Core prediction endpoint: evaluates single patient clinical metrics and returns severity &amp; confidence</w:t>
            </w:r>
          </w:p>
        </w:tc>
      </w:tr>
      <w:tr>
        <w:tc>
          <w:tcPr>
            <w:tcW w:type="dxa" w:w="1440"/>
            <w:shd w:fill="F4F7FA"/>
            <w:tcMar>
              <w:top w:w="90" w:type="dxa"/>
              <w:bottom w:w="90" w:type="dxa"/>
              <w:left w:w="140" w:type="dxa"/>
              <w:right w:w="140" w:type="dxa"/>
            </w:tcMar>
          </w:tcPr>
          <w:p>
            <w:pPr>
              <w:jc w:val="left"/>
            </w:pPr>
            <w:r>
              <w:rPr>
                <w:color w:val="222222"/>
                <w:sz w:val="18"/>
              </w:rPr>
              <w:t>POST</w:t>
            </w:r>
          </w:p>
        </w:tc>
        <w:tc>
          <w:tcPr>
            <w:tcW w:type="dxa" w:w="2304"/>
            <w:shd w:fill="F4F7FA"/>
            <w:tcMar>
              <w:top w:w="90" w:type="dxa"/>
              <w:bottom w:w="90" w:type="dxa"/>
              <w:left w:w="140" w:type="dxa"/>
              <w:right w:w="140" w:type="dxa"/>
            </w:tcMar>
          </w:tcPr>
          <w:p>
            <w:pPr>
              <w:jc w:val="left"/>
            </w:pPr>
            <w:r>
              <w:rPr>
                <w:color w:val="222222"/>
                <w:sz w:val="18"/>
              </w:rPr>
              <w:t>/predict/batch</w:t>
            </w:r>
          </w:p>
        </w:tc>
        <w:tc>
          <w:tcPr>
            <w:tcW w:type="dxa" w:w="5616"/>
            <w:shd w:fill="F4F7FA"/>
            <w:tcMar>
              <w:top w:w="90" w:type="dxa"/>
              <w:bottom w:w="90" w:type="dxa"/>
              <w:left w:w="140" w:type="dxa"/>
              <w:right w:w="140" w:type="dxa"/>
            </w:tcMar>
          </w:tcPr>
          <w:p>
            <w:pPr>
              <w:jc w:val="left"/>
            </w:pPr>
            <w:r>
              <w:rPr>
                <w:color w:val="222222"/>
                <w:sz w:val="18"/>
              </w:rPr>
              <w:t>Batch prediction endpoint: processes arrays of up to 500 patient records in a single vector forward pass</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/health</w:t>
            </w:r>
          </w:p>
        </w:tc>
        <w:tc>
          <w:tcPr>
            <w:tcW w:type="dxa" w:w="5616"/>
            <w:shd w:fill="FFFFFF"/>
            <w:tcMar>
              <w:top w:w="90" w:type="dxa"/>
              <w:bottom w:w="90" w:type="dxa"/>
              <w:left w:w="140" w:type="dxa"/>
              <w:right w:w="140" w:type="dxa"/>
            </w:tcMar>
          </w:tcPr>
          <w:p>
            <w:pPr>
              <w:jc w:val="left"/>
            </w:pPr>
            <w:r>
              <w:rPr>
                <w:color w:val="222222"/>
                <w:sz w:val="18"/>
              </w:rPr>
              <w:t>System health check: verifies neural weights loaded, runtime status, and model metadata</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/model-info</w:t>
            </w:r>
          </w:p>
        </w:tc>
        <w:tc>
          <w:tcPr>
            <w:tcW w:type="dxa" w:w="5616"/>
            <w:shd w:fill="F4F7FA"/>
            <w:tcMar>
              <w:top w:w="90" w:type="dxa"/>
              <w:bottom w:w="90" w:type="dxa"/>
              <w:left w:w="140" w:type="dxa"/>
              <w:right w:w="140" w:type="dxa"/>
            </w:tcMar>
          </w:tcPr>
          <w:p>
            <w:pPr>
              <w:jc w:val="left"/>
            </w:pPr>
            <w:r>
              <w:rPr>
                <w:color w:val="222222"/>
                <w:sz w:val="18"/>
              </w:rPr>
              <w:t>Metadata endpoint: inspects training accuracy, architecture, feature names, scaler means, and scales</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/data/stats</w:t>
            </w:r>
          </w:p>
        </w:tc>
        <w:tc>
          <w:tcPr>
            <w:tcW w:type="dxa" w:w="5616"/>
            <w:shd w:fill="FFFFFF"/>
            <w:tcMar>
              <w:top w:w="90" w:type="dxa"/>
              <w:bottom w:w="90" w:type="dxa"/>
              <w:left w:w="140" w:type="dxa"/>
              <w:right w:w="140" w:type="dxa"/>
            </w:tcMar>
          </w:tcPr>
          <w:p>
            <w:pPr>
              <w:jc w:val="left"/>
            </w:pPr>
            <w:r>
              <w:rPr>
                <w:color w:val="222222"/>
                <w:sz w:val="18"/>
              </w:rPr>
              <w:t>Exploratory statistics: class distribution and numeric summary of the 1,898 reference records</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/data/sample</w:t>
            </w:r>
          </w:p>
        </w:tc>
        <w:tc>
          <w:tcPr>
            <w:tcW w:type="dxa" w:w="5616"/>
            <w:shd w:fill="F4F7FA"/>
            <w:tcMar>
              <w:top w:w="90" w:type="dxa"/>
              <w:bottom w:w="90" w:type="dxa"/>
              <w:left w:w="140" w:type="dxa"/>
              <w:right w:w="140" w:type="dxa"/>
            </w:tcMar>
          </w:tcPr>
          <w:p>
            <w:pPr>
              <w:jc w:val="left"/>
            </w:pPr>
            <w:r>
              <w:rPr>
                <w:color w:val="222222"/>
                <w:sz w:val="18"/>
              </w:rPr>
              <w:t>Data sampler: retrieves n random anonymized patient records for client-side testing</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/docs</w:t>
            </w:r>
          </w:p>
        </w:tc>
        <w:tc>
          <w:tcPr>
            <w:tcW w:type="dxa" w:w="5616"/>
            <w:shd w:fill="FFFFFF"/>
            <w:tcMar>
              <w:top w:w="90" w:type="dxa"/>
              <w:bottom w:w="90" w:type="dxa"/>
              <w:left w:w="140" w:type="dxa"/>
              <w:right w:w="140" w:type="dxa"/>
            </w:tcMar>
          </w:tcPr>
          <w:p>
            <w:pPr>
              <w:jc w:val="left"/>
            </w:pPr>
            <w:r>
              <w:rPr>
                <w:color w:val="222222"/>
                <w:sz w:val="18"/>
              </w:rPr>
              <w:t>Interactive Swagger UI dashboard for live zero-code API execution and exploration</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/redoc</w:t>
            </w:r>
          </w:p>
        </w:tc>
        <w:tc>
          <w:tcPr>
            <w:tcW w:type="dxa" w:w="5616"/>
            <w:shd w:fill="F4F7FA"/>
            <w:tcMar>
              <w:top w:w="90" w:type="dxa"/>
              <w:bottom w:w="90" w:type="dxa"/>
              <w:left w:w="140" w:type="dxa"/>
              <w:right w:w="140" w:type="dxa"/>
            </w:tcMar>
          </w:tcPr>
          <w:p>
            <w:pPr>
              <w:jc w:val="left"/>
            </w:pPr>
            <w:r>
              <w:rPr>
                <w:color w:val="222222"/>
                <w:sz w:val="18"/>
              </w:rPr>
              <w:t>ReDoc publication-grade technical API documentation</w:t>
            </w:r>
          </w:p>
        </w:tc>
      </w:tr>
    </w:tbl>
    <w:p/>
    <w:p>
      <w:pPr>
        <w:spacing w:before="160" w:after="8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6_system_architecture.png"/>
                    <pic:cNvPicPr/>
                  </pic:nvPicPr>
                  <pic:blipFill>
                    <a:blip r:embed="rId17"/>
                    <a:stretch>
                      <a:fillRect/>
                    </a:stretch>
                  </pic:blipFill>
                  <pic:spPr>
                    <a:xfrm>
                      <a:off x="0" y="0"/>
                      <a:ext cx="5669280" cy="3401568"/>
                    </a:xfrm>
                    <a:prstGeom prst="rect"/>
                  </pic:spPr>
                </pic:pic>
              </a:graphicData>
            </a:graphic>
          </wp:inline>
        </w:drawing>
      </w:r>
    </w:p>
    <w:p>
      <w:pPr>
        <w:spacing w:after="240"/>
        <w:jc w:val="center"/>
      </w:pPr>
      <w:r>
        <w:rPr>
          <w:i/>
          <w:color w:val="64748B"/>
          <w:sz w:val="18"/>
        </w:rPr>
        <w:t>Figure 8.1: End-to-End System Architecture Topology &amp; Multi-Tier Cloud Deployment.</w:t>
      </w:r>
    </w:p>
    <w:p>
      <w:pPr>
        <w:keepNext/>
        <w:spacing w:before="400" w:after="160"/>
      </w:pPr>
      <w:r>
        <w:rPr>
          <w:rFonts w:ascii="Arial" w:hAnsi="Arial"/>
          <w:b/>
          <w:color w:val="1B365D"/>
          <w:sz w:val="34"/>
        </w:rPr>
        <w:t>Phase 9: AI Agent Interoperability: Model Context Protocol (MCP) &amp; A2A</w:t>
      </w:r>
    </w:p>
    <w:p>
      <w:r>
        <w:t>Modern enterprise software increasingly integrates AI coding assistants, autonomous agents, and Large Language Model (LLM) tooling. Anthropic's Model Context Protocol (MCP) standardizes how LLMs query external tools and databases. Furthermore, the Agent-to-Agent (A2A) protocol standardizes agent discovery via well-known manifests.</w:t>
      </w:r>
    </w:p>
    <w:p>
      <w:r>
        <w:t>When deployed to public cloud platforms like Hugging Face Spaces, automated crawler bots and AI tools probe endpoints like /mcp, /sse, /v1/mcp, /.well-known/agent.json, and /.well-known/ai-plugin.json. To eliminate 404 errors and provide genuine agent integration, our API implements a unified MCP gateway that supports standard JSON-RPC 2.0 protocol specifications:</w:t>
      </w:r>
    </w:p>
    <w:p>
      <w:r>
        <w:t>• initialize: Responds with server capabilities and protocol version 2024-11-05.</w:t>
        <w:br/>
        <w:t>• tools/list: Publishes the predict_diabetes_risk tool schema with parameter typing and field constraints.</w:t>
        <w:br/>
        <w:t>• tools/call: Executes the PyTorch model using parameters supplied by an external AI agent and returns formatted JSON risk assessments.</w:t>
        <w:br/>
        <w:t>• /.well-known/agent.json: Publishes the standardized Agent-to-Agent (A2A) discovery card.</w:t>
        <w:br/>
        <w:t>• /.well-known/ai-plugin.json: Publishes the OpenAI plugin manifest pointing to /openapi.json.</w:t>
      </w:r>
    </w:p>
    <w:p>
      <w:pPr>
        <w:keepNext/>
        <w:spacing w:before="400" w:after="160"/>
      </w:pPr>
      <w:r>
        <w:rPr>
          <w:rFonts w:ascii="Arial" w:hAnsi="Arial"/>
          <w:b/>
          <w:color w:val="1B365D"/>
          <w:sz w:val="34"/>
        </w:rPr>
        <w:t>Phase 10: Input Validation, Normalization &amp; Zero-Crash Resilience Architecture</w:t>
      </w:r>
    </w:p>
    <w:p>
      <w:r>
        <w:t>In real-world clinical and mobile environments, client software frequently introduces variations in casing, units, or missing optional values. A production microservice must exhibit resilience rather than failing with uninformative 422 errors. The PatientInput Pydantic schema incorporates pre-validation hooks that transparently normalize client data: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B365D"/>
            <w:tcMar>
              <w:top w:w="120" w:type="dxa"/>
              <w:bottom w:w="120" w:type="dxa"/>
              <w:left w:w="140" w:type="dxa"/>
              <w:right w:w="140" w:type="dxa"/>
            </w:tcMar>
          </w:tcPr>
          <w:p>
            <w:pPr>
              <w:jc w:val="left"/>
            </w:pPr>
            <w:r>
              <w:rPr>
                <w:b/>
                <w:color w:val="FFFFFF"/>
                <w:sz w:val="19"/>
              </w:rPr>
              <w:t>Resilience Feature</w:t>
            </w:r>
          </w:p>
        </w:tc>
        <w:tc>
          <w:tcPr>
            <w:tcW w:type="dxa" w:w="3168"/>
            <w:shd w:fill="1B365D"/>
            <w:tcMar>
              <w:top w:w="120" w:type="dxa"/>
              <w:bottom w:w="120" w:type="dxa"/>
              <w:left w:w="140" w:type="dxa"/>
              <w:right w:w="140" w:type="dxa"/>
            </w:tcMar>
          </w:tcPr>
          <w:p>
            <w:pPr>
              <w:jc w:val="left"/>
            </w:pPr>
            <w:r>
              <w:rPr>
                <w:b/>
                <w:color w:val="FFFFFF"/>
                <w:sz w:val="19"/>
              </w:rPr>
              <w:t>Incoming Client Scenario</w:t>
            </w:r>
          </w:p>
        </w:tc>
        <w:tc>
          <w:tcPr>
            <w:tcW w:type="dxa" w:w="3312"/>
            <w:shd w:fill="1B365D"/>
            <w:tcMar>
              <w:top w:w="120" w:type="dxa"/>
              <w:bottom w:w="120" w:type="dxa"/>
              <w:left w:w="140" w:type="dxa"/>
              <w:right w:w="140" w:type="dxa"/>
            </w:tcMar>
          </w:tcPr>
          <w:p>
            <w:pPr>
              <w:jc w:val="left"/>
            </w:pPr>
            <w:r>
              <w:rPr>
                <w:b/>
                <w:color w:val="FFFFFF"/>
                <w:sz w:val="19"/>
              </w:rPr>
              <w:t>Engineered Resolution Protocol</w:t>
            </w:r>
          </w:p>
        </w:tc>
      </w:tr>
      <w:tr>
        <w:tc>
          <w:tcPr>
            <w:tcW w:type="dxa" w:w="2880"/>
            <w:shd w:fill="FFFFFF"/>
            <w:tcMar>
              <w:top w:w="90" w:type="dxa"/>
              <w:bottom w:w="90" w:type="dxa"/>
              <w:left w:w="140" w:type="dxa"/>
              <w:right w:w="140" w:type="dxa"/>
            </w:tcMar>
          </w:tcPr>
          <w:p>
            <w:pPr>
              <w:jc w:val="left"/>
            </w:pPr>
            <w:r>
              <w:rPr>
                <w:color w:val="222222"/>
                <w:sz w:val="18"/>
              </w:rPr>
              <w:t>Case-Insensitive Aliasing</w:t>
            </w:r>
          </w:p>
        </w:tc>
        <w:tc>
          <w:tcPr>
            <w:tcW w:type="dxa" w:w="3168"/>
            <w:shd w:fill="FFFFFF"/>
            <w:tcMar>
              <w:top w:w="90" w:type="dxa"/>
              <w:bottom w:w="90" w:type="dxa"/>
              <w:left w:w="140" w:type="dxa"/>
              <w:right w:w="140" w:type="dxa"/>
            </w:tcMar>
          </w:tcPr>
          <w:p>
            <w:pPr>
              <w:jc w:val="left"/>
            </w:pPr>
            <w:r>
              <w:rPr>
                <w:color w:val="222222"/>
                <w:sz w:val="18"/>
              </w:rPr>
              <w:t>Client sends 'age', 'glucose', 'hba1c'</w:t>
            </w:r>
          </w:p>
        </w:tc>
        <w:tc>
          <w:tcPr>
            <w:tcW w:type="dxa" w:w="3312"/>
            <w:shd w:fill="FFFFFF"/>
            <w:tcMar>
              <w:top w:w="90" w:type="dxa"/>
              <w:bottom w:w="90" w:type="dxa"/>
              <w:left w:w="140" w:type="dxa"/>
              <w:right w:w="140" w:type="dxa"/>
            </w:tcMar>
          </w:tcPr>
          <w:p>
            <w:pPr>
              <w:jc w:val="left"/>
            </w:pPr>
            <w:r>
              <w:rPr>
                <w:color w:val="222222"/>
                <w:sz w:val="18"/>
              </w:rPr>
              <w:t>Normalized transparently to canonical 'Age', 'Glucose', 'Hba1c'</w:t>
            </w:r>
          </w:p>
        </w:tc>
      </w:tr>
      <w:tr>
        <w:tc>
          <w:tcPr>
            <w:tcW w:type="dxa" w:w="2880"/>
            <w:shd w:fill="F4F7FA"/>
            <w:tcMar>
              <w:top w:w="90" w:type="dxa"/>
              <w:bottom w:w="90" w:type="dxa"/>
              <w:left w:w="140" w:type="dxa"/>
              <w:right w:w="140" w:type="dxa"/>
            </w:tcMar>
          </w:tcPr>
          <w:p>
            <w:pPr>
              <w:jc w:val="left"/>
            </w:pPr>
            <w:r>
              <w:rPr>
                <w:color w:val="222222"/>
                <w:sz w:val="18"/>
              </w:rPr>
              <w:t>Height Unit Auto-Conversion</w:t>
            </w:r>
          </w:p>
        </w:tc>
        <w:tc>
          <w:tcPr>
            <w:tcW w:type="dxa" w:w="3168"/>
            <w:shd w:fill="F4F7FA"/>
            <w:tcMar>
              <w:top w:w="90" w:type="dxa"/>
              <w:bottom w:w="90" w:type="dxa"/>
              <w:left w:w="140" w:type="dxa"/>
              <w:right w:w="140" w:type="dxa"/>
            </w:tcMar>
          </w:tcPr>
          <w:p>
            <w:pPr>
              <w:jc w:val="left"/>
            </w:pPr>
            <w:r>
              <w:rPr>
                <w:color w:val="222222"/>
                <w:sz w:val="18"/>
              </w:rPr>
              <w:t>Client sends height in cm (e.g. 172 cm)</w:t>
            </w:r>
          </w:p>
        </w:tc>
        <w:tc>
          <w:tcPr>
            <w:tcW w:type="dxa" w:w="3312"/>
            <w:shd w:fill="F4F7FA"/>
            <w:tcMar>
              <w:top w:w="90" w:type="dxa"/>
              <w:bottom w:w="90" w:type="dxa"/>
              <w:left w:w="140" w:type="dxa"/>
              <w:right w:w="140" w:type="dxa"/>
            </w:tcMar>
          </w:tcPr>
          <w:p>
            <w:pPr>
              <w:jc w:val="left"/>
            </w:pPr>
            <w:r>
              <w:rPr>
                <w:color w:val="222222"/>
                <w:sz w:val="18"/>
              </w:rPr>
              <w:t>Detected (height &gt; 3.0) and auto-divided by 100 to 1.72 m</w:t>
            </w:r>
          </w:p>
        </w:tc>
      </w:tr>
      <w:tr>
        <w:tc>
          <w:tcPr>
            <w:tcW w:type="dxa" w:w="2880"/>
            <w:shd w:fill="FFFFFF"/>
            <w:tcMar>
              <w:top w:w="90" w:type="dxa"/>
              <w:bottom w:w="90" w:type="dxa"/>
              <w:left w:w="140" w:type="dxa"/>
              <w:right w:w="140" w:type="dxa"/>
            </w:tcMar>
          </w:tcPr>
          <w:p>
            <w:pPr>
              <w:jc w:val="left"/>
            </w:pPr>
            <w:r>
              <w:rPr>
                <w:color w:val="222222"/>
                <w:sz w:val="18"/>
              </w:rPr>
              <w:t>Dynamic BMI Calculation</w:t>
            </w:r>
          </w:p>
        </w:tc>
        <w:tc>
          <w:tcPr>
            <w:tcW w:type="dxa" w:w="3168"/>
            <w:shd w:fill="FFFFFF"/>
            <w:tcMar>
              <w:top w:w="90" w:type="dxa"/>
              <w:bottom w:w="90" w:type="dxa"/>
              <w:left w:w="140" w:type="dxa"/>
              <w:right w:w="140" w:type="dxa"/>
            </w:tcMar>
          </w:tcPr>
          <w:p>
            <w:pPr>
              <w:jc w:val="left"/>
            </w:pPr>
            <w:r>
              <w:rPr>
                <w:color w:val="222222"/>
                <w:sz w:val="18"/>
              </w:rPr>
              <w:t>Client omits 'bmi' or passes null / 0</w:t>
            </w:r>
          </w:p>
        </w:tc>
        <w:tc>
          <w:tcPr>
            <w:tcW w:type="dxa" w:w="3312"/>
            <w:shd w:fill="FFFFFF"/>
            <w:tcMar>
              <w:top w:w="90" w:type="dxa"/>
              <w:bottom w:w="90" w:type="dxa"/>
              <w:left w:w="140" w:type="dxa"/>
              <w:right w:w="140" w:type="dxa"/>
            </w:tcMar>
          </w:tcPr>
          <w:p>
            <w:pPr>
              <w:jc w:val="left"/>
            </w:pPr>
            <w:r>
              <w:rPr>
                <w:color w:val="222222"/>
                <w:sz w:val="18"/>
              </w:rPr>
              <w:t>Auto-calculated using physiological formula: weight / (height²)</w:t>
            </w:r>
          </w:p>
        </w:tc>
      </w:tr>
      <w:tr>
        <w:tc>
          <w:tcPr>
            <w:tcW w:type="dxa" w:w="2880"/>
            <w:shd w:fill="F4F7FA"/>
            <w:tcMar>
              <w:top w:w="90" w:type="dxa"/>
              <w:bottom w:w="90" w:type="dxa"/>
              <w:left w:w="140" w:type="dxa"/>
              <w:right w:w="140" w:type="dxa"/>
            </w:tcMar>
          </w:tcPr>
          <w:p>
            <w:pPr>
              <w:jc w:val="left"/>
            </w:pPr>
            <w:r>
              <w:rPr>
                <w:color w:val="222222"/>
                <w:sz w:val="18"/>
              </w:rPr>
              <w:t>Flexible Gender Parsing</w:t>
            </w:r>
          </w:p>
        </w:tc>
        <w:tc>
          <w:tcPr>
            <w:tcW w:type="dxa" w:w="3168"/>
            <w:shd w:fill="F4F7FA"/>
            <w:tcMar>
              <w:top w:w="90" w:type="dxa"/>
              <w:bottom w:w="90" w:type="dxa"/>
              <w:left w:w="140" w:type="dxa"/>
              <w:right w:w="140" w:type="dxa"/>
            </w:tcMar>
          </w:tcPr>
          <w:p>
            <w:pPr>
              <w:jc w:val="left"/>
            </w:pPr>
            <w:r>
              <w:rPr>
                <w:color w:val="222222"/>
                <w:sz w:val="18"/>
              </w:rPr>
              <w:t>Client passes 'male', 'M', 'female', 'F'</w:t>
            </w:r>
          </w:p>
        </w:tc>
        <w:tc>
          <w:tcPr>
            <w:tcW w:type="dxa" w:w="3312"/>
            <w:shd w:fill="F4F7FA"/>
            <w:tcMar>
              <w:top w:w="90" w:type="dxa"/>
              <w:bottom w:w="90" w:type="dxa"/>
              <w:left w:w="140" w:type="dxa"/>
              <w:right w:w="140" w:type="dxa"/>
            </w:tcMar>
          </w:tcPr>
          <w:p>
            <w:pPr>
              <w:jc w:val="left"/>
            </w:pPr>
            <w:r>
              <w:rPr>
                <w:color w:val="222222"/>
                <w:sz w:val="18"/>
              </w:rPr>
              <w:t>Cleaned and normalized to canonical 'Male' or 'Female'</w:t>
            </w:r>
          </w:p>
        </w:tc>
      </w:tr>
      <w:tr>
        <w:tc>
          <w:tcPr>
            <w:tcW w:type="dxa" w:w="2880"/>
            <w:shd w:fill="FFFFFF"/>
            <w:tcMar>
              <w:top w:w="90" w:type="dxa"/>
              <w:bottom w:w="90" w:type="dxa"/>
              <w:left w:w="140" w:type="dxa"/>
              <w:right w:w="140" w:type="dxa"/>
            </w:tcMar>
          </w:tcPr>
          <w:p>
            <w:pPr>
              <w:jc w:val="left"/>
            </w:pPr>
            <w:r>
              <w:rPr>
                <w:color w:val="222222"/>
                <w:sz w:val="18"/>
              </w:rPr>
              <w:t>Root POST Fallback</w:t>
            </w:r>
          </w:p>
        </w:tc>
        <w:tc>
          <w:tcPr>
            <w:tcW w:type="dxa" w:w="3168"/>
            <w:shd w:fill="FFFFFF"/>
            <w:tcMar>
              <w:top w:w="90" w:type="dxa"/>
              <w:bottom w:w="90" w:type="dxa"/>
              <w:left w:w="140" w:type="dxa"/>
              <w:right w:w="140" w:type="dxa"/>
            </w:tcMar>
          </w:tcPr>
          <w:p>
            <w:pPr>
              <w:jc w:val="left"/>
            </w:pPr>
            <w:r>
              <w:rPr>
                <w:color w:val="222222"/>
                <w:sz w:val="18"/>
              </w:rPr>
              <w:t>Client POSTs patient data to '/'</w:t>
            </w:r>
          </w:p>
        </w:tc>
        <w:tc>
          <w:tcPr>
            <w:tcW w:type="dxa" w:w="3312"/>
            <w:shd w:fill="FFFFFF"/>
            <w:tcMar>
              <w:top w:w="90" w:type="dxa"/>
              <w:bottom w:w="90" w:type="dxa"/>
              <w:left w:w="140" w:type="dxa"/>
              <w:right w:w="140" w:type="dxa"/>
            </w:tcMar>
          </w:tcPr>
          <w:p>
            <w:pPr>
              <w:jc w:val="left"/>
            </w:pPr>
            <w:r>
              <w:rPr>
                <w:color w:val="222222"/>
                <w:sz w:val="18"/>
              </w:rPr>
              <w:t>Transparently executes prediction instead of throwing 405 Method Not Allowed</w:t>
            </w:r>
          </w:p>
        </w:tc>
      </w:tr>
      <w:tr>
        <w:tc>
          <w:tcPr>
            <w:tcW w:type="dxa" w:w="2880"/>
            <w:shd w:fill="F4F7FA"/>
            <w:tcMar>
              <w:top w:w="90" w:type="dxa"/>
              <w:bottom w:w="90" w:type="dxa"/>
              <w:left w:w="140" w:type="dxa"/>
              <w:right w:w="140" w:type="dxa"/>
            </w:tcMar>
          </w:tcPr>
          <w:p>
            <w:pPr>
              <w:jc w:val="left"/>
            </w:pPr>
            <w:r>
              <w:rPr>
                <w:color w:val="222222"/>
                <w:sz w:val="18"/>
              </w:rPr>
              <w:t>Human-Readable 422 Errors</w:t>
            </w:r>
          </w:p>
        </w:tc>
        <w:tc>
          <w:tcPr>
            <w:tcW w:type="dxa" w:w="3168"/>
            <w:shd w:fill="F4F7FA"/>
            <w:tcMar>
              <w:top w:w="90" w:type="dxa"/>
              <w:bottom w:w="90" w:type="dxa"/>
              <w:left w:w="140" w:type="dxa"/>
              <w:right w:w="140" w:type="dxa"/>
            </w:tcMar>
          </w:tcPr>
          <w:p>
            <w:pPr>
              <w:jc w:val="left"/>
            </w:pPr>
            <w:r>
              <w:rPr>
                <w:color w:val="222222"/>
                <w:sz w:val="18"/>
              </w:rPr>
              <w:t>Client passes genuinely impossible data (Age: 200)</w:t>
            </w:r>
          </w:p>
        </w:tc>
        <w:tc>
          <w:tcPr>
            <w:tcW w:type="dxa" w:w="3312"/>
            <w:shd w:fill="F4F7FA"/>
            <w:tcMar>
              <w:top w:w="90" w:type="dxa"/>
              <w:bottom w:w="90" w:type="dxa"/>
              <w:left w:w="140" w:type="dxa"/>
              <w:right w:w="140" w:type="dxa"/>
            </w:tcMar>
          </w:tcPr>
          <w:p>
            <w:pPr>
              <w:jc w:val="left"/>
            </w:pPr>
            <w:r>
              <w:rPr>
                <w:color w:val="222222"/>
                <w:sz w:val="18"/>
              </w:rPr>
              <w:t>Returns exact field error messages with expected physiological ranges</w:t>
            </w:r>
          </w:p>
        </w:tc>
      </w:tr>
    </w:tbl>
    <w:p/>
    <w:p>
      <w:pPr>
        <w:keepNext/>
        <w:spacing w:before="400" w:after="160"/>
      </w:pPr>
      <w:r>
        <w:rPr>
          <w:rFonts w:ascii="Arial" w:hAnsi="Arial"/>
          <w:b/>
          <w:color w:val="1B365D"/>
          <w:sz w:val="34"/>
        </w:rPr>
        <w:t>Phase 11: Interactive Glassmorphic Web Dashboard &amp; Frontend Integration Guide</w:t>
      </w:r>
    </w:p>
    <w:p>
      <w:r>
        <w:t>The API provides a built-in interactive dashboard served directly at the root URL (GET /) when accessed via web browsers. Engineered with vanilla HTML5, CSS3, and JavaScript, the dashboard requires zero external dependencies, CDN assets, or build tools.</w:t>
      </w:r>
    </w:p>
    <w:p>
      <w:r>
        <w:t>Dashboard Capabilities:</w:t>
        <w:br/>
        <w:t>1. Dynamic BMI Calculator: Updates BMI in real-time as weight or height inputs change.</w:t>
        <w:br/>
        <w:t>2. Quick Clinical Presets: One-click buttons to populate real-world Low Risk, Medium Risk, or High Risk clinical cohorts.</w:t>
        <w:br/>
        <w:t>3. Interactive Risk Badges: Renders color-coded severity badges with animated confidence percentages.</w:t>
        <w:br/>
        <w:t>4. Probability Distribution Gauges: Displays simultaneous percentage likelihood across all three risk categories.</w:t>
        <w:br/>
        <w:t>5. Live Biomarker Telemetry: Displays calculated MAP, Pulse Pressure, Glucose/HbA1c ratio, and Metabolic Index.</w:t>
      </w:r>
    </w:p>
    <w:p>
      <w:pPr>
        <w:keepNext/>
        <w:spacing w:before="280" w:after="120"/>
      </w:pPr>
      <w:r>
        <w:rPr>
          <w:rFonts w:ascii="Arial" w:hAnsi="Arial"/>
          <w:b/>
          <w:color w:val="2B547E"/>
          <w:sz w:val="26"/>
        </w:rPr>
        <w:t>11.1 Frontend Integration Example (TypeScript / JavaScript)</w:t>
      </w:r>
    </w:p>
    <w:p>
      <w:r>
        <w:t>Frontend applications can call the live Hugging Face API directly using modern Fetch API:</w:t>
      </w:r>
    </w:p>
    <w:p>
      <w:r>
        <w:t>```typescript</w:t>
        <w:br/>
        <w:t>export async function predictDiabetesRisk(patient: PatientInput): Promise&lt;PredictionResult&gt; {</w:t>
        <w:br/>
        <w:t xml:space="preserve">  const response = await fetch('https://ihtesham0345-kidney-stone.hf.space/predict', {</w:t>
        <w:br/>
        <w:t xml:space="preserve">    method: 'POST',</w:t>
        <w:br/>
        <w:t xml:space="preserve">    headers: { 'Content-Type': 'application/json' },</w:t>
        <w:br/>
        <w:t xml:space="preserve">    body: JSON.stringify(patient)</w:t>
        <w:br/>
        <w:t xml:space="preserve">  });</w:t>
        <w:br/>
        <w:t xml:space="preserve">  if (!response.ok) {</w:t>
        <w:br/>
        <w:t xml:space="preserve">    const error = await response.json();</w:t>
        <w:br/>
        <w:t xml:space="preserve">    throw new Error(error.message || 'Prediction failed');</w:t>
        <w:br/>
        <w:t xml:space="preserve">  }</w:t>
        <w:br/>
        <w:t xml:space="preserve">  return response.json();</w:t>
        <w:br/>
        <w:t>}</w:t>
        <w:br/>
        <w:t>```</w:t>
      </w:r>
    </w:p>
    <w:p>
      <w:pPr>
        <w:keepNext/>
        <w:spacing w:before="400" w:after="160"/>
      </w:pPr>
      <w:r>
        <w:rPr>
          <w:rFonts w:ascii="Arial" w:hAnsi="Arial"/>
          <w:b/>
          <w:color w:val="1B365D"/>
          <w:sz w:val="34"/>
        </w:rPr>
        <w:t>Phase 12: Docker Containerization, Cloud Deployment &amp; Troubleshooting Runbook</w:t>
      </w:r>
    </w:p>
    <w:p>
      <w:r>
        <w:t>The service is packaged into an immutable Docker container optimized for Hugging Face Spaces and containerized cloud runtimes (AWS ECS, Google Cloud Run, Azure Container Apps).</w:t>
      </w:r>
    </w:p>
    <w:p>
      <w:pPr>
        <w:keepNext/>
        <w:spacing w:before="280" w:after="120"/>
      </w:pPr>
      <w:r>
        <w:rPr>
          <w:rFonts w:ascii="Arial" w:hAnsi="Arial"/>
          <w:b/>
          <w:color w:val="2B547E"/>
          <w:sz w:val="26"/>
        </w:rPr>
        <w:t>12.1 Dockerfile Architecture</w:t>
      </w:r>
    </w:p>
    <w:p>
      <w:r>
        <w:t>• Base Image: python:3.11-slim (minimal Debian Linux distribution to reduce attack surface).</w:t>
        <w:br/>
        <w:t>• Environment Flags: PYTHONDONTWRITEBYTECODE=1 (prevents .pyc file generation), PYTHONUNBUFFERED=1 (ensures immediate real-time logging).</w:t>
        <w:br/>
        <w:t>• Port Binding: EXPOSE 7860 (binds to Hugging Face Spaces standard ingress).</w:t>
        <w:br/>
        <w:t>• Multi-Stage Caching: requirements.txt is copied and installed prior to application files to maximize Docker layer cache reuse.</w:t>
      </w:r>
    </w:p>
    <w:p>
      <w:pPr>
        <w:keepNext/>
        <w:spacing w:before="280" w:after="120"/>
      </w:pPr>
      <w:r>
        <w:rPr>
          <w:rFonts w:ascii="Arial" w:hAnsi="Arial"/>
          <w:b/>
          <w:color w:val="2B547E"/>
          <w:sz w:val="26"/>
        </w:rPr>
        <w:t>12.2 Production Incident Response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B365D"/>
            <w:tcMar>
              <w:top w:w="120" w:type="dxa"/>
              <w:bottom w:w="120" w:type="dxa"/>
              <w:left w:w="140" w:type="dxa"/>
              <w:right w:w="140" w:type="dxa"/>
            </w:tcMar>
          </w:tcPr>
          <w:p>
            <w:pPr>
              <w:jc w:val="left"/>
            </w:pPr>
            <w:r>
              <w:rPr>
                <w:b/>
                <w:color w:val="FFFFFF"/>
                <w:sz w:val="19"/>
              </w:rPr>
              <w:t>Observed Symptom / Log Event</w:t>
            </w:r>
          </w:p>
        </w:tc>
        <w:tc>
          <w:tcPr>
            <w:tcW w:type="dxa" w:w="3312"/>
            <w:shd w:fill="1B365D"/>
            <w:tcMar>
              <w:top w:w="120" w:type="dxa"/>
              <w:bottom w:w="120" w:type="dxa"/>
              <w:left w:w="140" w:type="dxa"/>
              <w:right w:w="140" w:type="dxa"/>
            </w:tcMar>
          </w:tcPr>
          <w:p>
            <w:pPr>
              <w:jc w:val="left"/>
            </w:pPr>
            <w:r>
              <w:rPr>
                <w:b/>
                <w:color w:val="FFFFFF"/>
                <w:sz w:val="19"/>
              </w:rPr>
              <w:t>Root Cause Analysis</w:t>
            </w:r>
          </w:p>
        </w:tc>
        <w:tc>
          <w:tcPr>
            <w:tcW w:type="dxa" w:w="3456"/>
            <w:shd w:fill="1B365D"/>
            <w:tcMar>
              <w:top w:w="120" w:type="dxa"/>
              <w:bottom w:w="120" w:type="dxa"/>
              <w:left w:w="140" w:type="dxa"/>
              <w:right w:w="140" w:type="dxa"/>
            </w:tcMar>
          </w:tcPr>
          <w:p>
            <w:pPr>
              <w:jc w:val="left"/>
            </w:pPr>
            <w:r>
              <w:rPr>
                <w:b/>
                <w:color w:val="FFFFFF"/>
                <w:sz w:val="19"/>
              </w:rPr>
              <w:t>Engineered Resolution / Action</w:t>
            </w:r>
          </w:p>
        </w:tc>
      </w:tr>
      <w:tr>
        <w:tc>
          <w:tcPr>
            <w:tcW w:type="dxa" w:w="2592"/>
            <w:shd w:fill="FFFFFF"/>
            <w:tcMar>
              <w:top w:w="90" w:type="dxa"/>
              <w:bottom w:w="90" w:type="dxa"/>
              <w:left w:w="140" w:type="dxa"/>
              <w:right w:w="140" w:type="dxa"/>
            </w:tcMar>
          </w:tcPr>
          <w:p>
            <w:pPr>
              <w:jc w:val="left"/>
            </w:pPr>
            <w:r>
              <w:rPr>
                <w:color w:val="222222"/>
                <w:sz w:val="18"/>
              </w:rPr>
              <w:t>Log: 404 on /mcp, /sse, /a2a</w:t>
            </w:r>
          </w:p>
        </w:tc>
        <w:tc>
          <w:tcPr>
            <w:tcW w:type="dxa" w:w="3312"/>
            <w:shd w:fill="FFFFFF"/>
            <w:tcMar>
              <w:top w:w="90" w:type="dxa"/>
              <w:bottom w:w="90" w:type="dxa"/>
              <w:left w:w="140" w:type="dxa"/>
              <w:right w:w="140" w:type="dxa"/>
            </w:tcMar>
          </w:tcPr>
          <w:p>
            <w:pPr>
              <w:jc w:val="left"/>
            </w:pPr>
            <w:r>
              <w:rPr>
                <w:color w:val="222222"/>
                <w:sz w:val="18"/>
              </w:rPr>
              <w:t>External AI agents or Hugging Face crawler probing for MCP tool integration</w:t>
            </w:r>
          </w:p>
        </w:tc>
        <w:tc>
          <w:tcPr>
            <w:tcW w:type="dxa" w:w="3456"/>
            <w:shd w:fill="FFFFFF"/>
            <w:tcMar>
              <w:top w:w="90" w:type="dxa"/>
              <w:bottom w:w="90" w:type="dxa"/>
              <w:left w:w="140" w:type="dxa"/>
              <w:right w:w="140" w:type="dxa"/>
            </w:tcMar>
          </w:tcPr>
          <w:p>
            <w:pPr>
              <w:jc w:val="left"/>
            </w:pPr>
            <w:r>
              <w:rPr>
                <w:color w:val="222222"/>
                <w:sz w:val="18"/>
              </w:rPr>
              <w:t>Resolved: Universal MCP/A2A gateway handles discovery requests with 200 OK</w:t>
            </w:r>
          </w:p>
        </w:tc>
      </w:tr>
      <w:tr>
        <w:tc>
          <w:tcPr>
            <w:tcW w:type="dxa" w:w="2592"/>
            <w:shd w:fill="F4F7FA"/>
            <w:tcMar>
              <w:top w:w="90" w:type="dxa"/>
              <w:bottom w:w="90" w:type="dxa"/>
              <w:left w:w="140" w:type="dxa"/>
              <w:right w:w="140" w:type="dxa"/>
            </w:tcMar>
          </w:tcPr>
          <w:p>
            <w:pPr>
              <w:jc w:val="left"/>
            </w:pPr>
            <w:r>
              <w:rPr>
                <w:color w:val="222222"/>
                <w:sz w:val="18"/>
              </w:rPr>
              <w:t>Log: 405 on POST /</w:t>
            </w:r>
          </w:p>
        </w:tc>
        <w:tc>
          <w:tcPr>
            <w:tcW w:type="dxa" w:w="3312"/>
            <w:shd w:fill="F4F7FA"/>
            <w:tcMar>
              <w:top w:w="90" w:type="dxa"/>
              <w:bottom w:w="90" w:type="dxa"/>
              <w:left w:w="140" w:type="dxa"/>
              <w:right w:w="140" w:type="dxa"/>
            </w:tcMar>
          </w:tcPr>
          <w:p>
            <w:pPr>
              <w:jc w:val="left"/>
            </w:pPr>
            <w:r>
              <w:rPr>
                <w:color w:val="222222"/>
                <w:sz w:val="18"/>
              </w:rPr>
              <w:t>Client accidentally POSTed to base URL instead of /predict</w:t>
            </w:r>
          </w:p>
        </w:tc>
        <w:tc>
          <w:tcPr>
            <w:tcW w:type="dxa" w:w="3456"/>
            <w:shd w:fill="F4F7FA"/>
            <w:tcMar>
              <w:top w:w="90" w:type="dxa"/>
              <w:bottom w:w="90" w:type="dxa"/>
              <w:left w:w="140" w:type="dxa"/>
              <w:right w:w="140" w:type="dxa"/>
            </w:tcMar>
          </w:tcPr>
          <w:p>
            <w:pPr>
              <w:jc w:val="left"/>
            </w:pPr>
            <w:r>
              <w:rPr>
                <w:color w:val="222222"/>
                <w:sz w:val="18"/>
              </w:rPr>
              <w:t>Resolved: @app.post('/') route fallback routes payload directly to inference</w:t>
            </w:r>
          </w:p>
        </w:tc>
      </w:tr>
      <w:tr>
        <w:tc>
          <w:tcPr>
            <w:tcW w:type="dxa" w:w="2592"/>
            <w:shd w:fill="FFFFFF"/>
            <w:tcMar>
              <w:top w:w="90" w:type="dxa"/>
              <w:bottom w:w="90" w:type="dxa"/>
              <w:left w:w="140" w:type="dxa"/>
              <w:right w:w="140" w:type="dxa"/>
            </w:tcMar>
          </w:tcPr>
          <w:p>
            <w:pPr>
              <w:jc w:val="left"/>
            </w:pPr>
            <w:r>
              <w:rPr>
                <w:color w:val="222222"/>
                <w:sz w:val="18"/>
              </w:rPr>
              <w:t>Log: 422 on POST /predict</w:t>
            </w:r>
          </w:p>
        </w:tc>
        <w:tc>
          <w:tcPr>
            <w:tcW w:type="dxa" w:w="3312"/>
            <w:shd w:fill="FFFFFF"/>
            <w:tcMar>
              <w:top w:w="90" w:type="dxa"/>
              <w:bottom w:w="90" w:type="dxa"/>
              <w:left w:w="140" w:type="dxa"/>
              <w:right w:w="140" w:type="dxa"/>
            </w:tcMar>
          </w:tcPr>
          <w:p>
            <w:pPr>
              <w:jc w:val="left"/>
            </w:pPr>
            <w:r>
              <w:rPr>
                <w:color w:val="222222"/>
                <w:sz w:val="18"/>
              </w:rPr>
              <w:t>Client passed missing fields or values outside physiological range</w:t>
            </w:r>
          </w:p>
        </w:tc>
        <w:tc>
          <w:tcPr>
            <w:tcW w:type="dxa" w:w="3456"/>
            <w:shd w:fill="FFFFFF"/>
            <w:tcMar>
              <w:top w:w="90" w:type="dxa"/>
              <w:bottom w:w="90" w:type="dxa"/>
              <w:left w:w="140" w:type="dxa"/>
              <w:right w:w="140" w:type="dxa"/>
            </w:tcMar>
          </w:tcPr>
          <w:p>
            <w:pPr>
              <w:jc w:val="left"/>
            </w:pPr>
            <w:r>
              <w:rPr>
                <w:color w:val="222222"/>
                <w:sz w:val="18"/>
              </w:rPr>
              <w:t>Resolved: Resilient normalizer auto-computes BMI and converts cm to meters</w:t>
            </w:r>
          </w:p>
        </w:tc>
      </w:tr>
      <w:tr>
        <w:tc>
          <w:tcPr>
            <w:tcW w:type="dxa" w:w="2592"/>
            <w:shd w:fill="F4F7FA"/>
            <w:tcMar>
              <w:top w:w="90" w:type="dxa"/>
              <w:bottom w:w="90" w:type="dxa"/>
              <w:left w:w="140" w:type="dxa"/>
              <w:right w:w="140" w:type="dxa"/>
            </w:tcMar>
          </w:tcPr>
          <w:p>
            <w:pPr>
              <w:jc w:val="left"/>
            </w:pPr>
            <w:r>
              <w:rPr>
                <w:color w:val="222222"/>
                <w:sz w:val="18"/>
              </w:rPr>
              <w:t>Latency degradation (&gt;50ms)</w:t>
            </w:r>
          </w:p>
        </w:tc>
        <w:tc>
          <w:tcPr>
            <w:tcW w:type="dxa" w:w="3312"/>
            <w:shd w:fill="F4F7FA"/>
            <w:tcMar>
              <w:top w:w="90" w:type="dxa"/>
              <w:bottom w:w="90" w:type="dxa"/>
              <w:left w:w="140" w:type="dxa"/>
              <w:right w:w="140" w:type="dxa"/>
            </w:tcMar>
          </w:tcPr>
          <w:p>
            <w:pPr>
              <w:jc w:val="left"/>
            </w:pPr>
            <w:r>
              <w:rPr>
                <w:color w:val="222222"/>
                <w:sz w:val="18"/>
              </w:rPr>
              <w:t>Excessive CPU contention or concurrent batch queueing</w:t>
            </w:r>
          </w:p>
        </w:tc>
        <w:tc>
          <w:tcPr>
            <w:tcW w:type="dxa" w:w="3456"/>
            <w:shd w:fill="F4F7FA"/>
            <w:tcMar>
              <w:top w:w="90" w:type="dxa"/>
              <w:bottom w:w="90" w:type="dxa"/>
              <w:left w:w="140" w:type="dxa"/>
              <w:right w:w="140" w:type="dxa"/>
            </w:tcMar>
          </w:tcPr>
          <w:p>
            <w:pPr>
              <w:jc w:val="left"/>
            </w:pPr>
            <w:r>
              <w:rPr>
                <w:color w:val="222222"/>
                <w:sz w:val="18"/>
              </w:rPr>
              <w:t>Action: Scale container vCPU or horizontally replicate via Kubernetes ingress</w:t>
            </w:r>
          </w:p>
        </w:tc>
      </w:tr>
      <w:tr>
        <w:tc>
          <w:tcPr>
            <w:tcW w:type="dxa" w:w="2592"/>
            <w:shd w:fill="FFFFFF"/>
            <w:tcMar>
              <w:top w:w="90" w:type="dxa"/>
              <w:bottom w:w="90" w:type="dxa"/>
              <w:left w:w="140" w:type="dxa"/>
              <w:right w:w="140" w:type="dxa"/>
            </w:tcMar>
          </w:tcPr>
          <w:p>
            <w:pPr>
              <w:jc w:val="left"/>
            </w:pPr>
            <w:r>
              <w:rPr>
                <w:color w:val="222222"/>
                <w:sz w:val="18"/>
              </w:rPr>
              <w:t>Model Drift / Covariate Shift</w:t>
            </w:r>
          </w:p>
        </w:tc>
        <w:tc>
          <w:tcPr>
            <w:tcW w:type="dxa" w:w="3312"/>
            <w:shd w:fill="FFFFFF"/>
            <w:tcMar>
              <w:top w:w="90" w:type="dxa"/>
              <w:bottom w:w="90" w:type="dxa"/>
              <w:left w:w="140" w:type="dxa"/>
              <w:right w:w="140" w:type="dxa"/>
            </w:tcMar>
          </w:tcPr>
          <w:p>
            <w:pPr>
              <w:jc w:val="left"/>
            </w:pPr>
            <w:r>
              <w:rPr>
                <w:color w:val="222222"/>
                <w:sz w:val="18"/>
              </w:rPr>
              <w:t>Patient demographic shift over calendar quarters</w:t>
            </w:r>
          </w:p>
        </w:tc>
        <w:tc>
          <w:tcPr>
            <w:tcW w:type="dxa" w:w="3456"/>
            <w:shd w:fill="FFFFFF"/>
            <w:tcMar>
              <w:top w:w="90" w:type="dxa"/>
              <w:bottom w:w="90" w:type="dxa"/>
              <w:left w:w="140" w:type="dxa"/>
              <w:right w:w="140" w:type="dxa"/>
            </w:tcMar>
          </w:tcPr>
          <w:p>
            <w:pPr>
              <w:jc w:val="left"/>
            </w:pPr>
            <w:r>
              <w:rPr>
                <w:color w:val="222222"/>
                <w:sz w:val="18"/>
              </w:rPr>
              <w:t>Action: Run quarterly retrain pipeline via train_deep_learning.py and verify validation F1</w:t>
            </w:r>
          </w:p>
        </w:tc>
      </w:tr>
    </w:tbl>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909C"/>
        <w:sz w:val="17"/>
      </w:rPr>
      <w:t>Version 2.0.0 | Production Release | Confidential &amp; Medical Engineering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Diabetes Risk Prediction System — Technical &amp; Clinical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