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DSO-556: Business Models for Digital Platforms</w:t>
      </w:r>
    </w:p>
    <w:p w:rsidR="00000000" w:rsidDel="00000000" w:rsidP="00000000" w:rsidRDefault="00000000" w:rsidRPr="00000000" w14:paraId="00000002">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Digital Platform Ecosystem Strategic Moves Report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Athlete Representation and NIL Sponsorship Marketplace Ecosystem</w:t>
      </w:r>
    </w:p>
    <w:p w:rsidR="00000000" w:rsidDel="00000000" w:rsidP="00000000" w:rsidRDefault="00000000" w:rsidRPr="00000000" w14:paraId="00000003">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w:t>
      </w:r>
      <w:r w:rsidDel="00000000" w:rsidR="00000000" w:rsidRPr="00000000">
        <w:rPr>
          <w:rFonts w:ascii="Times New Roman" w:cs="Times New Roman" w:eastAsia="Times New Roman" w:hAnsi="Times New Roman"/>
          <w:rtl w:val="0"/>
        </w:rPr>
        <w:t xml:space="preserve"> Aneri Kapadia, Ian Hurlburt, Janell Wang, Tyler Beasom, Sushant Bhagat</w:t>
      </w:r>
    </w:p>
    <w:p w:rsidR="00000000" w:rsidDel="00000000" w:rsidP="00000000" w:rsidRDefault="00000000" w:rsidRPr="00000000" w14:paraId="00000004">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spacing w:after="200"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1: Ecosystem Definition and Current Health</w:t>
      </w:r>
    </w:p>
    <w:p w:rsidR="00000000" w:rsidDel="00000000" w:rsidP="00000000" w:rsidRDefault="00000000" w:rsidRPr="00000000" w14:paraId="00000006">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examines the Athlete Representation and Sponsorship Marketplace, a segment of the sports and athletics industry that has undergone a more dramatic structural transformation in a shorter window of time than almost any other commercial ecosystem we can point to. Understanding how it got here, who the players are, and where it is heading requires starting with a clear picture of what the ecosystem actually looks like today.</w:t>
      </w:r>
    </w:p>
    <w:p w:rsidR="00000000" w:rsidDel="00000000" w:rsidP="00000000" w:rsidRDefault="00000000" w:rsidRPr="00000000" w14:paraId="00000007">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How the Ecosystem Came to Be</w:t>
      </w:r>
    </w:p>
    <w:p w:rsidR="00000000" w:rsidDel="00000000" w:rsidP="00000000" w:rsidRDefault="00000000" w:rsidRPr="00000000" w14:paraId="00000008">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2021, the commercial rights of college athletes were entirely off the table. The NCAA's long-standing amateurism rules prohibited any student-athlete from earning money based on their name, image, or likeness (NIL). Professional sports representation was a niche market serving roughly 5,000 professional athletes in the United States, and the handful of major talent agencies that dominated the space operated on a high-touch, relationship-driven model that was well suited to that small universe.</w:t>
      </w:r>
    </w:p>
    <w:p w:rsidR="00000000" w:rsidDel="00000000" w:rsidP="00000000" w:rsidRDefault="00000000" w:rsidRPr="00000000" w14:paraId="00000009">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changed in June 2021, when the Supreme Court's decision in NCAA v. Alston forced the NCAA to lift its ban on NIL compensation. Overnight, approximately 500,000 college athletes became eligible to earn money from sponsorships and brand partnerships. To put that in perspective, the addressable market for athlete representation expanded by more than 100 times in a matter of months. The agencies that had built their businesses around a small number of elite professionals were suddenly facing a market they were structurally ill-equipped to serve.</w:t>
      </w:r>
    </w:p>
    <w:p w:rsidR="00000000" w:rsidDel="00000000" w:rsidP="00000000" w:rsidRDefault="00000000" w:rsidRPr="00000000" w14:paraId="0000000A">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followed was a period of rapid experimentation, as new companies rushed in to fill the gap the traditional agencies could not, universities scrambled to create infrastructure to help their athletes navigate the new rules, and brands began to discover that college athletes offered a form of authentic, community-rooted marketing they could not get from traditional advertising. The true structural shift, however, occurred recently with the finalization of the landmark </w:t>
      </w:r>
      <w:r w:rsidDel="00000000" w:rsidR="00000000" w:rsidRPr="00000000">
        <w:rPr>
          <w:rFonts w:ascii="Times New Roman" w:cs="Times New Roman" w:eastAsia="Times New Roman" w:hAnsi="Times New Roman"/>
          <w:i w:val="1"/>
          <w:iCs w:val="1"/>
          <w:rtl w:val="0"/>
        </w:rPr>
        <w:t xml:space="preserve">House v. NCAA</w:t>
      </w:r>
      <w:r w:rsidDel="00000000" w:rsidR="00000000" w:rsidRPr="00000000">
        <w:rPr>
          <w:rFonts w:ascii="Times New Roman" w:cs="Times New Roman" w:eastAsia="Times New Roman" w:hAnsi="Times New Roman"/>
          <w:rtl w:val="0"/>
        </w:rPr>
        <w:t xml:space="preserve"> antitrust settlement</w:t>
      </w:r>
      <w:r w:rsidDel="00000000" w:rsidR="00000000" w:rsidRPr="00000000">
        <w:rPr>
          <w:rFonts w:ascii="Times New Roman" w:cs="Times New Roman" w:eastAsia="Times New Roman" w:hAnsi="Times New Roman"/>
          <w:rtl w:val="0"/>
        </w:rPr>
        <w:t xml:space="preserve">, which effectively replaced the amateurism model with direct institutional revenue sharing, allowing universities to pay athletes up to a "salary cap" of roughly $20.5 million annually.</w:t>
      </w:r>
    </w:p>
    <w:p w:rsidR="00000000" w:rsidDel="00000000" w:rsidP="00000000" w:rsidRDefault="00000000" w:rsidRPr="00000000" w14:paraId="0000000B">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The Four Groups That Make This Ecosystem Work</w:t>
      </w:r>
    </w:p>
    <w:p w:rsidR="00000000" w:rsidDel="00000000" w:rsidP="00000000" w:rsidRDefault="00000000" w:rsidRPr="00000000" w14:paraId="0000000C">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its core, this is a </w:t>
      </w:r>
      <w:r w:rsidDel="00000000" w:rsidR="00000000" w:rsidRPr="00000000">
        <w:rPr>
          <w:rFonts w:ascii="Times New Roman" w:cs="Times New Roman" w:eastAsia="Times New Roman" w:hAnsi="Times New Roman"/>
          <w:rtl w:val="0"/>
        </w:rPr>
        <w:t xml:space="preserve">multi-sided platform ecosystem (Parker et al., 2016),</w:t>
      </w:r>
      <w:r w:rsidDel="00000000" w:rsidR="00000000" w:rsidRPr="00000000">
        <w:rPr>
          <w:rFonts w:ascii="Times New Roman" w:cs="Times New Roman" w:eastAsia="Times New Roman" w:hAnsi="Times New Roman"/>
          <w:rtl w:val="0"/>
        </w:rPr>
        <w:t xml:space="preserve"> which means its value depends on matching different groups of participants to each other rather than on a single linear chain of production and distribution. Four distinct groups form the foundation of the ecosystem:</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355"/>
        <w:gridCol w:w="2715"/>
        <w:gridCol w:w="2340"/>
        <w:tblGridChange w:id="0">
          <w:tblGrid>
            <w:gridCol w:w="1935"/>
            <w:gridCol w:w="2355"/>
            <w:gridCol w:w="2715"/>
            <w:gridCol w:w="234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Player Group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Platform Role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Strength</w:t>
            </w:r>
            <w:r w:rsidDel="00000000" w:rsidR="00000000" w:rsidRPr="00000000">
              <w:rPr>
                <w:rtl w:val="0"/>
              </w:rPr>
            </w:r>
          </w:p>
        </w:tc>
      </w:tr>
      <w:tr>
        <w:trPr>
          <w:cantSplit w:val="0"/>
          <w:trHeight w:val="977.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Athletes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student-athletes, professionals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Producers who supply audience reach and authentic personal brands.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value asset the entire ecosystem is built around.</w:t>
            </w:r>
          </w:p>
        </w:tc>
      </w:tr>
      <w:tr>
        <w:trPr>
          <w:cantSplit w:val="0"/>
          <w:trHeight w:val="12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Universities &amp; Teams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USC, Oregon, Texas, NFL franchises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institutional infrastructure, compliance oversight, and brand equity.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Legitimacy and captive athlete supply.</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Brands &amp; Donors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Nike, local restaurants, DTC companies, alumni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Demand-side participants who pay for marketing access.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 the transaction flow that sustains the ecosystem.</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Orchestrators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CAA, Wasserman, Opendorse, INFLCR, NIL Collectives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athletes to brands, facilitate deals, ensure compliance.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the connection layer between all other groups.</w:t>
            </w:r>
          </w:p>
        </w:tc>
      </w:tr>
    </w:tbl>
    <w:p w:rsidR="00000000" w:rsidDel="00000000" w:rsidP="00000000" w:rsidRDefault="00000000" w:rsidRPr="00000000" w14:paraId="00000021">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orchestrators are the most interesting group to examine because their business models are directly in competition, and understanding their different approaches helps explain why the ecosystem is structured the way it is today.</w:t>
      </w:r>
    </w:p>
    <w:p w:rsidR="00000000" w:rsidDel="00000000" w:rsidP="00000000" w:rsidRDefault="00000000" w:rsidRPr="00000000" w14:paraId="00000022">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On the incumbent side, agencies like CAA Sports and Wasserman represent decades of accumulated brand relationships. They operate via a high-touch pipeline model built around depth of relationship rather than scale of volume. On the new entrant side, two types of "minions" have emerged: technology-enabled platform builders (like Opendorse and INFLCR) connecting athletes and brands at scale, and university-affiliated NIL collectives pooling donor capital.</w:t>
      </w:r>
      <w:r w:rsidDel="00000000" w:rsidR="00000000" w:rsidRPr="00000000">
        <w:rPr>
          <w:rtl w:val="0"/>
        </w:rPr>
      </w:r>
    </w:p>
    <w:p w:rsidR="00000000" w:rsidDel="00000000" w:rsidP="00000000" w:rsidRDefault="00000000" w:rsidRPr="00000000" w14:paraId="00000023">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Is This Ecosystem Thriving?</w:t>
      </w:r>
    </w:p>
    <w:p w:rsidR="00000000" w:rsidDel="00000000" w:rsidP="00000000" w:rsidRDefault="00000000" w:rsidRPr="00000000" w14:paraId="00000024">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on Moore's three measures of ecosystem health from his Harvard Business Review piece 'Strategy as Ecology'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Iansiti &amp; Levien, 2004</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the picture is genuinely mixed:</w:t>
      </w:r>
    </w:p>
    <w:p w:rsidR="00000000" w:rsidDel="00000000" w:rsidP="00000000" w:rsidRDefault="00000000" w:rsidRPr="00000000" w14:paraId="00000025">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00" w:before="200" w:line="240" w:lineRule="auto"/>
        <w:rPr>
          <w:rFonts w:ascii="Times New Roman" w:cs="Times New Roman" w:eastAsia="Times New Roman" w:hAnsi="Times New Roman"/>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 Dimension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Assessment</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Productivity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NIL and revenue-sharing market grew to an estimated </w:t>
            </w:r>
            <w:r w:rsidDel="00000000" w:rsidR="00000000" w:rsidRPr="00000000">
              <w:rPr>
                <w:rFonts w:ascii="Times New Roman" w:cs="Times New Roman" w:eastAsia="Times New Roman" w:hAnsi="Times New Roman"/>
                <w:rtl w:val="0"/>
              </w:rPr>
              <w:t xml:space="preserve">$2.3 billion i</w:t>
            </w:r>
            <w:r w:rsidDel="00000000" w:rsidR="00000000" w:rsidRPr="00000000">
              <w:rPr>
                <w:rFonts w:ascii="Times New Roman" w:cs="Times New Roman" w:eastAsia="Times New Roman" w:hAnsi="Times New Roman"/>
                <w:rtl w:val="0"/>
              </w:rPr>
              <w:t xml:space="preserve">ndustry by 2026. Hundreds of millions of dollars in sponsorships are now flowing to athletes. By the productivity measure, the ecosystem is clearly creating new value.</w:t>
            </w:r>
          </w:p>
        </w:tc>
      </w:tr>
      <w:tr>
        <w:trPr>
          <w:cantSplit w:val="0"/>
          <w:trHeight w:val="18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Robustness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vulnerable. While the </w:t>
            </w:r>
            <w:r w:rsidDel="00000000" w:rsidR="00000000" w:rsidRPr="00000000">
              <w:rPr>
                <w:rFonts w:ascii="Times New Roman" w:cs="Times New Roman" w:eastAsia="Times New Roman" w:hAnsi="Times New Roman"/>
                <w:i w:val="1"/>
                <w:iCs w:val="1"/>
                <w:rtl w:val="0"/>
              </w:rPr>
              <w:t xml:space="preserve">House</w:t>
            </w:r>
            <w:r w:rsidDel="00000000" w:rsidR="00000000" w:rsidRPr="00000000">
              <w:rPr>
                <w:rFonts w:ascii="Times New Roman" w:cs="Times New Roman" w:eastAsia="Times New Roman" w:hAnsi="Times New Roman"/>
                <w:rtl w:val="0"/>
              </w:rPr>
              <w:t xml:space="preserve"> settlement resolved antitrust damages, ongoing unionization efforts (e.g., the Dartmouth NLRB ruling) threaten to rewrite labor costs. Furthermore, the newly established College Sports Commission actively audits and rejects third-party deals they deem non-compliant. A single ruling could restructure the ecosystem overnight.</w:t>
            </w:r>
          </w:p>
        </w:tc>
      </w:tr>
      <w:tr>
        <w:trPr>
          <w:cantSplit w:val="0"/>
          <w:trHeight w:val="12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Niche Creation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Healthy. New sub-niches are sprouting rapidly around the core: compliance tech, athlete financial literacy tools, personal brand consulting, and sponsorship ROI analytics are emerging as distinct segments.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Platform Liquidity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The market is fragmented. No single platform has achieved dominant network effects, and athletes multi-home across several platforms simultaneously. This limits matching efficiency.</w:t>
            </w:r>
          </w:p>
        </w:tc>
      </w:tr>
    </w:tbl>
    <w:p w:rsidR="00000000" w:rsidDel="00000000" w:rsidP="00000000" w:rsidRDefault="00000000" w:rsidRPr="00000000" w14:paraId="00000032">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balance, this ecosystem sits in what Moore would call the expansion phase: rapid membership growth, active competition for keystone positions, and unresolved questions about which players will define the mature market.</w:t>
      </w:r>
    </w:p>
    <w:p w:rsidR="00000000" w:rsidDel="00000000" w:rsidP="00000000" w:rsidRDefault="00000000" w:rsidRPr="00000000" w14:paraId="00000033">
      <w:pPr>
        <w:keepNext w:val="0"/>
        <w:keepLines w:val="0"/>
        <w:spacing w:after="200"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2: Strategic Moves Taken Since the Ecosystem Began</w:t>
      </w:r>
    </w:p>
    <w:p w:rsidR="00000000" w:rsidDel="00000000" w:rsidP="00000000" w:rsidRDefault="00000000" w:rsidRPr="00000000" w14:paraId="00000034">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2A. The Dominant Strategy: Incumbent Consolidation and Platformization</w:t>
      </w:r>
    </w:p>
    <w:p w:rsidR="00000000" w:rsidDel="00000000" w:rsidP="00000000" w:rsidRDefault="00000000" w:rsidRPr="00000000" w14:paraId="00000035">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1: Aggressive M&amp;A to Eliminate Multi-Homing.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Multi-homing</w:t>
      </w:r>
      <w:r w:rsidDel="00000000" w:rsidR="00000000" w:rsidRPr="00000000">
        <w:rPr>
          <w:rFonts w:ascii="Times New Roman" w:cs="Times New Roman" w:eastAsia="Times New Roman" w:hAnsi="Times New Roman"/>
          <w:rtl w:val="0"/>
        </w:rPr>
        <w:t xml:space="preserve"> has historically been a structural weakness in talent representation, preventing agencies from capturing loyalty or pricing power. Incumbents responded by executing massive M&amp;A roll-ups to make multi-homing friction-prohibitive at the top end of the market. For example, Wasserman completed over 20 acquisitions (including CSM Sport &amp; Entertainment), CAA’s acquired ICM Partners for a subsequent $7B, and Goldman Sachs recently acquired a majority stake in Excel Sports Management at a nearly $1 billion valuation. By offering talent representation, brand marketing, and compliance under one roof, incumbents dramatically increased </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witching costs.</w:t>
      </w:r>
      <w:r w:rsidDel="00000000" w:rsidR="00000000" w:rsidRPr="00000000">
        <w:rPr>
          <w:rFonts w:ascii="Times New Roman" w:cs="Times New Roman" w:eastAsia="Times New Roman" w:hAnsi="Times New Roman"/>
          <w:rtl w:val="0"/>
        </w:rPr>
        <w:t xml:space="preserve"> They are no longer just agents; they are an athlete's entire commercial operating system.</w:t>
      </w:r>
    </w:p>
    <w:p w:rsidR="00000000" w:rsidDel="00000000" w:rsidP="00000000" w:rsidRDefault="00000000" w:rsidRPr="00000000" w14:paraId="00000036">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2: Vertical Integration via Network Bridging.</w:t>
      </w:r>
      <w:r w:rsidDel="00000000" w:rsidR="00000000" w:rsidRPr="00000000">
        <w:rPr>
          <w:rFonts w:ascii="Times New Roman" w:cs="Times New Roman" w:eastAsia="Times New Roman" w:hAnsi="Times New Roman"/>
          <w:rtl w:val="0"/>
        </w:rPr>
        <w:t xml:space="preserve"> Incumbents moved beyond pure representation and vertically integrated into content and athlete intellectual property (IP) ownership. The traditional agency model captured value only at the point of the deal. As athlete-driven content exploded, agencies realized they were leaking value to third-party production companies. Wasserman's acquisition of Brillstein Entertainment Partners perfectly illustrates</w:t>
      </w:r>
      <w:r w:rsidDel="00000000" w:rsidR="00000000" w:rsidRPr="00000000">
        <w:rPr>
          <w:rFonts w:ascii="Times New Roman" w:cs="Times New Roman" w:eastAsia="Times New Roman" w:hAnsi="Times New Roman"/>
          <w:rtl w:val="0"/>
        </w:rPr>
        <w:t xml:space="preserve"> Network Bridging:</w:t>
      </w:r>
      <w:r w:rsidDel="00000000" w:rsidR="00000000" w:rsidRPr="00000000">
        <w:rPr>
          <w:rFonts w:ascii="Times New Roman" w:cs="Times New Roman" w:eastAsia="Times New Roman" w:hAnsi="Times New Roman"/>
          <w:rtl w:val="0"/>
        </w:rPr>
        <w:t xml:space="preserve"> deliberately connecting an established athlete network to a premium entertainment/production network. This creates cross-side value that neither network could generate independently, making it significantly harder for a single-network competitor to match the offering. In the NIL era, agencies now extend into advisory for collegiate athletes as well, leveraging brand relationships to intermediate both high-value and long-tail deals, directly responding to the explosion of NIL marketplaces and new supply of athletes</w:t>
      </w:r>
    </w:p>
    <w:p w:rsidR="00000000" w:rsidDel="00000000" w:rsidP="00000000" w:rsidRDefault="00000000" w:rsidRPr="00000000" w14:paraId="00000037">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Move 3: Platformization via Partnerships, Data, and Multi-Sided Market Design.</w:t>
      </w:r>
      <w:r w:rsidDel="00000000" w:rsidR="00000000" w:rsidRPr="00000000">
        <w:rPr>
          <w:rFonts w:ascii="Times New Roman" w:cs="Times New Roman" w:eastAsia="Times New Roman" w:hAnsi="Times New Roman"/>
          <w:rtl w:val="0"/>
        </w:rPr>
        <w:t xml:space="preserve"> Incumbents are increasingly acting as platform orchestrators.Agencies like CAA and Wasserman now operate across </w:t>
      </w:r>
      <w:r w:rsidDel="00000000" w:rsidR="00000000" w:rsidRPr="00000000">
        <w:rPr>
          <w:rFonts w:ascii="Times New Roman" w:cs="Times New Roman" w:eastAsia="Times New Roman" w:hAnsi="Times New Roman"/>
          <w:rtl w:val="0"/>
        </w:rPr>
        <w:t xml:space="preserve">consulting, brand strategy, media rights, and sponsorship analytics, </w:t>
      </w:r>
      <w:r w:rsidDel="00000000" w:rsidR="00000000" w:rsidRPr="00000000">
        <w:rPr>
          <w:rFonts w:ascii="Times New Roman" w:cs="Times New Roman" w:eastAsia="Times New Roman" w:hAnsi="Times New Roman"/>
          <w:rtl w:val="0"/>
        </w:rPr>
        <w:t xml:space="preserve">effectively coordinating athletes, sponsors, leagues, and digital channels . By structuring differentiated partner roles (athletes as creators, brands as sponsors, platforms as distribution), they enable co-creation of value while maintaining control over different ecosystem players. As agile NIL startups emerge, incumbents must continuously adapt and embed themselves deeper into the ecosystem through integrated service layers rather than competing purely on matchmaking, thereby sustaining their competitive advantage.</w:t>
      </w:r>
      <w:r w:rsidDel="00000000" w:rsidR="00000000" w:rsidRPr="00000000">
        <w:rPr>
          <w:rtl w:val="0"/>
        </w:rPr>
      </w:r>
    </w:p>
    <w:p w:rsidR="00000000" w:rsidDel="00000000" w:rsidP="00000000" w:rsidRDefault="00000000" w:rsidRPr="00000000" w14:paraId="00000038">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2B. The Minions Strategy: Startups and Local Collectives</w:t>
      </w:r>
    </w:p>
    <w:p w:rsidR="00000000" w:rsidDel="00000000" w:rsidP="00000000" w:rsidRDefault="00000000" w:rsidRPr="00000000" w14:paraId="00000039">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Minion</w:t>
      </w:r>
      <w:r w:rsidDel="00000000" w:rsidR="00000000" w:rsidRPr="00000000">
        <w:rPr>
          <w:rFonts w:ascii="Times New Roman" w:cs="Times New Roman" w:eastAsia="Times New Roman" w:hAnsi="Times New Roman"/>
          <w:rtl w:val="0"/>
        </w:rPr>
        <w:t xml:space="preserve">s recognized that competing for elite national talent was capital-prohibitive. Instead, they executed a Disruptive Innovation st</w:t>
      </w:r>
      <w:r w:rsidDel="00000000" w:rsidR="00000000" w:rsidRPr="00000000">
        <w:rPr>
          <w:rFonts w:ascii="Times New Roman" w:cs="Times New Roman" w:eastAsia="Times New Roman" w:hAnsi="Times New Roman"/>
          <w:rtl w:val="0"/>
        </w:rPr>
        <w:t xml:space="preserve">rategy, pivoting from a "Superstar Model" to a "KOC (Key Opinion Consumer) Matrix" approach to capture the underserved long tail.</w:t>
      </w:r>
    </w:p>
    <w:p w:rsidR="00000000" w:rsidDel="00000000" w:rsidP="00000000" w:rsidRDefault="00000000" w:rsidRPr="00000000" w14:paraId="0000003A">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1: Monetizing the Long Tail via the Micro-Influencer Matrix.</w:t>
      </w:r>
      <w:r w:rsidDel="00000000" w:rsidR="00000000" w:rsidRPr="00000000">
        <w:rPr>
          <w:rFonts w:ascii="Times New Roman" w:cs="Times New Roman" w:eastAsia="Times New Roman" w:hAnsi="Times New Roman"/>
          <w:rtl w:val="0"/>
        </w:rPr>
        <w:t xml:space="preserve"> Minion platforms realized that activating fifty student-athletes as "localized KOCs" yields a higher ROI (and lower cost) for regional brands than a single national celebrity post. By aggregating thousands of "vertical darlings," the Minions successfully leveraged the</w:t>
      </w:r>
      <w:r w:rsidDel="00000000" w:rsidR="00000000" w:rsidRPr="00000000">
        <w:rPr>
          <w:rFonts w:ascii="Times New Roman" w:cs="Times New Roman" w:eastAsia="Times New Roman" w:hAnsi="Times New Roman"/>
          <w:rtl w:val="0"/>
        </w:rPr>
        <w:t xml:space="preserve"> Long Tail Effect.</w:t>
      </w:r>
      <w:r w:rsidDel="00000000" w:rsidR="00000000" w:rsidRPr="00000000">
        <w:rPr>
          <w:rFonts w:ascii="Times New Roman" w:cs="Times New Roman" w:eastAsia="Times New Roman" w:hAnsi="Times New Roman"/>
          <w:rtl w:val="0"/>
        </w:rPr>
        <w:t xml:space="preserve"> While an incumbent’s human transaction costs make a $500 deal unprofitable, the Minion’s automated matching makes "Trust at Scale" economically viable.</w:t>
      </w:r>
    </w:p>
    <w:p w:rsidR="00000000" w:rsidDel="00000000" w:rsidP="00000000" w:rsidRDefault="00000000" w:rsidRPr="00000000" w14:paraId="0000003B">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2: Implementing the SaaS-Enabled MCN Model (Automated Curation).</w:t>
      </w:r>
      <w:r w:rsidDel="00000000" w:rsidR="00000000" w:rsidRPr="00000000">
        <w:rPr>
          <w:rFonts w:ascii="Times New Roman" w:cs="Times New Roman" w:eastAsia="Times New Roman" w:hAnsi="Times New Roman"/>
          <w:rtl w:val="0"/>
        </w:rPr>
        <w:t xml:space="preserve"> To manage massive volumes of micro-transactions, Minions function as SaaS-enabled Multi-Channel Networks (MCNs). They utilize algorithmic marketplaces to replace expensive human agents with standardized digital contracts. This relies on automated </w:t>
      </w:r>
      <w:r w:rsidDel="00000000" w:rsidR="00000000" w:rsidRPr="00000000">
        <w:rPr>
          <w:rFonts w:ascii="Times New Roman" w:cs="Times New Roman" w:eastAsia="Times New Roman" w:hAnsi="Times New Roman"/>
          <w:rtl w:val="0"/>
        </w:rPr>
        <w:t xml:space="preserve">Curation to prevent negative network effects. Real-time social metrics ensure brand safety across a decentralized supply side, creating a powerful Data Flywheel:</w:t>
      </w:r>
      <w:r w:rsidDel="00000000" w:rsidR="00000000" w:rsidRPr="00000000">
        <w:rPr>
          <w:rFonts w:ascii="Times New Roman" w:cs="Times New Roman" w:eastAsia="Times New Roman" w:hAnsi="Times New Roman"/>
          <w:rtl w:val="0"/>
        </w:rPr>
        <w:t xml:space="preserve"> more transactions generate better pricing data, which further reduces transaction friction.</w:t>
      </w:r>
    </w:p>
    <w:p w:rsidR="00000000" w:rsidDel="00000000" w:rsidP="00000000" w:rsidRDefault="00000000" w:rsidRPr="00000000" w14:paraId="0000003C">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3: Solving the "Cold Start" via B2B2C Piggybacking.</w:t>
      </w:r>
      <w:r w:rsidDel="00000000" w:rsidR="00000000" w:rsidRPr="00000000">
        <w:rPr>
          <w:rFonts w:ascii="Times New Roman" w:cs="Times New Roman" w:eastAsia="Times New Roman" w:hAnsi="Times New Roman"/>
          <w:rtl w:val="0"/>
        </w:rPr>
        <w:t xml:space="preserve"> To solve the classic </w:t>
      </w:r>
      <w:r w:rsidDel="00000000" w:rsidR="00000000" w:rsidRPr="00000000">
        <w:rPr>
          <w:rFonts w:ascii="Times New Roman" w:cs="Times New Roman" w:eastAsia="Times New Roman" w:hAnsi="Times New Roman"/>
          <w:rtl w:val="0"/>
        </w:rPr>
        <w:t xml:space="preserve">Cold Start Problem of acquiring 500,000 collegiate athletes, companies like INFLCR deployed a Piggyback Strategy. </w:t>
      </w:r>
      <w:r w:rsidDel="00000000" w:rsidR="00000000" w:rsidRPr="00000000">
        <w:rPr>
          <w:rFonts w:ascii="Times New Roman" w:cs="Times New Roman" w:eastAsia="Times New Roman" w:hAnsi="Times New Roman"/>
          <w:rtl w:val="0"/>
        </w:rPr>
        <w:t xml:space="preserve">By selling enterprise compliance software (the "Tool") directly to university athletic departments, they secured an automatic supply of users. This creates a frictionless onboarding experience. By offering single-user utility (like tax tools), they follow the </w:t>
      </w:r>
      <w:r w:rsidDel="00000000" w:rsidR="00000000" w:rsidRPr="00000000">
        <w:rPr>
          <w:rFonts w:ascii="Times New Roman" w:cs="Times New Roman" w:eastAsia="Times New Roman" w:hAnsi="Times New Roman"/>
          <w:rtl w:val="0"/>
        </w:rPr>
        <w:t xml:space="preserve">"Come for the tool, stay for the network"</w:t>
      </w:r>
      <w:r w:rsidDel="00000000" w:rsidR="00000000" w:rsidRPr="00000000">
        <w:rPr>
          <w:rFonts w:ascii="Times New Roman" w:cs="Times New Roman" w:eastAsia="Times New Roman" w:hAnsi="Times New Roman"/>
          <w:rtl w:val="0"/>
        </w:rPr>
        <w:t xml:space="preserve"> paradigm to ensure deep supply-side lock-in.</w:t>
      </w:r>
    </w:p>
    <w:p w:rsidR="00000000" w:rsidDel="00000000" w:rsidP="00000000" w:rsidRDefault="00000000" w:rsidRPr="00000000" w14:paraId="0000003D">
      <w:pPr>
        <w:spacing w:after="200"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Move 4: Building Defensive Moats via Network Clustering.</w:t>
      </w:r>
      <w:r w:rsidDel="00000000" w:rsidR="00000000" w:rsidRPr="00000000">
        <w:rPr>
          <w:rFonts w:ascii="Times New Roman" w:cs="Times New Roman" w:eastAsia="Times New Roman" w:hAnsi="Times New Roman"/>
          <w:rtl w:val="0"/>
        </w:rPr>
        <w:t xml:space="preserve"> Finally, university-affiliated NIL Collectives established defensible positions through </w:t>
      </w:r>
      <w:r w:rsidDel="00000000" w:rsidR="00000000" w:rsidRPr="00000000">
        <w:rPr>
          <w:rFonts w:ascii="Times New Roman" w:cs="Times New Roman" w:eastAsia="Times New Roman" w:hAnsi="Times New Roman"/>
          <w:rtl w:val="0"/>
        </w:rPr>
        <w:t xml:space="preserve">Network Clustering. While global agencies are vulnerable to talent multi-homing, donor-led Collectives created hyper-local ecosystems with intense social and financial gravity. By pooling donor resources to guarantee deal liquidity at a single school, they created a Localized Monopoly with massive switching costs. </w:t>
      </w:r>
      <w:r w:rsidDel="00000000" w:rsidR="00000000" w:rsidRPr="00000000">
        <w:rPr>
          <w:rFonts w:ascii="Times New Roman" w:cs="Times New Roman" w:eastAsia="Times New Roman" w:hAnsi="Times New Roman"/>
          <w:rtl w:val="0"/>
        </w:rPr>
        <w:t xml:space="preserve">Even if a national agency approaches the athlete, the "Institutional Lock-in" of the local Collective makes it the unskippable operating system for that specific university's athletic economy.</w:t>
      </w:r>
      <w:r w:rsidDel="00000000" w:rsidR="00000000" w:rsidRPr="00000000">
        <w:rPr>
          <w:rtl w:val="0"/>
        </w:rPr>
      </w:r>
    </w:p>
    <w:p w:rsidR="00000000" w:rsidDel="00000000" w:rsidP="00000000" w:rsidRDefault="00000000" w:rsidRPr="00000000" w14:paraId="0000003E">
      <w:pPr>
        <w:keepNext w:val="0"/>
        <w:keepLines w:val="0"/>
        <w:spacing w:after="200"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3: Potential Strategic Moves Moving Forward</w:t>
      </w:r>
    </w:p>
    <w:p w:rsidR="00000000" w:rsidDel="00000000" w:rsidP="00000000" w:rsidRDefault="00000000" w:rsidRPr="00000000" w14:paraId="0000003F">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3A. Strategic Moves for the Dominant Players (Incumbents)</w:t>
      </w:r>
    </w:p>
    <w:p w:rsidR="00000000" w:rsidDel="00000000" w:rsidP="00000000" w:rsidRDefault="00000000" w:rsidRPr="00000000" w14:paraId="00000040">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1: Build Data &amp; AI-Led Athlete–Brand Intelligence Platforms.</w:t>
      </w:r>
      <w:r w:rsidDel="00000000" w:rsidR="00000000" w:rsidRPr="00000000">
        <w:rPr>
          <w:rFonts w:ascii="Times New Roman" w:cs="Times New Roman" w:eastAsia="Times New Roman" w:hAnsi="Times New Roman"/>
          <w:rtl w:val="0"/>
        </w:rPr>
        <w:t xml:space="preserve"> Incumbents should invest in data-driven platforms that quantify athlete value, audience engagement, and sponsorship ROI, effectively becoming the “Bloomberg terminal” for sports marketing. Agencies can aggregate proprietary data across contracts, social media, and campaign performance to provide predictive insights. This leverages data as a competitive moat, deepens switching costs, and enables agencies to capture value upstream in strategy and analytics, not just execution. Data becomes the control point of the ecosystem, shifting power from intermediaries to intelligence platforms.</w:t>
      </w:r>
    </w:p>
    <w:p w:rsidR="00000000" w:rsidDel="00000000" w:rsidP="00000000" w:rsidRDefault="00000000" w:rsidRPr="00000000" w14:paraId="00000041">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2: Implement Structured NIL Development Programs.</w:t>
      </w:r>
      <w:r w:rsidDel="00000000" w:rsidR="00000000" w:rsidRPr="00000000">
        <w:rPr>
          <w:rFonts w:ascii="Times New Roman" w:cs="Times New Roman" w:eastAsia="Times New Roman" w:hAnsi="Times New Roman"/>
          <w:rtl w:val="0"/>
        </w:rPr>
        <w:t xml:space="preserve"> Currently, agencies watch the minion platforms do the heavy lifting of onboarding college athletes, only to swoop in later on proven names. A smarter move would be to formalize a lightweight, branded development tier; essentially a feeder program that gives promising athletes access to basic brand advisory in exchange for a right of first refusal on future pro representation. This mirrors the </w:t>
      </w:r>
      <w:r w:rsidDel="00000000" w:rsidR="00000000" w:rsidRPr="00000000">
        <w:rPr>
          <w:rFonts w:ascii="Times New Roman" w:cs="Times New Roman" w:eastAsia="Times New Roman" w:hAnsi="Times New Roman"/>
          <w:rtl w:val="0"/>
        </w:rPr>
        <w:t xml:space="preserve">Producer Evangelism </w:t>
      </w:r>
      <w:r w:rsidDel="00000000" w:rsidR="00000000" w:rsidRPr="00000000">
        <w:rPr>
          <w:rFonts w:ascii="Times New Roman" w:cs="Times New Roman" w:eastAsia="Times New Roman" w:hAnsi="Times New Roman"/>
          <w:rtl w:val="0"/>
        </w:rPr>
        <w:t xml:space="preserve">strategy: design your offering to attract producers early, so that when their value peaks, they are already inside your ecosystem.</w:t>
      </w:r>
    </w:p>
    <w:p w:rsidR="00000000" w:rsidDel="00000000" w:rsidP="00000000" w:rsidRDefault="00000000" w:rsidRPr="00000000" w14:paraId="00000042">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Move 3: Launch Tokenized Fan–Athlete Investment Platforms.</w:t>
      </w:r>
      <w:r w:rsidDel="00000000" w:rsidR="00000000" w:rsidRPr="00000000">
        <w:rPr>
          <w:rFonts w:ascii="Times New Roman" w:cs="Times New Roman" w:eastAsia="Times New Roman" w:hAnsi="Times New Roman"/>
          <w:rtl w:val="0"/>
        </w:rPr>
        <w:t xml:space="preserve"> Incumbents should create tokenized platforms where fans can invest directly in an athlete’s future earnings or brand value. This strategy builds directly on the course concept of </w:t>
      </w:r>
      <w:r w:rsidDel="00000000" w:rsidR="00000000" w:rsidRPr="00000000">
        <w:rPr>
          <w:rFonts w:ascii="Times New Roman" w:cs="Times New Roman" w:eastAsia="Times New Roman" w:hAnsi="Times New Roman"/>
          <w:rtl w:val="0"/>
        </w:rPr>
        <w:t xml:space="preserve">engineering new value capture mechanisms and stimulating complementary investments across the ecosystem. Instead of brands being the only capital providers, fans become micro-investors. This creates multi-sided network effects </w:t>
      </w:r>
      <w:r w:rsidDel="00000000" w:rsidR="00000000" w:rsidRPr="00000000">
        <w:rPr>
          <w:rFonts w:ascii="Times New Roman" w:cs="Times New Roman" w:eastAsia="Times New Roman" w:hAnsi="Times New Roman"/>
          <w:rtl w:val="0"/>
        </w:rPr>
        <w:t xml:space="preserve">and turns athletes into investable assets.</w:t>
      </w:r>
      <w:r w:rsidDel="00000000" w:rsidR="00000000" w:rsidRPr="00000000">
        <w:rPr>
          <w:rtl w:val="0"/>
        </w:rPr>
      </w:r>
    </w:p>
    <w:p w:rsidR="00000000" w:rsidDel="00000000" w:rsidP="00000000" w:rsidRDefault="00000000" w:rsidRPr="00000000" w14:paraId="00000043">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3B. Strategic Moves for the Minions</w:t>
      </w:r>
    </w:p>
    <w:p w:rsidR="00000000" w:rsidDel="00000000" w:rsidP="00000000" w:rsidRDefault="00000000" w:rsidRPr="00000000" w14:paraId="00000044">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1: Expand into High School Athletics (Solving the Cold Start Problem) -</w:t>
      </w:r>
      <w:r w:rsidDel="00000000" w:rsidR="00000000" w:rsidRPr="00000000">
        <w:rPr>
          <w:rFonts w:ascii="Times New Roman" w:cs="Times New Roman" w:eastAsia="Times New Roman" w:hAnsi="Times New Roman"/>
          <w:rtl w:val="0"/>
        </w:rPr>
        <w:t xml:space="preserve"> To survive the inevitable consolidation of this industry, minions need to dig deeper into their technological advantages and think carefully about how they grow their user base before incumbents figure out how to scale downward. One critical move is expanding into high school athletics. As more states legalize NIL for younger athletes, platforms need to capture these users early. Building brand loyalty at the high school level ensures that when these athletes transition to college, they bring the platform with them, effectively bypassing traditional agencies entirely.</w:t>
        <w:br w:type="textWrapping"/>
        <w:t xml:space="preserve">This strategy directly maps to what our course described as solving the </w:t>
      </w:r>
      <w:r w:rsidDel="00000000" w:rsidR="00000000" w:rsidRPr="00000000">
        <w:rPr>
          <w:rFonts w:ascii="Times New Roman" w:cs="Times New Roman" w:eastAsia="Times New Roman" w:hAnsi="Times New Roman"/>
          <w:rtl w:val="0"/>
        </w:rPr>
        <w:t xml:space="preserve">Cold Start Problem</w:t>
      </w:r>
      <w:r w:rsidDel="00000000" w:rsidR="00000000" w:rsidRPr="00000000">
        <w:rPr>
          <w:rFonts w:ascii="Times New Roman" w:cs="Times New Roman" w:eastAsia="Times New Roman" w:hAnsi="Times New Roman"/>
          <w:rtl w:val="0"/>
        </w:rPr>
        <w:t xml:space="preserve">. The Cold Start Problem refers to the challenge platforms face in attracting users when the network has little to no existing value. By partnering with high school athletic departments and state athletic associations rather than recruiting individual athletes one by one, minion platforms can onboard large groups of users simultaneously and skip the cold start phase entirely at the college level. The athlete already knows the product, has deal history on it, and does not need to be convinced to sign up.</w:t>
        <w:br w:type="textWrapping"/>
        <w:t xml:space="preserve">The pricing logic here follows the </w:t>
      </w:r>
      <w:r w:rsidDel="00000000" w:rsidR="00000000" w:rsidRPr="00000000">
        <w:rPr>
          <w:rFonts w:ascii="Times New Roman" w:cs="Times New Roman" w:eastAsia="Times New Roman" w:hAnsi="Times New Roman"/>
          <w:rtl w:val="0"/>
        </w:rPr>
        <w:t xml:space="preserve">Seeding Strategy</w:t>
      </w:r>
      <w:r w:rsidDel="00000000" w:rsidR="00000000" w:rsidRPr="00000000">
        <w:rPr>
          <w:rFonts w:ascii="Times New Roman" w:cs="Times New Roman" w:eastAsia="Times New Roman" w:hAnsi="Times New Roman"/>
          <w:rtl w:val="0"/>
        </w:rPr>
        <w:t xml:space="preserve"> discussed in class. Rather than waiting for organic demand to build, minion platforms can proactively create value for one side of the market first by offering the platform to high school athletic departments at a flat institutional fee, while student athletes access it completely free. The athletic department pays for compliance tools, reporting dashboards, and oversight features that administrators genuinely need to manage their athletes' NIL activities. The athletes, meanwhile, get access to deal-facilitation tools at no personal cost. This structure is important because it removes any financial barrier that would discourage high school athletes from signing up at a stage where deal values are still small and athletes have little reason to pay out of pocket.</w:t>
      </w:r>
    </w:p>
    <w:p w:rsidR="00000000" w:rsidDel="00000000" w:rsidP="00000000" w:rsidRDefault="00000000" w:rsidRPr="00000000" w14:paraId="00000045">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seeding the athlete side of the market through institutional contracts rather than individual outreach, the platform bypasses the slow and expensive process of one-by-one user acquisition entirely. One contract with a high school athletic department delivers an entire roster of users automatically. When those athletes graduate and move into college NIL, they carry the platform with them as their system of choice, and the minion company begins generating real transaction revenue from users it seeded years earlier at a fraction of the typical acquisition cost. The more athletic departments that sign on, the more athletes flood into the network, and the more attractive the platform becomes to brands looking for early access to rising talent, which in turn draws in more departments and more athletes. The seeding investment pays for itself many times over. This also creates powerful network effects over time. Supporting this strategy also requires minions to actively lobby state and federal regulators to ensure that expanding services to high school athletes remains legally permissible.</w:t>
      </w:r>
    </w:p>
    <w:p w:rsidR="00000000" w:rsidDel="00000000" w:rsidP="00000000" w:rsidRDefault="00000000" w:rsidRPr="00000000" w14:paraId="00000046">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2: Pivot to Data Analytics as a Subscription Service -</w:t>
      </w:r>
      <w:r w:rsidDel="00000000" w:rsidR="00000000" w:rsidRPr="00000000">
        <w:rPr>
          <w:rFonts w:ascii="Times New Roman" w:cs="Times New Roman" w:eastAsia="Times New Roman" w:hAnsi="Times New Roman"/>
          <w:rtl w:val="0"/>
        </w:rPr>
        <w:t xml:space="preserve"> Another major opportunity is pivoting away from transaction fee revenue toward data monetization and analytical services. Platforms that accumulate behavioral data and use it to deliver personalized, value-added experiences (</w:t>
      </w:r>
      <w:r w:rsidDel="00000000" w:rsidR="00000000" w:rsidRPr="00000000">
        <w:rPr>
          <w:rFonts w:ascii="Times New Roman" w:cs="Times New Roman" w:eastAsia="Times New Roman" w:hAnsi="Times New Roman"/>
          <w:rtl w:val="0"/>
        </w:rPr>
        <w:t xml:space="preserve">Radical Personalization</w:t>
      </w:r>
      <w:r w:rsidDel="00000000" w:rsidR="00000000" w:rsidRPr="00000000">
        <w:rPr>
          <w:rFonts w:ascii="Times New Roman" w:cs="Times New Roman" w:eastAsia="Times New Roman" w:hAnsi="Times New Roman"/>
          <w:rtl w:val="0"/>
        </w:rPr>
        <w:t xml:space="preserve">) are the ones that drive the highest user retention and long-term engagement. NIL platforms are sitting on one of the most valuable and untapped datasets in sports marketing: real transaction data showing which athlete profiles, which content types, which sports, and which audience demographics actually drive measurable ROI for brand partners. No traditional agency has this at this level of sport, and no brand is able to build such a model independently.</w:t>
        <w:br w:type="textWrapping"/>
        <w:t xml:space="preserve">Rather than continuing to take a small commission on each deal, minions could repackage this data into subscription-based analytics dashboards sold to both the athlete side and the brand side of the marketplace. For athletes and universities, this could look like tools that show which social posts are generating the most interactions, what deal values are appropriate given the size and habits of a specific following, and how an athlete ranks against comparable profiles. For brands, it could look like predictive deal-matching tools that show which athletes yield the highest return on investment, helping them make more informed decisions about where to allocate sponsorship budgets.</w:t>
        <w:br w:type="textWrapping"/>
      </w:r>
    </w:p>
    <w:p w:rsidR="00000000" w:rsidDel="00000000" w:rsidP="00000000" w:rsidRDefault="00000000" w:rsidRPr="00000000" w14:paraId="00000047">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shift also directly addresses one of the most serious structural risks covered in this class: </w:t>
      </w:r>
      <w:r w:rsidDel="00000000" w:rsidR="00000000" w:rsidRPr="00000000">
        <w:rPr>
          <w:rFonts w:ascii="Times New Roman" w:cs="Times New Roman" w:eastAsia="Times New Roman" w:hAnsi="Times New Roman"/>
          <w:rtl w:val="0"/>
        </w:rPr>
        <w:t xml:space="preserve">Disintermediation (Parker et al., 2016)</w:t>
      </w:r>
      <w:r w:rsidDel="00000000" w:rsidR="00000000" w:rsidRPr="00000000">
        <w:rPr>
          <w:rFonts w:ascii="Times New Roman" w:cs="Times New Roman" w:eastAsia="Times New Roman" w:hAnsi="Times New Roman"/>
          <w:rtl w:val="0"/>
        </w:rPr>
        <w:t xml:space="preserve">. Disintermediation is what happens when two parties who have met on a platform take their next transaction off-platform to avoid paying platform fees. By shifting the primary value proposition from deal facilitation to ongoing data and intelligence services, minion platforms make themselves useful even after the initial introduction has occurred. A brand that is subscribing to an annual analytics dashboard has no incentive to take deals off-platform, because the platform itself is what generates the insights they are paying for.</w:t>
      </w:r>
    </w:p>
    <w:p w:rsidR="00000000" w:rsidDel="00000000" w:rsidP="00000000" w:rsidRDefault="00000000" w:rsidRPr="00000000" w14:paraId="00000048">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Move 3: Fintech Integration (Anti-Disintermediation) -</w:t>
      </w:r>
      <w:r w:rsidDel="00000000" w:rsidR="00000000" w:rsidRPr="00000000">
        <w:rPr>
          <w:rFonts w:ascii="Times New Roman" w:cs="Times New Roman" w:eastAsia="Times New Roman" w:hAnsi="Times New Roman"/>
          <w:rtl w:val="0"/>
        </w:rPr>
        <w:t xml:space="preserve"> Digital platforms in this space should look to integrate the full financial experience of the athlete directly into the deal process. As covered in the Properties of Digital Platforms, platforms that extend their functionality into adjacent areas of a user's life create significantly higher</w:t>
      </w:r>
      <w:r w:rsidDel="00000000" w:rsidR="00000000" w:rsidRPr="00000000">
        <w:rPr>
          <w:rFonts w:ascii="Times New Roman" w:cs="Times New Roman" w:eastAsia="Times New Roman" w:hAnsi="Times New Roman"/>
          <w:rtl w:val="0"/>
        </w:rPr>
        <w:t xml:space="preserve"> switching costs </w:t>
      </w:r>
      <w:r w:rsidDel="00000000" w:rsidR="00000000" w:rsidRPr="00000000">
        <w:rPr>
          <w:rFonts w:ascii="Times New Roman" w:cs="Times New Roman" w:eastAsia="Times New Roman" w:hAnsi="Times New Roman"/>
          <w:rtl w:val="0"/>
        </w:rPr>
        <w:t xml:space="preserve">and deeper lock-in than platforms that stop at the core transaction. Teamworks Wallet is the clearest current example of this done right. Teamworks built a dedicated digital banking solution integrated directly into the INFLCR app, where all payments from collectives, NIL deals, tuition, and scholarships flow into a single centralized account, with athletes able to automatically set aside a percentage of earnings into a separate tax reserves account. The platform is no longer just a marketplace. It is the athlete's financial operating system.</w:t>
      </w:r>
    </w:p>
    <w:p w:rsidR="00000000" w:rsidDel="00000000" w:rsidP="00000000" w:rsidRDefault="00000000" w:rsidRPr="00000000" w14:paraId="00000049">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contrast between platforms that have done this and those that have not is already visible in the NIL space, and it points directly to where Opendorse and MOGL need to go. Dedicated fintech providers like Payment Labs and PayQuicker have already proven that the technology works. Payment Labs handles automated W-9 collection and sends tax withholding directly to the IRS, so the user never has to think about it, and PayQuicker gets money into a user's account within seconds of a deal closing. So why aren't Opendorse and MOGL doing this? Right now, both platforms stop at the deal. They facilitate the connection, take their cut, and leave the athlete to figure out the rest. The problem is that "the rest" for a 19-year-old with no financial background means tracking income across multiple deals, figuring out quarterly estimated taxes, and learning what self-employment tax even means before the IRS comes knocking.</w:t>
        <w:br w:type="textWrapping"/>
        <w:t xml:space="preserve">Flip that around and think about what happens if Opendorse or MOGL automatically withholds the right amount on every payment, sends a quarterly reminder about estimated taxes, and hands the athlete a pre-populated earnings summary at year's end. Now the platform is not just a marketplace. It is the financial home base for that athlete's entire NIL career. This directly creates an anti-disintermediation design. Once an athlete's payment history, tax records, and deal documentation are embedded in a platform, the friction of switching to a competitor becomes very high. They are not just leaving a marketplace. They are leaving their financial records, their compliance history, and the system that has been managing their money.</w:t>
      </w:r>
      <w:r w:rsidDel="00000000" w:rsidR="00000000" w:rsidRPr="00000000">
        <w:rPr>
          <w:rtl w:val="0"/>
        </w:rPr>
      </w:r>
    </w:p>
    <w:p w:rsidR="00000000" w:rsidDel="00000000" w:rsidP="00000000" w:rsidRDefault="00000000" w:rsidRPr="00000000" w14:paraId="0000004A">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3C. Extra Consideration</w:t>
      </w:r>
    </w:p>
    <w:p w:rsidR="00000000" w:rsidDel="00000000" w:rsidP="00000000" w:rsidRDefault="00000000" w:rsidRPr="00000000" w14:paraId="0000004B">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Minions Get There - Build vs. Partner.</w:t>
      </w:r>
      <w:r w:rsidDel="00000000" w:rsidR="00000000" w:rsidRPr="00000000">
        <w:rPr>
          <w:rFonts w:ascii="Times New Roman" w:cs="Times New Roman" w:eastAsia="Times New Roman" w:hAnsi="Times New Roman"/>
          <w:rtl w:val="0"/>
        </w:rPr>
        <w:t xml:space="preserve"> To deliver the services proposed in Strategies 2 and 3, minion companies have two paths forward. As the Stripe case illustrated, one of the most powerful strategic moves a platform can make is opening itself up to third-party developers through a</w:t>
      </w:r>
      <w:r w:rsidDel="00000000" w:rsidR="00000000" w:rsidRPr="00000000">
        <w:rPr>
          <w:rFonts w:ascii="Times New Roman" w:cs="Times New Roman" w:eastAsia="Times New Roman" w:hAnsi="Times New Roman"/>
          <w:rtl w:val="0"/>
        </w:rPr>
        <w:t xml:space="preserve">n API-based architecture. </w:t>
      </w:r>
      <w:r w:rsidDel="00000000" w:rsidR="00000000" w:rsidRPr="00000000">
        <w:rPr>
          <w:rFonts w:ascii="Times New Roman" w:cs="Times New Roman" w:eastAsia="Times New Roman" w:hAnsi="Times New Roman"/>
          <w:rtl w:val="0"/>
        </w:rPr>
        <w:t xml:space="preserve">Rather than building every feature in-house, minions could allow specialized companies like Payment Labs, PayQuicker, or analytics startups to plug directly into their platform and deliver services to athletes and brands through a unified interface. This is the model Stripe used to become indispensable across the payments ecosystem: by building for developers first, they enabled an entire layer of innovation they never could have built alone.</w:t>
        <w:br w:type="textWrapping"/>
        <w:t xml:space="preserve">Alternatively, minions could follow the Teamworks model and build an in-house suite of products for greater quality control and brand consistency. The tradeoff is clear: in-house development gives more control but limits innovation speed, while an open API approach accelerates the pace of new features but introduces quality risk if third-party integrations underperform. Given the resource constraints most minion companies currently face, the API-first, partner-driven approach is likely the more realistic path to building a comprehensive platform quickly enough to matter.</w:t>
      </w:r>
    </w:p>
    <w:p w:rsidR="00000000" w:rsidDel="00000000" w:rsidP="00000000" w:rsidRDefault="00000000" w:rsidRPr="00000000" w14:paraId="0000004C">
      <w:pPr>
        <w:keepNext w:val="0"/>
        <w:keepLines w:val="0"/>
        <w:spacing w:after="200"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4: Integrative Summary and Future Outlook</w:t>
      </w:r>
    </w:p>
    <w:p w:rsidR="00000000" w:rsidDel="00000000" w:rsidP="00000000" w:rsidRDefault="00000000" w:rsidRPr="00000000" w14:paraId="0000004D">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What Both Subgroups Found</w:t>
      </w:r>
    </w:p>
    <w:p w:rsidR="00000000" w:rsidDel="00000000" w:rsidP="00000000" w:rsidRDefault="00000000" w:rsidRPr="00000000" w14:paraId="0000004E">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consistent theme is the gap between how the incumbents and the minions think about the market. Agencies have operated with </w:t>
      </w:r>
      <w:r w:rsidDel="00000000" w:rsidR="00000000" w:rsidRPr="00000000">
        <w:rPr>
          <w:rFonts w:ascii="Times New Roman" w:cs="Times New Roman" w:eastAsia="Times New Roman" w:hAnsi="Times New Roman"/>
          <w:rtl w:val="0"/>
        </w:rPr>
        <w:t xml:space="preserve">pipeline logic (find talent, represent them, earn commission). Startups have operated with platform logic (build infrastructure, accumulate data, leverage network effects) (Parker et al., 2016)</w:t>
      </w:r>
      <w:r w:rsidDel="00000000" w:rsidR="00000000" w:rsidRPr="00000000">
        <w:rPr>
          <w:rFonts w:ascii="Times New Roman" w:cs="Times New Roman" w:eastAsia="Times New Roman" w:hAnsi="Times New Roman"/>
          <w:rtl w:val="0"/>
        </w:rPr>
        <w:t xml:space="preserve">. The players who are accumulating structural advantages through transaction volume and institutional relationships are building businesses that are harder to compete against over time, while agencies have ceded compounding advantages by staying out of the technology layer.</w:t>
      </w:r>
    </w:p>
    <w:p w:rsidR="00000000" w:rsidDel="00000000" w:rsidP="00000000" w:rsidRDefault="00000000" w:rsidRPr="00000000" w14:paraId="0000004F">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Will the Ecosystem Thrive Without Change?</w:t>
      </w:r>
    </w:p>
    <w:p w:rsidR="00000000" w:rsidDel="00000000" w:rsidP="00000000" w:rsidRDefault="00000000" w:rsidRPr="00000000" w14:paraId="00000050">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structural changes, the ecosystem will keep growing in dollar volume but will not reach its potential. The combination of platform fragmentation, disintermediation risk, and regulatory uncertainty will suppress efficient value exchange.</w:t>
      </w:r>
    </w:p>
    <w:p w:rsidR="00000000" w:rsidDel="00000000" w:rsidP="00000000" w:rsidRDefault="00000000" w:rsidRPr="00000000" w14:paraId="00000051">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The Biggest Challenges</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285"/>
        <w:tblGridChange w:id="0">
          <w:tblGrid>
            <w:gridCol w:w="2760"/>
            <w:gridCol w:w="628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Challenge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Makes It Serious</w:t>
            </w:r>
            <w:r w:rsidDel="00000000" w:rsidR="00000000" w:rsidRPr="00000000">
              <w:rPr>
                <w:rtl w:val="0"/>
              </w:rPr>
            </w:r>
          </w:p>
        </w:tc>
      </w:tr>
      <w:tr>
        <w:trPr>
          <w:cantSplit w:val="0"/>
          <w:trHeight w:val="731.953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Disintermediation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Once connected, athletes and brands have a financial incentive  to take their next deal off-platform to avoid the commission.</w:t>
            </w:r>
          </w:p>
        </w:tc>
      </w:tr>
      <w:tr>
        <w:trPr>
          <w:cantSplit w:val="0"/>
          <w:trHeight w:val="671.953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Regulatory      Fragmentation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Patchwork state laws, NCAA policies, and pending legislation create massive compliance uncertainty.</w:t>
            </w:r>
          </w:p>
        </w:tc>
      </w:tr>
      <w:tr>
        <w:trPr>
          <w:cantSplit w:val="0"/>
          <w:trHeight w:val="10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Value Concentration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1% of college athlete earners capture more than half of total NIL value, threatening broad long-tail engagement.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Platform Fragmentation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Fragmented liquidity means worse matching outcomes; athletes are forced to multi-home across multiple tools.</w:t>
            </w:r>
          </w:p>
        </w:tc>
      </w:tr>
      <w:tr>
        <w:trPr>
          <w:cantSplit w:val="0"/>
          <w:trHeight w:val="866.953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Collective Funding Risk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collectives depend on volatile donor contributions that could dry up based on team performance or legal shifts.</w:t>
            </w:r>
          </w:p>
        </w:tc>
      </w:tr>
      <w:tr>
        <w:trPr>
          <w:cantSplit w:val="0"/>
          <w:trHeight w:val="1067.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Employment Classification Risk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recent NLRB rulings (e.g., Dartmouth), athletes may be reclassified as legal employees, radically altering university and platform overhead costs.</w:t>
            </w:r>
          </w:p>
        </w:tc>
      </w:tr>
      <w:tr>
        <w:trPr>
          <w:cantSplit w:val="0"/>
          <w:trHeight w:val="1067.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Clearinghouse Friction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College Sports Commission actively audits and rejects third-party deals, creating immense compliance friction for orchestrators.</w:t>
            </w:r>
          </w:p>
        </w:tc>
      </w:tr>
    </w:tbl>
    <w:p w:rsidR="00000000" w:rsidDel="00000000" w:rsidP="00000000" w:rsidRDefault="00000000" w:rsidRPr="00000000" w14:paraId="00000062">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The Path Forward</w:t>
      </w:r>
    </w:p>
    <w:p w:rsidR="00000000" w:rsidDel="00000000" w:rsidP="00000000" w:rsidRDefault="00000000" w:rsidRPr="00000000" w14:paraId="00000063">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ecosystem to reach a healthy maturity, three things need to happen:</w:t>
      </w:r>
    </w:p>
    <w:p w:rsidR="00000000" w:rsidDel="00000000" w:rsidP="00000000" w:rsidRDefault="00000000" w:rsidRPr="00000000" w14:paraId="00000064">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Industry Consolidation:</w:t>
      </w:r>
      <w:r w:rsidDel="00000000" w:rsidR="00000000" w:rsidRPr="00000000">
        <w:rPr>
          <w:rFonts w:ascii="Times New Roman" w:cs="Times New Roman" w:eastAsia="Times New Roman" w:hAnsi="Times New Roman"/>
          <w:rtl w:val="0"/>
        </w:rPr>
        <w:t xml:space="preserve"> Traditional agencies acquiring leading technology platforms to combine premium brand relationships with scalable data infrastructure.</w:t>
      </w:r>
    </w:p>
    <w:p w:rsidR="00000000" w:rsidDel="00000000" w:rsidP="00000000" w:rsidRDefault="00000000" w:rsidRPr="00000000" w14:paraId="00000065">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Standardized Compliance Infrastructure:</w:t>
      </w:r>
      <w:r w:rsidDel="00000000" w:rsidR="00000000" w:rsidRPr="00000000">
        <w:rPr>
          <w:rFonts w:ascii="Times New Roman" w:cs="Times New Roman" w:eastAsia="Times New Roman" w:hAnsi="Times New Roman"/>
          <w:rtl w:val="0"/>
        </w:rPr>
        <w:t xml:space="preserve"> Platforms must embed themselves as the definitive compliance operating system for collegiate athletics, ideally accelerated by a unified federal NIL framework.</w:t>
      </w:r>
    </w:p>
    <w:p w:rsidR="00000000" w:rsidDel="00000000" w:rsidP="00000000" w:rsidRDefault="00000000" w:rsidRPr="00000000" w14:paraId="00000066">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Expansion of the Commercial Lifecycle:</w:t>
      </w:r>
      <w:r w:rsidDel="00000000" w:rsidR="00000000" w:rsidRPr="00000000">
        <w:rPr>
          <w:rFonts w:ascii="Times New Roman" w:cs="Times New Roman" w:eastAsia="Times New Roman" w:hAnsi="Times New Roman"/>
          <w:rtl w:val="0"/>
        </w:rPr>
        <w:t xml:space="preserve"> Platforms must move beyond mere matching services to holistic career managers (tax compliance, financial planning, brand strategy).</w:t>
      </w:r>
    </w:p>
    <w:p w:rsidR="00000000" w:rsidDel="00000000" w:rsidP="00000000" w:rsidRDefault="00000000" w:rsidRPr="00000000" w14:paraId="00000067">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well-functioning NIL ecosystem could channel tens of billions of dollars in annual brand spend toward athletes. Getting there requires the incumbents to stop treating technology as someone else's problem and requires the minions to stop treating the transaction as the end of the value chain. The players who figure that out first will define this industry for the next decade.</w:t>
      </w:r>
    </w:p>
    <w:p w:rsidR="00000000" w:rsidDel="00000000" w:rsidP="00000000" w:rsidRDefault="00000000" w:rsidRPr="00000000" w14:paraId="00000068">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0"/>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keepNext w:val="0"/>
        <w:keepLines w:val="0"/>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72">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Iansiti, M., &amp; Levien, R. (2004). Strategy as Ecology. </w:t>
      </w:r>
      <w:r w:rsidDel="00000000" w:rsidR="00000000" w:rsidRPr="00000000">
        <w:rPr>
          <w:rFonts w:ascii="Times New Roman" w:cs="Times New Roman" w:eastAsia="Times New Roman" w:hAnsi="Times New Roman"/>
          <w:i w:val="1"/>
          <w:iCs w:val="1"/>
          <w:rtl w:val="0"/>
        </w:rPr>
        <w:t xml:space="preserve">Harvard Business Review</w:t>
      </w:r>
      <w:r w:rsidDel="00000000" w:rsidR="00000000" w:rsidRPr="00000000">
        <w:rPr>
          <w:rFonts w:ascii="Times New Roman" w:cs="Times New Roman" w:eastAsia="Times New Roman" w:hAnsi="Times New Roman"/>
          <w:rtl w:val="0"/>
        </w:rPr>
        <w:t xml:space="preserve">, 82(3), 68-78.</w:t>
      </w:r>
    </w:p>
    <w:p w:rsidR="00000000" w:rsidDel="00000000" w:rsidP="00000000" w:rsidRDefault="00000000" w:rsidRPr="00000000" w14:paraId="00000073">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Parker, G. G., Van Alstyne, M. W., &amp; Choudary, S. P. (2016). </w:t>
      </w:r>
      <w:r w:rsidDel="00000000" w:rsidR="00000000" w:rsidRPr="00000000">
        <w:rPr>
          <w:rFonts w:ascii="Times New Roman" w:cs="Times New Roman" w:eastAsia="Times New Roman" w:hAnsi="Times New Roman"/>
          <w:i w:val="1"/>
          <w:iCs w:val="1"/>
          <w:rtl w:val="0"/>
        </w:rPr>
        <w:t xml:space="preserve">Platform Revolution: How Networked Markets Are Transforming the Economy and How to Make Them Work for You</w:t>
      </w:r>
      <w:r w:rsidDel="00000000" w:rsidR="00000000" w:rsidRPr="00000000">
        <w:rPr>
          <w:rFonts w:ascii="Times New Roman" w:cs="Times New Roman" w:eastAsia="Times New Roman" w:hAnsi="Times New Roman"/>
          <w:rtl w:val="0"/>
        </w:rPr>
        <w:t xml:space="preserve">. W. W. Norton &amp; Company.</w:t>
      </w:r>
    </w:p>
    <w:p w:rsidR="00000000" w:rsidDel="00000000" w:rsidP="00000000" w:rsidRDefault="00000000" w:rsidRPr="00000000" w14:paraId="00000074">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Porter, C. (2024, October 31). </w:t>
      </w:r>
      <w:r w:rsidDel="00000000" w:rsidR="00000000" w:rsidRPr="00000000">
        <w:rPr>
          <w:rFonts w:ascii="Times New Roman" w:cs="Times New Roman" w:eastAsia="Times New Roman" w:hAnsi="Times New Roman"/>
          <w:i w:val="1"/>
          <w:iCs w:val="1"/>
          <w:rtl w:val="0"/>
        </w:rPr>
        <w:t xml:space="preserve">The sports betting of the future</w:t>
      </w:r>
      <w:r w:rsidDel="00000000" w:rsidR="00000000" w:rsidRPr="00000000">
        <w:rPr>
          <w:rFonts w:ascii="Times New Roman" w:cs="Times New Roman" w:eastAsia="Times New Roman" w:hAnsi="Times New Roman"/>
          <w:rtl w:val="0"/>
        </w:rPr>
        <w:t xml:space="preserve">. Medium</w:t>
      </w:r>
    </w:p>
    <w:p w:rsidR="00000000" w:rsidDel="00000000" w:rsidP="00000000" w:rsidRDefault="00000000" w:rsidRPr="00000000" w14:paraId="00000075">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365247 Sports. (n.d.). </w:t>
      </w:r>
      <w:r w:rsidDel="00000000" w:rsidR="00000000" w:rsidRPr="00000000">
        <w:rPr>
          <w:rFonts w:ascii="Times New Roman" w:cs="Times New Roman" w:eastAsia="Times New Roman" w:hAnsi="Times New Roman"/>
          <w:i w:val="1"/>
          <w:iCs w:val="1"/>
          <w:rtl w:val="0"/>
        </w:rPr>
        <w:t xml:space="preserve">Sports agencies: The invisible superpower layer of global sport (and why capital is piling in)</w:t>
      </w:r>
      <w:r w:rsidDel="00000000" w:rsidR="00000000" w:rsidRPr="00000000">
        <w:rPr>
          <w:rFonts w:ascii="Times New Roman" w:cs="Times New Roman" w:eastAsia="Times New Roman" w:hAnsi="Times New Roman"/>
          <w:rtl w:val="0"/>
        </w:rPr>
        <w:t xml:space="preserve">. Substack.</w:t>
      </w:r>
    </w:p>
    <w:p w:rsidR="00000000" w:rsidDel="00000000" w:rsidP="00000000" w:rsidRDefault="00000000" w:rsidRPr="00000000" w14:paraId="00000076">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Chaudhury, A. (2025, December 22). </w:t>
      </w:r>
      <w:r w:rsidDel="00000000" w:rsidR="00000000" w:rsidRPr="00000000">
        <w:rPr>
          <w:rFonts w:ascii="Times New Roman" w:cs="Times New Roman" w:eastAsia="Times New Roman" w:hAnsi="Times New Roman"/>
          <w:i w:val="1"/>
          <w:iCs w:val="1"/>
          <w:rtl w:val="0"/>
        </w:rPr>
        <w:t xml:space="preserve">Forbes’ most valuable sports agencies of 2025 ranking released</w:t>
      </w:r>
      <w:r w:rsidDel="00000000" w:rsidR="00000000" w:rsidRPr="00000000">
        <w:rPr>
          <w:rFonts w:ascii="Times New Roman" w:cs="Times New Roman" w:eastAsia="Times New Roman" w:hAnsi="Times New Roman"/>
          <w:rtl w:val="0"/>
        </w:rPr>
        <w:t xml:space="preserve">. The Big Lead.</w:t>
      </w:r>
    </w:p>
    <w:p w:rsidR="00000000" w:rsidDel="00000000" w:rsidP="00000000" w:rsidRDefault="00000000" w:rsidRPr="00000000" w14:paraId="00000077">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 Network. (2023). </w:t>
      </w:r>
      <w:r w:rsidDel="00000000" w:rsidR="00000000" w:rsidRPr="00000000">
        <w:rPr>
          <w:rFonts w:ascii="Times New Roman" w:cs="Times New Roman" w:eastAsia="Times New Roman" w:hAnsi="Times New Roman"/>
          <w:i w:val="1"/>
          <w:iCs w:val="1"/>
          <w:rtl w:val="0"/>
        </w:rPr>
        <w:t xml:space="preserve">NIL digital marketplaces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8">
      <w:pPr>
        <w:spacing w:after="200"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Loeb &amp; Loeb LLP. (2026, February 19). </w:t>
      </w:r>
      <w:r w:rsidDel="00000000" w:rsidR="00000000" w:rsidRPr="00000000">
        <w:rPr>
          <w:rFonts w:ascii="Times New Roman" w:cs="Times New Roman" w:eastAsia="Times New Roman" w:hAnsi="Times New Roman"/>
          <w:i w:val="1"/>
          <w:iCs w:val="1"/>
          <w:rtl w:val="0"/>
        </w:rPr>
        <w:t xml:space="preserve">The new playbook for sports agencies: Consolidation, integration and institutional capital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79">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Opendorse. (n.d.). </w:t>
      </w:r>
      <w:r w:rsidDel="00000000" w:rsidR="00000000" w:rsidRPr="00000000">
        <w:rPr>
          <w:rFonts w:ascii="Times New Roman" w:cs="Times New Roman" w:eastAsia="Times New Roman" w:hAnsi="Times New Roman"/>
          <w:i w:val="1"/>
          <w:iCs w:val="1"/>
          <w:rtl w:val="0"/>
        </w:rPr>
        <w:t xml:space="preserve">The NIL deals platform for athletes, fans, &amp; brands</w:t>
      </w:r>
      <w:r w:rsidDel="00000000" w:rsidR="00000000" w:rsidRPr="00000000">
        <w:rPr>
          <w:rFonts w:ascii="Times New Roman" w:cs="Times New Roman" w:eastAsia="Times New Roman" w:hAnsi="Times New Roman"/>
          <w:rtl w:val="0"/>
        </w:rPr>
        <w:t xml:space="preserve">. April 8, 2026, from</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https://opendorse.com/</w:t>
        </w:r>
      </w:hyperlink>
      <w:r w:rsidDel="00000000" w:rsidR="00000000" w:rsidRPr="00000000">
        <w:rPr>
          <w:rtl w:val="0"/>
        </w:rPr>
      </w:r>
    </w:p>
    <w:p w:rsidR="00000000" w:rsidDel="00000000" w:rsidP="00000000" w:rsidRDefault="00000000" w:rsidRPr="00000000" w14:paraId="0000007A">
      <w:pPr>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Teamworks. (n.d.). </w:t>
      </w:r>
      <w:r w:rsidDel="00000000" w:rsidR="00000000" w:rsidRPr="00000000">
        <w:rPr>
          <w:rFonts w:ascii="Times New Roman" w:cs="Times New Roman" w:eastAsia="Times New Roman" w:hAnsi="Times New Roman"/>
          <w:i w:val="1"/>
          <w:iCs w:val="1"/>
          <w:rtl w:val="0"/>
        </w:rPr>
        <w:t xml:space="preserve">Influencer platform</w:t>
      </w:r>
      <w:r w:rsidDel="00000000" w:rsidR="00000000" w:rsidRPr="00000000">
        <w:rPr>
          <w:rFonts w:ascii="Times New Roman" w:cs="Times New Roman" w:eastAsia="Times New Roman" w:hAnsi="Times New Roman"/>
          <w:rtl w:val="0"/>
        </w:rPr>
        <w:t xml:space="preserve">. April 8, 2026, from </w:t>
      </w:r>
      <w:hyperlink r:id="rId8">
        <w:r w:rsidDel="00000000" w:rsidR="00000000" w:rsidRPr="00000000">
          <w:rPr>
            <w:rFonts w:ascii="Times New Roman" w:cs="Times New Roman" w:eastAsia="Times New Roman" w:hAnsi="Times New Roman"/>
            <w:color w:val="1155cc"/>
            <w:u w:val="single"/>
            <w:rtl w:val="0"/>
          </w:rPr>
          <w:t xml:space="preserve">https://teamworks.com/influencer/</w:t>
        </w:r>
      </w:hyperlink>
      <w:r w:rsidDel="00000000" w:rsidR="00000000" w:rsidRPr="00000000">
        <w:rPr>
          <w:rtl w:val="0"/>
        </w:rPr>
      </w:r>
    </w:p>
    <w:p w:rsidR="00000000" w:rsidDel="00000000" w:rsidP="00000000" w:rsidRDefault="00000000" w:rsidRPr="00000000" w14:paraId="0000007B">
      <w:pPr>
        <w:spacing w:after="240" w:before="20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MOGL. (n.d.). </w:t>
      </w:r>
      <w:r w:rsidDel="00000000" w:rsidR="00000000" w:rsidRPr="00000000">
        <w:rPr>
          <w:rFonts w:ascii="Times New Roman" w:cs="Times New Roman" w:eastAsia="Times New Roman" w:hAnsi="Times New Roman"/>
          <w:i w:val="1"/>
          <w:iCs w:val="1"/>
          <w:rtl w:val="0"/>
        </w:rPr>
        <w:t xml:space="preserve">MOGL platform</w:t>
      </w:r>
      <w:r w:rsidDel="00000000" w:rsidR="00000000" w:rsidRPr="00000000">
        <w:rPr>
          <w:rFonts w:ascii="Times New Roman" w:cs="Times New Roman" w:eastAsia="Times New Roman" w:hAnsi="Times New Roman"/>
          <w:rtl w:val="0"/>
        </w:rPr>
        <w:t xml:space="preserve">. Retrieved April 8, 2026, from</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https://www.mogl.online/</w:t>
        </w:r>
      </w:hyperlink>
      <w:r w:rsidDel="00000000" w:rsidR="00000000" w:rsidRPr="00000000">
        <w:rPr>
          <w:rtl w:val="0"/>
        </w:rPr>
      </w:r>
    </w:p>
    <w:p w:rsidR="00000000" w:rsidDel="00000000" w:rsidP="00000000" w:rsidRDefault="00000000" w:rsidRPr="00000000" w14:paraId="0000007C">
      <w:pPr>
        <w:spacing w:after="20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uzmx7vaxhcoq" w:id="0"/>
      <w:bookmarkEnd w:id="0"/>
      <w:r w:rsidDel="00000000" w:rsidR="00000000" w:rsidRPr="00000000">
        <w:rPr>
          <w:rtl w:val="0"/>
        </w:rPr>
      </w:r>
    </w:p>
    <w:p w:rsidR="00000000" w:rsidDel="00000000" w:rsidP="00000000" w:rsidRDefault="00000000" w:rsidRPr="00000000" w14:paraId="0000007E">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mqma898uu17k" w:id="1"/>
      <w:bookmarkEnd w:id="1"/>
      <w:r w:rsidDel="00000000" w:rsidR="00000000" w:rsidRPr="00000000">
        <w:rPr>
          <w:rtl w:val="0"/>
        </w:rPr>
      </w:r>
    </w:p>
    <w:p w:rsidR="00000000" w:rsidDel="00000000" w:rsidP="00000000" w:rsidRDefault="00000000" w:rsidRPr="00000000" w14:paraId="0000007F">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nhjwcatn65qp" w:id="2"/>
      <w:bookmarkEnd w:id="2"/>
      <w:r w:rsidDel="00000000" w:rsidR="00000000" w:rsidRPr="00000000">
        <w:rPr>
          <w:rtl w:val="0"/>
        </w:rPr>
      </w:r>
    </w:p>
    <w:p w:rsidR="00000000" w:rsidDel="00000000" w:rsidP="00000000" w:rsidRDefault="00000000" w:rsidRPr="00000000" w14:paraId="00000080">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4m111jyrv279" w:id="3"/>
      <w:bookmarkEnd w:id="3"/>
      <w:r w:rsidDel="00000000" w:rsidR="00000000" w:rsidRPr="00000000">
        <w:rPr>
          <w:rtl w:val="0"/>
        </w:rPr>
      </w:r>
    </w:p>
    <w:p w:rsidR="00000000" w:rsidDel="00000000" w:rsidP="00000000" w:rsidRDefault="00000000" w:rsidRPr="00000000" w14:paraId="00000081">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zgkcn8tc3gha" w:id="4"/>
      <w:bookmarkEnd w:id="4"/>
      <w:r w:rsidDel="00000000" w:rsidR="00000000" w:rsidRPr="00000000">
        <w:rPr>
          <w:rtl w:val="0"/>
        </w:rPr>
      </w:r>
    </w:p>
    <w:p w:rsidR="00000000" w:rsidDel="00000000" w:rsidP="00000000" w:rsidRDefault="00000000" w:rsidRPr="00000000" w14:paraId="00000082">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gbfha8fk2vmc" w:id="5"/>
      <w:bookmarkEnd w:id="5"/>
      <w:r w:rsidDel="00000000" w:rsidR="00000000" w:rsidRPr="00000000">
        <w:rPr>
          <w:rtl w:val="0"/>
        </w:rPr>
      </w:r>
    </w:p>
    <w:p w:rsidR="00000000" w:rsidDel="00000000" w:rsidP="00000000" w:rsidRDefault="00000000" w:rsidRPr="00000000" w14:paraId="00000083">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b57bjauwxzjk" w:id="6"/>
      <w:bookmarkEnd w:id="6"/>
      <w:r w:rsidDel="00000000" w:rsidR="00000000" w:rsidRPr="00000000">
        <w:rPr>
          <w:rtl w:val="0"/>
        </w:rPr>
      </w:r>
    </w:p>
    <w:p w:rsidR="00000000" w:rsidDel="00000000" w:rsidP="00000000" w:rsidRDefault="00000000" w:rsidRPr="00000000" w14:paraId="00000084">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yuk77em9guia" w:id="7"/>
      <w:bookmarkEnd w:id="7"/>
      <w:r w:rsidDel="00000000" w:rsidR="00000000" w:rsidRPr="00000000">
        <w:rPr>
          <w:rtl w:val="0"/>
        </w:rPr>
      </w:r>
    </w:p>
    <w:p w:rsidR="00000000" w:rsidDel="00000000" w:rsidP="00000000" w:rsidRDefault="00000000" w:rsidRPr="00000000" w14:paraId="00000085">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758ps94toiwy" w:id="8"/>
      <w:bookmarkEnd w:id="8"/>
      <w:r w:rsidDel="00000000" w:rsidR="00000000" w:rsidRPr="00000000">
        <w:rPr>
          <w:rtl w:val="0"/>
        </w:rPr>
      </w:r>
    </w:p>
    <w:p w:rsidR="00000000" w:rsidDel="00000000" w:rsidP="00000000" w:rsidRDefault="00000000" w:rsidRPr="00000000" w14:paraId="00000086">
      <w:pPr>
        <w:pStyle w:val="Heading3"/>
        <w:keepNext w:val="0"/>
        <w:keepLines w:val="0"/>
        <w:spacing w:before="280" w:line="240" w:lineRule="auto"/>
        <w:rPr>
          <w:rFonts w:ascii="Times New Roman" w:cs="Times New Roman" w:eastAsia="Times New Roman" w:hAnsi="Times New Roman"/>
          <w:b w:val="1"/>
          <w:bCs w:val="1"/>
          <w:color w:val="1f1f1f"/>
          <w:sz w:val="26"/>
          <w:szCs w:val="26"/>
        </w:rPr>
      </w:pPr>
      <w:bookmarkStart w:colFirst="0" w:colLast="0" w:name="_skep6agec6y0" w:id="9"/>
      <w:bookmarkEnd w:id="9"/>
      <w:r w:rsidDel="00000000" w:rsidR="00000000" w:rsidRPr="00000000">
        <w:rPr>
          <w:rFonts w:ascii="Times New Roman" w:cs="Times New Roman" w:eastAsia="Times New Roman" w:hAnsi="Times New Roman"/>
          <w:b w:val="1"/>
          <w:bCs w:val="1"/>
          <w:color w:val="1f1f1f"/>
          <w:sz w:val="26"/>
          <w:szCs w:val="26"/>
          <w:rtl w:val="0"/>
        </w:rPr>
        <w:t xml:space="preserve">Appendix: AI Collaboration &amp; Prompt Methodology</w:t>
      </w:r>
    </w:p>
    <w:p w:rsidR="00000000" w:rsidDel="00000000" w:rsidP="00000000" w:rsidRDefault="00000000" w:rsidRPr="00000000" w14:paraId="00000087">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Tool: Gemini </w:t>
      </w:r>
    </w:p>
    <w:p w:rsidR="00000000" w:rsidDel="00000000" w:rsidP="00000000" w:rsidRDefault="00000000" w:rsidRPr="00000000" w14:paraId="00000088">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of Use: AI was used as a cross-functional assistant to aid in the synthesis of NIL market data, the application of platform economy frameworks, and the editorial refinement of the final report.</w:t>
      </w:r>
    </w:p>
    <w:p w:rsidR="00000000" w:rsidDel="00000000" w:rsidP="00000000" w:rsidRDefault="00000000" w:rsidRPr="00000000" w14:paraId="00000089">
      <w:pPr>
        <w:pStyle w:val="Heading4"/>
        <w:keepNext w:val="0"/>
        <w:keepLines w:val="0"/>
        <w:spacing w:after="200" w:before="240" w:line="240" w:lineRule="auto"/>
        <w:rPr>
          <w:rFonts w:ascii="Times New Roman" w:cs="Times New Roman" w:eastAsia="Times New Roman" w:hAnsi="Times New Roman"/>
          <w:color w:val="1f1f1f"/>
        </w:rPr>
      </w:pPr>
      <w:bookmarkStart w:colFirst="0" w:colLast="0" w:name="_adng519zow76" w:id="10"/>
      <w:bookmarkEnd w:id="10"/>
      <w:r w:rsidDel="00000000" w:rsidR="00000000" w:rsidRPr="00000000">
        <w:rPr>
          <w:rFonts w:ascii="Times New Roman" w:cs="Times New Roman" w:eastAsia="Times New Roman" w:hAnsi="Times New Roman"/>
          <w:color w:val="1f1f1f"/>
          <w:rtl w:val="0"/>
        </w:rPr>
        <w:t xml:space="preserve">Phase 1: Research Synthesis &amp; Framework Mapping</w:t>
      </w:r>
    </w:p>
    <w:p w:rsidR="00000000" w:rsidDel="00000000" w:rsidP="00000000" w:rsidRDefault="00000000" w:rsidRPr="00000000" w14:paraId="0000008A">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r w:rsidDel="00000000" w:rsidR="00000000" w:rsidRPr="00000000">
        <w:rPr>
          <w:rFonts w:ascii="Times New Roman" w:cs="Times New Roman" w:eastAsia="Times New Roman" w:hAnsi="Times New Roman"/>
          <w:rtl w:val="0"/>
        </w:rPr>
        <w:t xml:space="preserve"> To connect real-world NIL startups to academic platform strategies.</w:t>
      </w:r>
    </w:p>
    <w:p w:rsidR="00000000" w:rsidDel="00000000" w:rsidP="00000000" w:rsidRDefault="00000000" w:rsidRPr="00000000" w14:paraId="0000008B">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Prompt: "Here is our analysis of Opendorse and INFLCR. Map these business models to the 'Long Tail Effect' and 'B2B2C Piggybacking' concepts from our course. Explain how they solve the Cold Start Problem."</w:t>
      </w:r>
    </w:p>
    <w:p w:rsidR="00000000" w:rsidDel="00000000" w:rsidP="00000000" w:rsidRDefault="00000000" w:rsidRPr="00000000" w14:paraId="0000008C">
      <w:pPr>
        <w:pStyle w:val="Heading4"/>
        <w:keepNext w:val="0"/>
        <w:keepLines w:val="0"/>
        <w:spacing w:after="200" w:before="240" w:line="240" w:lineRule="auto"/>
        <w:rPr>
          <w:rFonts w:ascii="Times New Roman" w:cs="Times New Roman" w:eastAsia="Times New Roman" w:hAnsi="Times New Roman"/>
          <w:color w:val="1f1f1f"/>
        </w:rPr>
      </w:pPr>
      <w:bookmarkStart w:colFirst="0" w:colLast="0" w:name="_n13rnuleq9mz" w:id="11"/>
      <w:bookmarkEnd w:id="11"/>
      <w:r w:rsidDel="00000000" w:rsidR="00000000" w:rsidRPr="00000000">
        <w:rPr>
          <w:rFonts w:ascii="Times New Roman" w:cs="Times New Roman" w:eastAsia="Times New Roman" w:hAnsi="Times New Roman"/>
          <w:color w:val="1f1f1f"/>
          <w:rtl w:val="0"/>
        </w:rPr>
        <w:t xml:space="preserve">Phase 2: Structural Logic &amp; Argumentation</w:t>
      </w:r>
    </w:p>
    <w:p w:rsidR="00000000" w:rsidDel="00000000" w:rsidP="00000000" w:rsidRDefault="00000000" w:rsidRPr="00000000" w14:paraId="0000008D">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r w:rsidDel="00000000" w:rsidR="00000000" w:rsidRPr="00000000">
        <w:rPr>
          <w:rFonts w:ascii="Times New Roman" w:cs="Times New Roman" w:eastAsia="Times New Roman" w:hAnsi="Times New Roman"/>
          <w:rtl w:val="0"/>
        </w:rPr>
        <w:t xml:space="preserve"> To organize the report into a logical flow that reflects disruptive innovation.</w:t>
      </w:r>
    </w:p>
    <w:p w:rsidR="00000000" w:rsidDel="00000000" w:rsidP="00000000" w:rsidRDefault="00000000" w:rsidRPr="00000000" w14:paraId="0000008E">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Prompt: "We are comparing incumbent agencies with startups. Suggest a structure for a section called 'The Minions Strategy' that highlights four distinct strategic moves: long-tail monetization, automation, piggybacking, and local monopolies."</w:t>
      </w:r>
    </w:p>
    <w:p w:rsidR="00000000" w:rsidDel="00000000" w:rsidP="00000000" w:rsidRDefault="00000000" w:rsidRPr="00000000" w14:paraId="0000008F">
      <w:pPr>
        <w:pStyle w:val="Heading4"/>
        <w:keepNext w:val="0"/>
        <w:keepLines w:val="0"/>
        <w:spacing w:after="200" w:before="240" w:line="240" w:lineRule="auto"/>
        <w:rPr>
          <w:rFonts w:ascii="Times New Roman" w:cs="Times New Roman" w:eastAsia="Times New Roman" w:hAnsi="Times New Roman"/>
          <w:color w:val="1f1f1f"/>
        </w:rPr>
      </w:pPr>
      <w:bookmarkStart w:colFirst="0" w:colLast="0" w:name="_8vv9hlfgapvn" w:id="12"/>
      <w:bookmarkEnd w:id="12"/>
      <w:r w:rsidDel="00000000" w:rsidR="00000000" w:rsidRPr="00000000">
        <w:rPr>
          <w:rFonts w:ascii="Times New Roman" w:cs="Times New Roman" w:eastAsia="Times New Roman" w:hAnsi="Times New Roman"/>
          <w:color w:val="1f1f1f"/>
          <w:rtl w:val="0"/>
        </w:rPr>
        <w:t xml:space="preserve">Phase 3: Editorial Refinement &amp; Tone Management</w:t>
      </w:r>
    </w:p>
    <w:p w:rsidR="00000000" w:rsidDel="00000000" w:rsidP="00000000" w:rsidRDefault="00000000" w:rsidRPr="00000000" w14:paraId="00000090">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r w:rsidDel="00000000" w:rsidR="00000000" w:rsidRPr="00000000">
        <w:rPr>
          <w:rFonts w:ascii="Times New Roman" w:cs="Times New Roman" w:eastAsia="Times New Roman" w:hAnsi="Times New Roman"/>
          <w:rtl w:val="0"/>
        </w:rPr>
        <w:t xml:space="preserve"> To transition the report from a student-essay style to a professional consulting advisory tone.</w:t>
      </w:r>
    </w:p>
    <w:p w:rsidR="00000000" w:rsidDel="00000000" w:rsidP="00000000" w:rsidRDefault="00000000" w:rsidRPr="00000000" w14:paraId="00000091">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Prompt: "Rewrite the following section to be more concise and 'punchy.' Use active verbs and ensure that strategic terms like 'Data Flywheel' and 'Institutional Lock-in' are highlighted in a way that shows strategic impact."</w:t>
      </w:r>
    </w:p>
    <w:p w:rsidR="00000000" w:rsidDel="00000000" w:rsidP="00000000" w:rsidRDefault="00000000" w:rsidRPr="00000000" w14:paraId="00000092">
      <w:pPr>
        <w:pStyle w:val="Heading4"/>
        <w:keepNext w:val="0"/>
        <w:keepLines w:val="0"/>
        <w:spacing w:after="200" w:before="240" w:line="240" w:lineRule="auto"/>
        <w:rPr>
          <w:rFonts w:ascii="Times New Roman" w:cs="Times New Roman" w:eastAsia="Times New Roman" w:hAnsi="Times New Roman"/>
          <w:color w:val="1f1f1f"/>
        </w:rPr>
      </w:pPr>
      <w:bookmarkStart w:colFirst="0" w:colLast="0" w:name="_knnw5jpqlmc4" w:id="13"/>
      <w:bookmarkEnd w:id="13"/>
      <w:r w:rsidDel="00000000" w:rsidR="00000000" w:rsidRPr="00000000">
        <w:rPr>
          <w:rFonts w:ascii="Times New Roman" w:cs="Times New Roman" w:eastAsia="Times New Roman" w:hAnsi="Times New Roman"/>
          <w:color w:val="1f1f1f"/>
          <w:rtl w:val="0"/>
        </w:rPr>
        <w:t xml:space="preserve">Phase 4: Human-in-the-Loop Validation (Critical Step)</w:t>
      </w:r>
    </w:p>
    <w:p w:rsidR="00000000" w:rsidDel="00000000" w:rsidP="00000000" w:rsidRDefault="00000000" w:rsidRPr="00000000" w14:paraId="00000093">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r w:rsidDel="00000000" w:rsidR="00000000" w:rsidRPr="00000000">
        <w:rPr>
          <w:rFonts w:ascii="Times New Roman" w:cs="Times New Roman" w:eastAsia="Times New Roman" w:hAnsi="Times New Roman"/>
          <w:rtl w:val="0"/>
        </w:rPr>
        <w:t xml:space="preserve"> Correcting AI hallucinations or over-simplifications.</w:t>
      </w:r>
    </w:p>
    <w:p w:rsidR="00000000" w:rsidDel="00000000" w:rsidP="00000000" w:rsidRDefault="00000000" w:rsidRPr="00000000" w14:paraId="00000094">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Prompt: "Your previous suggestion was too generic and removed the specific examples of NIL collectives like 'House of Victory.' Re-insert the real-world evidence while maintaining the improved sentence structure."</w:t>
      </w:r>
    </w:p>
    <w:p w:rsidR="00000000" w:rsidDel="00000000" w:rsidP="00000000" w:rsidRDefault="00000000" w:rsidRPr="00000000" w14:paraId="00000095">
      <w:pPr>
        <w:pStyle w:val="Heading4"/>
        <w:keepNext w:val="0"/>
        <w:keepLines w:val="0"/>
        <w:spacing w:after="200" w:before="240" w:line="240" w:lineRule="auto"/>
        <w:rPr>
          <w:rFonts w:ascii="Times New Roman" w:cs="Times New Roman" w:eastAsia="Times New Roman" w:hAnsi="Times New Roman"/>
          <w:color w:val="1f1f1f"/>
        </w:rPr>
      </w:pPr>
      <w:bookmarkStart w:colFirst="0" w:colLast="0" w:name="_qddrj8xpmsst" w:id="14"/>
      <w:bookmarkEnd w:id="14"/>
      <w:r w:rsidDel="00000000" w:rsidR="00000000" w:rsidRPr="00000000">
        <w:rPr>
          <w:rFonts w:ascii="Times New Roman" w:cs="Times New Roman" w:eastAsia="Times New Roman" w:hAnsi="Times New Roman"/>
          <w:color w:val="1f1f1f"/>
          <w:rtl w:val="0"/>
        </w:rPr>
        <w:t xml:space="preserve">Statement of Human Ownership:</w:t>
      </w:r>
    </w:p>
    <w:p w:rsidR="00000000" w:rsidDel="00000000" w:rsidP="00000000" w:rsidRDefault="00000000" w:rsidRPr="00000000" w14:paraId="00000096">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AI assisted in linguistic polishing and structural brainstorming, all primary research, final strategic conclusions, and choice of specific industry examples were curated and verified by the team members. The AI was not permitted to generate content without a pre-existing draft or specific data points provided by the team.</w:t>
      </w:r>
    </w:p>
    <w:p w:rsidR="00000000" w:rsidDel="00000000" w:rsidP="00000000" w:rsidRDefault="00000000" w:rsidRPr="00000000" w14:paraId="00000097">
      <w:pPr>
        <w:spacing w:after="200" w:before="200" w:line="240" w:lineRule="auto"/>
        <w:rPr>
          <w:rFonts w:ascii="Times New Roman" w:cs="Times New Roman" w:eastAsia="Times New Roman" w:hAnsi="Times New Roman"/>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4"/>
        <w:szCs w:val="24"/>
        <w:lang w:val="en"/>
      </w:rPr>
    </w:rPrDefault>
    <w:pPrDefault>
      <w:pPr>
        <w:pBdr>
          <w:top w:color="auto" w:space="0" w:sz="0" w:val="none"/>
          <w:left w:color="auto" w:space="0" w:sz="0" w:val="none"/>
          <w:bottom w:color="auto" w:space="0" w:sz="0" w:val="none"/>
          <w:right w:color="auto" w:space="0" w:sz="0" w:val="none"/>
          <w:between w:color="auto" w:space="0" w:sz="0" w:val="none"/>
        </w:pBd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mogl.online/" TargetMode="External"/><Relationship Id="rId9" Type="http://schemas.openxmlformats.org/officeDocument/2006/relationships/hyperlink" Target="https://www.mogl.online/" TargetMode="External"/><Relationship Id="rId5" Type="http://schemas.openxmlformats.org/officeDocument/2006/relationships/styles" Target="styles.xml"/><Relationship Id="rId6" Type="http://schemas.openxmlformats.org/officeDocument/2006/relationships/hyperlink" Target="https://opendorse.com/" TargetMode="External"/><Relationship Id="rId7" Type="http://schemas.openxmlformats.org/officeDocument/2006/relationships/hyperlink" Target="https://opendorse.com/" TargetMode="External"/><Relationship Id="rId8" Type="http://schemas.openxmlformats.org/officeDocument/2006/relationships/hyperlink" Target="https://teamworks.com/influe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