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B4C9A"/>
          <w:sz w:val="20"/>
          <w:szCs w:val="20"/>
        </w:rPr>
        <w:t xml:space="preserve">PRODUCT REQUIREMENTS DOCUMENT</w:t>
      </w:r>
    </w:p>
    <w:p>
      <w:pPr>
        <w:spacing w:after="0" w:before="120"/>
        <w:jc w:val="center"/>
      </w:pPr>
      <w:r>
        <w:rPr>
          <w:b/>
          <w:bCs/>
          <w:color w:val="1F3A5F"/>
          <w:sz w:val="44"/>
          <w:szCs w:val="44"/>
        </w:rPr>
        <w:t xml:space="preserve">Sistem Psikotes Daring CPMI</w:t>
      </w:r>
    </w:p>
    <w:p>
      <w:pPr>
        <w:spacing w:after="0" w:before="60"/>
        <w:jc w:val="center"/>
      </w:pPr>
      <w:r>
        <w:rPr>
          <w:color w:val="5A5A5A"/>
          <w:sz w:val="26"/>
          <w:szCs w:val="26"/>
        </w:rPr>
        <w:t xml:space="preserve">psikotes.oncam.id</w:t>
      </w:r>
    </w:p>
    <w:p>
      <w:pPr>
        <w:spacing w:after="0" w:before="40"/>
        <w:jc w:val="center"/>
      </w:pPr>
      <w:r>
        <w:rPr>
          <w:color w:val="8A8A8A"/>
          <w:sz w:val="16"/>
          <w:szCs w:val="16"/>
        </w:rPr>
        <w:t xml:space="preserve">心理検査オンラインシステム — インドネシア人技能実習生・特定技能候補者</w:t>
      </w:r>
    </w:p>
    <w:p>
      <w:pPr>
        <w:pBdr>
          <w:top w:val="single" w:color="6B4C9A" w:sz="12"/>
        </w:pBdr>
        <w:spacing w:before="400"/>
        <w:jc w:val="center"/>
      </w:pPr>
      <w:r>
        <w:rPr>
          <w:sz w:val="20"/>
          <w:szCs w:val="20"/>
        </w:rPr>
        <w:t xml:space="preserve"/>
      </w:r>
    </w:p>
    <w:p>
      <w:pPr>
        <w:spacing w:after="0" w:before="300"/>
        <w:jc w:val="center"/>
      </w:pPr>
      <w:r>
        <w:rPr>
          <w:b/>
          <w:bCs/>
          <w:color w:val="1F3A5F"/>
          <w:sz w:val="20"/>
          <w:szCs w:val="20"/>
        </w:rPr>
        <w:t xml:space="preserve">Versi PRD 1.1 (FINAL) · 20 Agustus 2026</w:t>
      </w:r>
    </w:p>
    <w:p>
      <w:pPr>
        <w:spacing w:before="40"/>
        <w:jc w:val="center"/>
      </w:pPr>
      <w:r>
        <w:rPr>
          <w:color w:val="5A5A5A"/>
          <w:sz w:val="18"/>
          <w:szCs w:val="18"/>
        </w:rPr>
        <w:t xml:space="preserve">Selaras dengan SPEC v4.2 · HPP CPMI v2.3 · seluruh butir psikometri terkunci</w:t>
      </w:r>
    </w:p>
    <w:p>
      <w:pPr>
        <w:spacing w:after="0" w:before="600"/>
        <w:jc w:val="center"/>
      </w:pPr>
      <w:r>
        <w:rPr>
          <w:color w:val="5A5A5A"/>
          <w:sz w:val="16"/>
          <w:szCs w:val="16"/>
        </w:rPr>
        <w:t xml:space="preserve">Penanggung jawab psikometri: Rizqi Ulin Nuha, S.Psi., Psikolog — SILP-D8A35113BB4D</w:t>
      </w:r>
    </w:p>
    <w:p>
      <w:pPr>
        <w:spacing w:before="20"/>
        <w:jc w:val="center"/>
      </w:pPr>
      <w:r>
        <w:rPr>
          <w:color w:val="5A5A5A"/>
          <w:sz w:val="16"/>
          <w:szCs w:val="16"/>
        </w:rPr>
        <w:t xml:space="preserve">Penyelenggara: LSI · Unit Layanan Psikologi — PT Online Career Mentor · Salatiga</w:t>
      </w:r>
    </w:p>
    <w:p>
      <w:r>
        <w:br w:type="page"/>
      </w:r>
    </w:p>
    <w:p>
      <w:pPr>
        <w:spacing w:after="120" w:before="0" w:line="264"/>
      </w:pPr>
      <w:r>
        <w:rPr>
          <w:b/>
          <w:bCs/>
          <w:color w:val="1F3A5F"/>
          <w:sz w:val="24"/>
          <w:szCs w:val="24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1. Ringkasan Eksekutif</w:t>
      </w:r>
      <w:r>
        <w:rPr>
          <w:color w:val="8A8A8A"/>
          <w:sz w:val="16"/>
          <w:szCs w:val="16"/>
        </w:rPr>
        <w:t xml:space="preserve">  エグゼクティブサマリー</w:t>
      </w:r>
    </w:p>
    <w:p>
      <w:pPr>
        <w:spacing w:after="120" w:before="0" w:line="264"/>
      </w:pPr>
      <w:r>
        <w:rPr>
          <w:sz w:val="20"/>
          <w:szCs w:val="20"/>
        </w:rPr>
        <w:t xml:space="preserve">Produk ini memindahkan seluruh proses seleksi psikologis Calon Pekerja Migran Indonesia (CPMI) tujuan Jepang dari alur manual — Google Form, ExtendedForms, rekap Excel, dan teskoran.com — ke satu platform daring terpadu. Sistem menyelenggarakan lima instrumen (IST, PAPI Kostick, Kraepelin, RMIB, dan skrining DASS-21), menilai hasil secara otomatis terhadap standar bidang kerja, dan menghasilkan Laporan Hasil Pemeriksaan Psikologis (HPP) dwibahasa Indonesia–Jepang yang ditinjau dan ditandatangani psikolog berlisensi sebelum terbit.</w:t>
      </w:r>
    </w:p>
    <w:p>
      <w:pPr>
        <w:spacing w:after="120" w:before="0" w:line="264"/>
      </w:pPr>
      <w:r>
        <w:rPr>
          <w:b/>
          <w:bCs/>
          <w:sz w:val="20"/>
          <w:szCs w:val="20"/>
        </w:rPr>
        <w:t xml:space="preserve">Nilai inti produk: </w:t>
      </w:r>
      <w:r>
        <w:rPr>
          <w:sz w:val="20"/>
          <w:szCs w:val="20"/>
        </w:rPr>
        <w:t xml:space="preserve">kecepatan dan konsistensi skoring mesin, digabung dengan kendali profesional psikolog yang tidak boleh dilewati. </w:t>
      </w:r>
      <w:r>
        <w:rPr>
          <w:b/>
          <w:bCs/>
          <w:color w:val="1F3A5F"/>
          <w:sz w:val="20"/>
          <w:szCs w:val="20"/>
        </w:rPr>
        <w:t xml:space="preserve">Sistem menyusun draf; psikolog memutuskan dan menandatangani.</w:t>
      </w:r>
    </w:p>
    <w:tbl>
      <w:tblPr>
        <w:tblW w:type="dxa" w:w="9360"/>
        <w:tblBorders>
          <w:top w:val="single" w:color="6B4C9A" w:sz="2"/>
          <w:left w:val="single" w:color="6B4C9A" w:sz="18"/>
          <w:bottom w:val="single" w:color="6B4C9A" w:sz="2"/>
          <w:right w:val="single" w:color="6B4C9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 w:line="264"/>
            </w:pPr>
            <w:r>
              <w:rPr>
                <w:b/>
                <w:bCs/>
                <w:color w:val="6B4C9A"/>
                <w:sz w:val="19"/>
                <w:szCs w:val="19"/>
              </w:rPr>
              <w:t xml:space="preserve">Yang membedakan produk ini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Model kelayakan berbasis </w:t>
            </w:r>
            <w:r>
              <w:rPr>
                <w:b/>
                <w:bCs/>
                <w:sz w:val="20"/>
                <w:szCs w:val="20"/>
              </w:rPr>
              <w:t xml:space="preserve">Grey Area terhadap standar bidang kerja</w:t>
            </w:r>
            <w:r>
              <w:rPr>
                <w:sz w:val="20"/>
                <w:szCs w:val="20"/>
              </w:rPr>
              <w:t xml:space="preserve"> — menjawab “apakah kandidat memenuhi batas untuk pekerjaan ini”, bukan sekadar “seberapa tinggi skornya”.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Skrining kesehatan mental (DASS-21) </w:t>
            </w:r>
            <w:r>
              <w:rPr>
                <w:b/>
                <w:bCs/>
                <w:sz w:val="20"/>
                <w:szCs w:val="20"/>
              </w:rPr>
              <w:t xml:space="preserve">terpisah mutlak</w:t>
            </w:r>
            <w:r>
              <w:rPr>
                <w:sz w:val="20"/>
                <w:szCs w:val="20"/>
              </w:rPr>
              <w:t xml:space="preserve"> dari keputusan kelayakan — perlindungan hukum atas diskriminasi kondisi kesehatan mental.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Setiap laporan wajib </w:t>
            </w:r>
            <w:r>
              <w:rPr>
                <w:b/>
                <w:bCs/>
                <w:sz w:val="20"/>
                <w:szCs w:val="20"/>
              </w:rPr>
              <w:t xml:space="preserve">ditinjau dan ditandatangani psikolog</w:t>
            </w:r>
            <w:r>
              <w:rPr>
                <w:sz w:val="20"/>
                <w:szCs w:val="20"/>
              </w:rPr>
              <w:t xml:space="preserve">; tidak ada penerbitan otomatis.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2. Masalah, Visi &amp; Tujuan</w:t>
      </w:r>
      <w:r>
        <w:rPr>
          <w:color w:val="8A8A8A"/>
          <w:sz w:val="16"/>
          <w:szCs w:val="16"/>
        </w:rPr>
        <w:t xml:space="preserve">  課題・ビジョン・目標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2.1 Masalah yang diselesaikan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Alur manual lambat &amp; rawan salah: </w:t>
      </w:r>
      <w:r>
        <w:rPr>
          <w:sz w:val="20"/>
          <w:szCs w:val="20"/>
        </w:rPr>
        <w:t xml:space="preserve">skoring Excel manual, rekap ranking RMIB yang tidak tervalidasi (ranking ganda lolos di Google Form), dan penilaian Kraepelin “kira-kira” dari screenshot.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Tidak ada jejak audit &amp; versi: </w:t>
      </w:r>
      <w:r>
        <w:rPr>
          <w:sz w:val="20"/>
          <w:szCs w:val="20"/>
        </w:rPr>
        <w:t xml:space="preserve">dua kandidat berhasil sama bisa memperoleh hasil berbeda karena norma/aturan berubah tanpa tercatat.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Risiko hukum &amp; etika: </w:t>
      </w:r>
      <w:r>
        <w:rPr>
          <w:sz w:val="20"/>
          <w:szCs w:val="20"/>
        </w:rPr>
        <w:t xml:space="preserve">laporan psikologis tanpa kendali psikolog yang jelas, dan tidak ada pemisahan data kesehatan mental yang sensitif menurut UU PDP.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Skala terbatas: </w:t>
      </w:r>
      <w:r>
        <w:rPr>
          <w:sz w:val="20"/>
          <w:szCs w:val="20"/>
        </w:rPr>
        <w:t xml:space="preserve">proses per cabang manual, sulit menskalakan ke banyak LPK/cabang dengan atribusi dan komisi yang rapi.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2.2 Visi produk</w:t>
      </w:r>
    </w:p>
    <w:p>
      <w:pPr>
        <w:spacing w:after="120" w:before="0" w:line="264"/>
      </w:pPr>
      <w:r>
        <w:rPr>
          <w:sz w:val="20"/>
          <w:szCs w:val="20"/>
        </w:rPr>
        <w:t xml:space="preserve">Menjadi kanal tunggal seleksi psikologis CPMI yang cepat, konsisten, dapat diaudit, dan patuh etika-hukum — di mana mesin menangani perhitungan yang membosankan dan rawan salah, sementara psikolog memegang kendali penuh atas interpretasi dan tanda tangan.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2.3 Tujuan terukur (goals)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560"/>
        <w:gridCol w:w="4200"/>
        <w:gridCol w:w="4600"/>
      </w:tblGrid>
      <w:tr>
        <w:trPr>
          <w:tblHeader/>
        </w:trPr>
        <w:tc>
          <w:tcPr>
            <w:tcW w:type="dxa" w:w="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4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Ukuran keberhasilan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Mempercepat penerbitan hasil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Waktu dari selesai tes → draf laporan siap tinjau &lt; 5 menit</w:t>
            </w:r>
          </w:p>
        </w:tc>
      </w:tr>
      <w:tr>
        <w:trPr>
          <w:tblHeader w:val="false"/>
        </w:trPr>
        <w:tc>
          <w:tcPr>
            <w:tcW w:type="dxa" w:w="5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G2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Menghilangkan kesalahan skoring mekanis</w:t>
            </w:r>
          </w:p>
        </w:tc>
        <w:tc>
          <w:tcPr>
            <w:tcW w:type="dxa" w:w="4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skor cocok dengan golden test &amp; tabel master (uji penerimaan)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Menjamin kendali profesional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 laporan terbit tanpa status SIGNED oleh psikolog</w:t>
            </w:r>
          </w:p>
        </w:tc>
      </w:tr>
      <w:tr>
        <w:trPr>
          <w:tblHeader w:val="false"/>
        </w:trPr>
        <w:tc>
          <w:tcPr>
            <w:tcW w:type="dxa" w:w="5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G4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Melindungi data &amp; kepatuhan</w:t>
            </w:r>
          </w:p>
        </w:tc>
        <w:tc>
          <w:tcPr>
            <w:tcW w:type="dxa" w:w="4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DASS tak pernah memengaruhi kelayakan (uji T-07 lulus); data kesehatan terpisah</w:t>
            </w:r>
          </w:p>
        </w:tc>
      </w:tr>
      <w:tr>
        <w:trPr>
          <w:tblHeader w:val="false"/>
        </w:trP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G5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Menskalakan multi-cabang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Atribusi cabang + komisi otomatis, isolasi data antar cabang (RLS)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2.4 Non-goals (di luar lingkup)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Bukan alat diagnosis klinis. </w:t>
      </w:r>
      <w:r>
        <w:rPr>
          <w:sz w:val="20"/>
          <w:szCs w:val="20"/>
        </w:rPr>
        <w:t xml:space="preserve">DASS-21 adalah skrining, bukan diagnosis gangguan jiwa.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Bukan menggantikan psikolog — sistem menyusun draf, tidak menerbitkan keputusan final secara otomatis.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Tidak menjadikan kesehatan mental sebagai faktor kelayakan kerja, dalam bentuk apa pun.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Tidak (pada rilis awal) mengubah instrumen atau menyusun norma baru; memakai norma master psikolog yang berlaku.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3. Pengguna &amp; Peran</w:t>
      </w:r>
      <w:r>
        <w:rPr>
          <w:color w:val="8A8A8A"/>
          <w:sz w:val="16"/>
          <w:szCs w:val="16"/>
        </w:rPr>
        <w:t xml:space="preserve">  利用者と役割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Kebutuhan utama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Akses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Peserta (CPMI)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Mendaftar, membayar, mengerjakan tes dengan nyaman di HP, menerima hasil &amp; penjelasan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HPP dirinya; DASS dirinya; ringkasan bila diminta</w:t>
            </w:r>
          </w:p>
        </w:tc>
      </w:tr>
      <w:tr>
        <w:trPr>
          <w:tblHeader w:val="false"/>
        </w:trPr>
        <w:tc>
          <w:tcPr>
            <w:tcW w:type="dxa" w:w="19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Psikolog penanggung jawab</w:t>
            </w:r>
          </w:p>
        </w:tc>
        <w:tc>
          <w:tcPr>
            <w:tcW w:type="dxa" w:w="3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Meninjau draf, menyesuaikan level/label dengan alasan, menandatangani</w:t>
            </w:r>
          </w:p>
        </w:tc>
        <w:tc>
          <w:tcPr>
            <w:tcW w:type="dxa" w:w="42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Akses penuh semua data &amp; Lembar Kerja Internal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pusat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Kelola cabang/paket/harga/psikolog, verifikasi bayar, rekap pendapatan, kelola rate &amp; withdraw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HPP; tanpa Lembar Internal / data DASS / data mentah</w:t>
            </w:r>
          </w:p>
        </w:tc>
      </w:tr>
      <w:tr>
        <w:trPr>
          <w:tblHeader w:val="false"/>
        </w:trPr>
        <w:tc>
          <w:tcPr>
            <w:tcW w:type="dxa" w:w="19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cabang / LPK</w:t>
            </w:r>
          </w:p>
        </w:tc>
        <w:tc>
          <w:tcPr>
            <w:tcW w:type="dxa" w:w="3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Kelola peserta cabangnya, verifikasi transfer, unduh HPP, ajukan pencairan komisi</w:t>
            </w:r>
          </w:p>
        </w:tc>
        <w:tc>
          <w:tcPr>
            <w:tcW w:type="dxa" w:w="42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HPP cabangnya; tanpa data internal/DASS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Kumiai / penerima (Jepang)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Menerima HPP resmi kandidat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HPP saja</w:t>
            </w:r>
          </w:p>
        </w:tc>
      </w:tr>
      <w:tr>
        <w:trPr>
          <w:tblHeader w:val="false"/>
        </w:trPr>
        <w:tc>
          <w:tcPr>
            <w:tcW w:type="dxa" w:w="19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 pengembang</w:t>
            </w:r>
          </w:p>
        </w:tc>
        <w:tc>
          <w:tcPr>
            <w:tcW w:type="dxa" w:w="3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Membangun &amp; memelihara sistem</w:t>
            </w:r>
          </w:p>
        </w:tc>
        <w:tc>
          <w:tcPr>
            <w:tcW w:type="dxa" w:w="42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Tak ada akses data peserta produksi; pakai data sintetis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4. Lingkup Produk &amp; Instrumen</w:t>
      </w:r>
      <w:r>
        <w:rPr>
          <w:color w:val="8A8A8A"/>
          <w:sz w:val="16"/>
          <w:szCs w:val="16"/>
        </w:rPr>
        <w:t xml:space="preserve">  適用範囲と検査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4.1 Baterai tes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1500"/>
        <w:gridCol w:w="3600"/>
        <w:gridCol w:w="2760"/>
        <w:gridCol w:w="15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Instrumen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27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Keluaran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Menilai kelayakan?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IST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Kemampuan intelektual + sebagian cara kerja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IQ total + SW 9 subtes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</w:tr>
      <w:tr>
        <w:trPr>
          <w:tblHeader w:val="false"/>
        </w:trPr>
        <w:tc>
          <w:tcPr>
            <w:tcW w:type="dxa" w:w="15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PAPI Kostick</w:t>
            </w:r>
          </w:p>
        </w:tc>
        <w:tc>
          <w:tcPr>
            <w:tcW w:type="dxa" w:w="3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Kepribadian &amp; karakter kerja</w:t>
            </w:r>
          </w:p>
        </w:tc>
        <w:tc>
          <w:tcPr>
            <w:tcW w:type="dxa" w:w="27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Skor 0–9, 20 skala</w:t>
            </w:r>
          </w:p>
        </w:tc>
        <w:tc>
          <w:tcPr>
            <w:tcW w:type="dxa" w:w="15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Ya (16 skala)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Kraepelin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Kecepatan, ketelitian, keajegan, ketahanan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Benar/salah/terlewat per kolom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Ya</w:t>
            </w:r>
          </w:p>
        </w:tc>
      </w:tr>
      <w:tr>
        <w:trPr>
          <w:tblHeader w:val="false"/>
        </w:trPr>
        <w:tc>
          <w:tcPr>
            <w:tcW w:type="dxa" w:w="15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RMIB</w:t>
            </w:r>
          </w:p>
        </w:tc>
        <w:tc>
          <w:tcPr>
            <w:tcW w:type="dxa" w:w="3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Minat kerja</w:t>
            </w:r>
          </w:p>
        </w:tc>
        <w:tc>
          <w:tcPr>
            <w:tcW w:type="dxa" w:w="27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 1–12, 12 kategori</w:t>
            </w:r>
          </w:p>
        </w:tc>
        <w:tc>
          <w:tcPr>
            <w:tcW w:type="dxa" w:w="15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Hanya minat bidang tujuan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DASS-21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Skrining kesehatan mental (terpisah)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 0–3 tiap item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9C2B2B"/>
                <w:sz w:val="18"/>
                <w:szCs w:val="18"/>
              </w:rPr>
              <w:t xml:space="preserve">TIDAK — mutlak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4.2 Dua dokumen keluaran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Laporan HPP </w:t>
      </w:r>
      <w:r>
        <w:rPr>
          <w:sz w:val="20"/>
          <w:szCs w:val="20"/>
        </w:rPr>
        <w:t xml:space="preserve">(untuk peserta, LPK, kumiai): identitas, IQ, 18 aspek dengan arsiran zona, uraian per klaster, kategori umum kesehatan mental, kesimpulan &amp; rekomendasi, batasan. </w:t>
      </w:r>
      <w:r>
        <w:rPr>
          <w:b/>
          <w:bCs/>
          <w:sz w:val="20"/>
          <w:szCs w:val="20"/>
        </w:rPr>
        <w:t xml:space="preserve">Tanpa skor mentah, tanpa skor subskala DASS.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Lembar Kerja Internal Psikolog </w:t>
      </w:r>
      <w:r>
        <w:rPr>
          <w:sz w:val="20"/>
          <w:szCs w:val="20"/>
        </w:rPr>
        <w:t xml:space="preserve">(psikolog saja): validitas sesi, ringkasan zona, draf integrasi, skor rinci DASS, tinjauan &amp; penyesuaian. Arsip pertanggungjawaban profesional.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5. Alur Produk End-to-End</w:t>
      </w:r>
      <w:r>
        <w:rPr>
          <w:color w:val="8A8A8A"/>
          <w:sz w:val="16"/>
          <w:szCs w:val="16"/>
        </w:rPr>
        <w:t xml:space="preserve">  エンドツーエンドの流れ</w:t>
      </w:r>
    </w:p>
    <w:p>
      <w:pPr>
        <w:spacing w:after="120" w:before="0" w:line="264"/>
      </w:pPr>
      <w:r>
        <w:rPr>
          <w:sz w:val="20"/>
          <w:szCs w:val="20"/>
        </w:rPr>
        <w:t xml:space="preserve">Alur peserta B2C multi-cabang, dari pendaftaran sampai laporan terbit: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1. Pra-sesi  </w:t>
      </w:r>
      <w:r>
        <w:rPr>
          <w:sz w:val="19"/>
          <w:szCs w:val="19"/>
        </w:rPr>
        <w:t xml:space="preserve">Registrasi → verifikasi identitas (foto vs KTP/paspor) → consent A (psikotes) + consent B (DASS, boleh ditolak) → penetapan bidang kerja tujuan (menentukan standar) → pembayaran → uji perangkat → penjadwalan.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2. Sesi terpantau  </w:t>
      </w:r>
      <w:r>
        <w:rPr>
          <w:sz w:val="19"/>
          <w:szCs w:val="19"/>
        </w:rPr>
        <w:t xml:space="preserve">IST → PAPI → Kraepelin → RMIB → DASS-21, dengan proctoring (kamera, deteksi pindah tab, putus-sambung, waktu per subtes).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3. Pemeriksaan validitas  </w:t>
      </w:r>
      <w:r>
        <w:rPr>
          <w:sz w:val="19"/>
          <w:szCs w:val="19"/>
        </w:rPr>
        <w:t xml:space="preserve">10 butir → status V1/V2/V3. V3 menghentikan proses; laporan tidak dibuat, sesi dijadwalkan ulang.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4. Skoring &amp; zona  </w:t>
      </w:r>
      <w:r>
        <w:rPr>
          <w:sz w:val="19"/>
          <w:szCs w:val="19"/>
        </w:rPr>
        <w:t xml:space="preserve">Skor mentah → level 1–5 per aspek → bandingkan dengan standar bidang → zona (Terpenuhi/Grey Area/Belum) → label rekomendasi. DASS di jalur terpisah.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5. Rakit narasi  </w:t>
      </w:r>
      <w:r>
        <w:rPr>
          <w:sz w:val="19"/>
          <w:szCs w:val="19"/>
        </w:rPr>
        <w:t xml:space="preserve">Draf uraian per klaster + draf integrasi (7 slot, internal) + narasi kategori umum DASS — semuanya berstatus draf.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6. Tinjau &amp; tanda tangan  </w:t>
      </w:r>
      <w:r>
        <w:rPr>
          <w:sz w:val="19"/>
          <w:szCs w:val="19"/>
        </w:rPr>
        <w:t xml:space="preserve">Psikolog membaca, boleh mengubah level/label (dengan alasan), meringkas integrasi jadi uraian, menandatangani elektronik. WAJIB — tidak boleh dilewati.</w:t>
      </w:r>
    </w:p>
    <w:p>
      <w:pPr>
        <w:spacing w:after="80" w:before="0" w:line="264"/>
      </w:pPr>
      <w:r>
        <w:rPr>
          <w:b/>
          <w:bCs/>
          <w:color w:val="6B4C9A"/>
          <w:sz w:val="19"/>
          <w:szCs w:val="19"/>
        </w:rPr>
        <w:t xml:space="preserve">7. Terbit &amp; distribusi  </w:t>
      </w:r>
      <w:r>
        <w:rPr>
          <w:sz w:val="19"/>
          <w:szCs w:val="19"/>
        </w:rPr>
        <w:t xml:space="preserve">HPP → LPK/kumiai; Lembar Internal → arsip psikolog. Jejak audit tercatat di tiap langkah.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6. Model Penilaian &amp; Kelayakan</w:t>
      </w:r>
      <w:r>
        <w:rPr>
          <w:color w:val="8A8A8A"/>
          <w:sz w:val="16"/>
          <w:szCs w:val="16"/>
        </w:rPr>
        <w:t xml:space="preserve">  評価・適合判定モデル</w:t>
      </w:r>
    </w:p>
    <w:p>
      <w:pPr>
        <w:spacing w:after="120" w:before="0" w:line="264"/>
      </w:pPr>
      <w:r>
        <w:rPr>
          <w:sz w:val="20"/>
          <w:szCs w:val="20"/>
        </w:rPr>
        <w:t xml:space="preserve">Detail rumus, tabel norma, dan pseudocode ada di SPEC v4.0 (§4–§6). Di sini kebutuhan tingkat produk.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6.1 Skala pelaporan 1–5</w:t>
      </w:r>
    </w:p>
    <w:p>
      <w:pPr>
        <w:spacing w:after="120" w:before="0" w:line="264"/>
      </w:pPr>
      <w:r>
        <w:rPr>
          <w:sz w:val="20"/>
          <w:szCs w:val="20"/>
        </w:rPr>
        <w:t xml:space="preserve">Hasil tiap aspek dilaporkan pada lima taraf: 1 Rendah · 2 Kurang · 3 Cukup · 4 Baik · 5 Tinggi. Skor 1–10 dihitung internal untuk ketelusuran, tetapi tidak dicetak di HPP.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6.2 Model Grey Area terhadap standar bidang</w:t>
      </w:r>
    </w:p>
    <w:p>
      <w:pPr>
        <w:spacing w:after="120" w:before="0" w:line="264"/>
      </w:pPr>
      <w:r>
        <w:rPr>
          <w:sz w:val="20"/>
          <w:szCs w:val="20"/>
        </w:rPr>
        <w:t xml:space="preserve">Kelayakan bukan rata-rata skor, melainkan perbandingan level tiap aspek dengan standar minimum bidang kerja tujuan: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4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34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 bagi kandidat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2E6B3E"/>
                <w:sz w:val="18"/>
                <w:szCs w:val="18"/>
              </w:rPr>
              <w:t xml:space="preserve">Terpenuhi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 ≥ standar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Memenuhi tuntutan aspek</w:t>
            </w:r>
          </w:p>
        </w:tc>
      </w:tr>
      <w:tr>
        <w:trPr>
          <w:tblHeader w:val="false"/>
        </w:trPr>
        <w:tc>
          <w:tcPr>
            <w:tcW w:type="dxa" w:w="24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Grey Area</w:t>
            </w:r>
          </w:p>
        </w:tc>
        <w:tc>
          <w:tcPr>
            <w:tcW w:type="dxa" w:w="34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 = standar − 1</w:t>
            </w:r>
          </w:p>
        </w:tc>
        <w:tc>
          <w:tcPr>
            <w:tcW w:type="dxa" w:w="34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Tepat di bawah standar; perlu penguatan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9C2B2B"/>
                <w:sz w:val="18"/>
                <w:szCs w:val="18"/>
              </w:rPr>
              <w:t xml:space="preserve">Belum Terpenuhi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 ≤ standar − 2</w:t>
            </w:r>
          </w:p>
        </w:tc>
        <w:tc>
          <w:tcPr>
            <w:tcW w:type="dxa" w:w="34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 bawah standar secara berarti</w:t>
            </w:r>
          </w:p>
        </w:tc>
      </w:tr>
    </w:tbl>
    <w:p>
      <w:pPr>
        <w:spacing w:after="120" w:before="60" w:line="264"/>
      </w:pPr>
      <w:r>
        <w:rPr>
          <w:sz w:val="20"/>
          <w:szCs w:val="20"/>
        </w:rPr>
        <w:t xml:space="preserve">Standar dasar 13 aspek kemampuan = level 3. Enam bidang kerja (Kaigo, Kensetsu, Nougyou, Seizou, Gaishoku, Umum) sudah final — versi </w:t>
      </w:r>
      <w:r>
        <w:rPr>
          <w:b/>
          <w:bCs/>
          <w:sz w:val="20"/>
          <w:szCs w:val="20"/>
        </w:rPr>
        <w:t xml:space="preserve">GA-2026.08</w:t>
      </w:r>
      <w:r>
        <w:rPr>
          <w:sz w:val="20"/>
          <w:szCs w:val="20"/>
        </w:rPr>
        <w:t xml:space="preserve">. Tiap bidang menaikkan aspek tertentu ke level 4 dan mewajibkan minat bidang tujuan ≥ 3 (mis. Kaigo menaikkan C2/C3/C4, minat wajib D4; Kensetsu menaikkan B2/C5, minat D3). Bidang baru menetapkan standar dulu dan menaikkan versi sebelum dibuka (G8).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6.3 Penetapan rekomendasi (tiga ketetapan)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69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Syarat pola zona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2E6B3E"/>
                <w:sz w:val="18"/>
                <w:szCs w:val="18"/>
              </w:rPr>
              <w:t xml:space="preserve">DISARANKAN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Seluruh aspek kemampuan pada zona Terpenuhi.</w:t>
            </w:r>
          </w:p>
        </w:tc>
      </w:tr>
      <w:tr>
        <w:trPr>
          <w:tblHeader w:val="false"/>
        </w:trPr>
        <w:tc>
          <w:tcPr>
            <w:tcW w:type="dxa" w:w="24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8A6100"/>
                <w:sz w:val="18"/>
                <w:szCs w:val="18"/>
              </w:rPr>
              <w:t xml:space="preserve">DIPERTIMBANGKAN</w:t>
            </w:r>
          </w:p>
        </w:tc>
        <w:tc>
          <w:tcPr>
            <w:tcW w:type="dxa" w:w="69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Ada aspek pada Grey Area dan/atau maksimal dua aspek non-kritis pada Belum Terpenuhi. Syarat pendampingan wajib ditulis.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9C2B2B"/>
                <w:sz w:val="18"/>
                <w:szCs w:val="18"/>
              </w:rPr>
              <w:t xml:space="preserve">TIDAK DISARANKAN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Ada aspek kritis (A1, B2, C4, C5) pada Belum Terpenuhi, atau ≥ 3 aspek pada Belum Terpenuhi. Dapat mengikuti pemeriksaan ulang setelah pembekalan ≥ 3 bulan.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6.4 Aturan penjaga (guardrail) yang wajib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Aspek kritis di bawah standar tidak dapat ditutup keunggulan aspek lain (G1).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IQ &lt; 70 tidak dapat berstatus Disarankan tanpa tinjauan psikolog (G2).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Sesi tidak valid → laporan tidak terbit (G3).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color w:val="9C2B2B"/>
          <w:sz w:val="20"/>
          <w:szCs w:val="20"/>
        </w:rPr>
        <w:t xml:space="preserve">DASS-21 tidak pernah mengubah zona/label (G4).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Wajib tinjau + tanda tangan psikolog sebelum terbit; tidak ada jalur pintas (G5).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Psikolog boleh override level/label dengan alasan tertulis, tercatat audit (G6).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Selisih ≥ 2 level antar sumber pada satu aspek → ditandai “perlu tinjauan” (G7).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Standar berversi, tidak berlaku surut pada laporan terbit (G8). 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sz w:val="20"/>
          <w:szCs w:val="20"/>
        </w:rPr>
        <w:t xml:space="preserve">Label Dipertimbangkan tanpa syarat tertulis tidak bisa ditandatangani (G9). 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7. Skrining Kesehatan Mental (DASS-21)</w:t>
      </w:r>
      <w:r>
        <w:rPr>
          <w:color w:val="8A8A8A"/>
          <w:sz w:val="16"/>
          <w:szCs w:val="16"/>
        </w:rPr>
        <w:t xml:space="preserve">  精神的健康スクリーニング</w:t>
      </w:r>
    </w:p>
    <w:tbl>
      <w:tblPr>
        <w:tblW w:type="dxa" w:w="9360"/>
        <w:tblBorders>
          <w:top w:val="single" w:color="9C2B2B" w:sz="2"/>
          <w:left w:val="single" w:color="9C2B2B" w:sz="18"/>
          <w:bottom w:val="single" w:color="9C2B2B" w:sz="2"/>
          <w:right w:val="single" w:color="9C2B2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8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 w:line="264"/>
            </w:pPr>
            <w:r>
              <w:rPr>
                <w:b/>
                <w:bCs/>
                <w:color w:val="9C2B2B"/>
                <w:sz w:val="19"/>
                <w:szCs w:val="19"/>
              </w:rPr>
              <w:t xml:space="preserve">Prinsip perlindungan (tidak dapat ditawar)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DASS-21 adalah alat </w:t>
            </w:r>
            <w:r>
              <w:rPr>
                <w:b/>
                <w:bCs/>
                <w:sz w:val="20"/>
                <w:szCs w:val="20"/>
              </w:rPr>
              <w:t xml:space="preserve">skrining</w:t>
            </w:r>
            <w:r>
              <w:rPr>
                <w:sz w:val="20"/>
                <w:szCs w:val="20"/>
              </w:rPr>
              <w:t xml:space="preserve">, bukan alat seleksi. Menjadikannya penentu kelayakan berpotensi diskriminasi atas dasar kondisi kesehatan mental dan menyalahgunakan instrumen.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Hasil DASS </w:t>
            </w:r>
            <w:r>
              <w:rPr>
                <w:b/>
                <w:bCs/>
                <w:sz w:val="20"/>
                <w:szCs w:val="20"/>
              </w:rPr>
              <w:t xml:space="preserve">tidak pernah</w:t>
            </w:r>
            <w:r>
              <w:rPr>
                <w:sz w:val="20"/>
                <w:szCs w:val="20"/>
              </w:rPr>
              <w:t xml:space="preserve"> memengaruhi zona aspek maupun label rekomendasi (guardrail G4; diuji pada T-07 yang bersifat mutlak).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Keluaran ke HPP: </w:t>
      </w:r>
      <w:r>
        <w:rPr>
          <w:sz w:val="20"/>
          <w:szCs w:val="20"/>
        </w:rPr>
        <w:t xml:space="preserve">hanya kategori umum kesehatan mental (Normal → Sangat Parah) beserta narasi tak menghakimi. Skor subskala hanya di Lembar Internal.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Consent B terpisah dan boleh ditolak </w:t>
      </w:r>
      <w:r>
        <w:rPr>
          <w:sz w:val="20"/>
          <w:szCs w:val="20"/>
        </w:rPr>
        <w:t xml:space="preserve">tanpa menghentikan psikotes; bila ditolak, Bagian III laporan diberi keterangan “tidak dilaksanakan atas pilihan peserta”.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Kategori Parah / Sangat Parah </w:t>
      </w:r>
      <w:r>
        <w:rPr>
          <w:sz w:val="20"/>
          <w:szCs w:val="20"/>
        </w:rPr>
        <w:t xml:space="preserve">memicu tawaran dukungan dan rujukan asesmen lanjutan, </w:t>
      </w:r>
      <w:r>
        <w:rPr>
          <w:b/>
          <w:bCs/>
          <w:sz w:val="20"/>
          <w:szCs w:val="20"/>
        </w:rPr>
        <w:t xml:space="preserve">bukan</w:t>
      </w:r>
      <w:r>
        <w:rPr>
          <w:sz w:val="20"/>
          <w:szCs w:val="20"/>
        </w:rPr>
        <w:t xml:space="preserve"> penghentian proses atau penolakan kelayakan.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Data kesehatan diperlakukan lebih ketat: </w:t>
      </w:r>
      <w:r>
        <w:rPr>
          <w:sz w:val="20"/>
          <w:szCs w:val="20"/>
        </w:rPr>
        <w:t xml:space="preserve">penyimpanan terpisah, akses hanya psikolog &amp; peserta, retensi 2 tahun (lebih pendek dari data psikotes 5 tahun).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8. Kebutuhan Fungsional</w:t>
      </w:r>
      <w:r>
        <w:rPr>
          <w:color w:val="8A8A8A"/>
          <w:sz w:val="16"/>
          <w:szCs w:val="16"/>
        </w:rPr>
        <w:t xml:space="preserve">  機能要件</w:t>
      </w:r>
    </w:p>
    <w:p>
      <w:pPr>
        <w:spacing w:after="70" w:before="140"/>
      </w:pPr>
      <w:r>
        <w:rPr>
          <w:b/>
          <w:bCs/>
          <w:color w:val="1F3A5F"/>
          <w:sz w:val="20"/>
          <w:szCs w:val="20"/>
        </w:rPr>
        <w:t xml:space="preserve">Registrasi &amp; pembayaran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FR-01  </w:t>
      </w:r>
      <w:r>
        <w:rPr>
          <w:sz w:val="18"/>
          <w:szCs w:val="18"/>
        </w:rPr>
        <w:t xml:space="preserve">Registrasi peserta dengan field: nama, jenis kelamin, tgl lahir, pendidikan, LPK/cabang asal, bidang kerja tujuan, kontak, foto identitas.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FR-02  </w:t>
      </w:r>
      <w:r>
        <w:rPr>
          <w:sz w:val="18"/>
          <w:szCs w:val="18"/>
        </w:rPr>
        <w:t xml:space="preserve">Penetapan bidang kerja tujuan wajib sebelum sesi (menentukan tabel standar Grey Area).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FR-03  </w:t>
      </w:r>
      <w:r>
        <w:rPr>
          <w:sz w:val="18"/>
          <w:szCs w:val="18"/>
        </w:rPr>
        <w:t xml:space="preserve">Pembayaran via Xendit Invoice (webhook terverifikasi x-callback-token) sejak rilis; transfer manual sebagai cadangan. Nomor tes tergenerate; notifikasi via WhatsApp (WAHA/n8n).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FR-04  </w:t>
      </w:r>
      <w:r>
        <w:rPr>
          <w:sz w:val="18"/>
          <w:szCs w:val="18"/>
        </w:rPr>
        <w:t xml:space="preserve">Dua consent terpisah: A (psikotes, wajib) dan B (DASS, wajib-terpisah, boleh ditolak).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FR-04b  </w:t>
      </w:r>
      <w:r>
        <w:rPr>
          <w:sz w:val="18"/>
          <w:szCs w:val="18"/>
        </w:rPr>
        <w:t xml:space="preserve">Referral cabang via link (?ref=KODE): atribusi first-touch (cookie 30 hari); ref kosong/tak dikenal → cabang default (pusat). Atribusi menentukan branch_id peserta → komisi otomatis benar.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FR-04c  </w:t>
      </w:r>
      <w:r>
        <w:rPr>
          <w:sz w:val="18"/>
          <w:szCs w:val="18"/>
        </w:rPr>
        <w:t xml:space="preserve">Pembayaran Xendit Invoice: peserta diarahkan ke halaman bayar; webhook terverifikasi (x-callback-token) menandai lunas. Transfer manual tetap tersedia sebagai cadangan. Halaman cek-status sebagai fallback.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FR-04d  </w:t>
      </w:r>
      <w:r>
        <w:rPr>
          <w:sz w:val="18"/>
          <w:szCs w:val="18"/>
        </w:rPr>
        <w:t xml:space="preserve">Gating akses: tes hanya dapat dimulai bila entitlement berstatus ‘ready’ (lunas terverifikasi). Belum lunas → sesi ditolak.</w:t>
      </w:r>
    </w:p>
    <w:p>
      <w:pPr>
        <w:spacing w:after="70" w:before="140"/>
      </w:pPr>
      <w:r>
        <w:rPr>
          <w:b/>
          <w:bCs/>
          <w:color w:val="1F3A5F"/>
          <w:sz w:val="20"/>
          <w:szCs w:val="20"/>
        </w:rPr>
        <w:t xml:space="preserve">Pelaksanaan tes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FR-05  </w:t>
      </w:r>
      <w:r>
        <w:rPr>
          <w:sz w:val="18"/>
          <w:szCs w:val="18"/>
        </w:rPr>
        <w:t xml:space="preserve">Timer server-authoritative per subtes; refresh/putus-sambung tidak mereset; jawaban di luar waktu ditolak.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FR-06  </w:t>
      </w:r>
      <w:r>
        <w:rPr>
          <w:sz w:val="18"/>
          <w:szCs w:val="18"/>
        </w:rPr>
        <w:t xml:space="preserve">Kraepelin: grid 50 kolom × 15 detik, auto-advance, input digit satuan, buffer per kolom + antre offline.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FR-07  </w:t>
      </w:r>
      <w:r>
        <w:rPr>
          <w:sz w:val="18"/>
          <w:szCs w:val="18"/>
        </w:rPr>
        <w:t xml:space="preserve">RMIB: input ranking drag-and-drop (menjamin ranking unik 1–12).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FR-08  </w:t>
      </w:r>
      <w:r>
        <w:rPr>
          <w:sz w:val="18"/>
          <w:szCs w:val="18"/>
        </w:rPr>
        <w:t xml:space="preserve">IST: subtes berurutan terkunci, dua-timer subtes memori, aset gambar figural (FA/WU).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FR-08b  </w:t>
      </w:r>
      <w:r>
        <w:rPr>
          <w:sz w:val="18"/>
          <w:szCs w:val="18"/>
        </w:rPr>
        <w:t xml:space="preserve">Urutan soal DAN opsi jawaban IST/PAPI/RMIB TIDAK diacak (ketetapan psikolog: baterai paten, mengacak memengaruhi skoring). Hanya Kraepelin memakai angka seeded per peserta.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FR-09  </w:t>
      </w:r>
      <w:r>
        <w:rPr>
          <w:sz w:val="18"/>
          <w:szCs w:val="18"/>
        </w:rPr>
        <w:t xml:space="preserve">Proctoring kamera mobile-first: capture wajah berkala (12–20 dtk) + saat mulai/submit; deteksi stream kamera mati saat app-switch/layar terkunci di HP dan coba aktifkan ulang. Ketetapan psikolog: kamera pernah tidak aktif (berapa pun durasi) → status V2 (durasi tiap jeda dicatat).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FR-09b  </w:t>
      </w:r>
      <w:r>
        <w:rPr>
          <w:sz w:val="18"/>
          <w:szCs w:val="18"/>
        </w:rPr>
        <w:t xml:space="preserve">Verifikasi wajah: pencocokan foto awal vs identitas (KTP/paspor) + pencocokan berkala. Ketidakcocokan → tinjauan manual pengawas dulu: terbukti diganti/dibantu = V3 (sesi berhenti), artefak cahaya/sudut = catatan.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FR-09c  </w:t>
      </w:r>
      <w:r>
        <w:rPr>
          <w:sz w:val="18"/>
          <w:szCs w:val="18"/>
        </w:rPr>
        <w:t xml:space="preserve">Deteksi kepergian layar: fullscreen saat mulai subtes + Page Visibility API (visibilitychange) + fullscreen-exit. Ketetapan psikolog: pindah tab / keluar fullscreen satu kali saja → V2 (wajib catatan prosedur sebelum tanda tangan; tidak membatalkan sesi). Sistem mendeteksi bahwa peserta pergi, bukan ke mana.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FR-09d  </w:t>
      </w:r>
      <w:r>
        <w:rPr>
          <w:sz w:val="18"/>
          <w:szCs w:val="18"/>
        </w:rPr>
        <w:t xml:space="preserve">Hardening deterrence: nonaktif klik-kanan/copy/paste/seleksi, watermark nomor tes+waktu di latar soal, render soal per halaman; blokir shortcut sebagai isyarat. Bukan jaminan anti-curang.</w:t>
      </w:r>
    </w:p>
    <w:p>
      <w:pPr>
        <w:spacing w:after="70" w:before="140"/>
      </w:pPr>
      <w:r>
        <w:rPr>
          <w:b/>
          <w:bCs/>
          <w:color w:val="1F3A5F"/>
          <w:sz w:val="20"/>
          <w:szCs w:val="20"/>
        </w:rPr>
        <w:t xml:space="preserve">Skoring &amp; narasi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FR-10  </w:t>
      </w:r>
      <w:r>
        <w:rPr>
          <w:sz w:val="18"/>
          <w:szCs w:val="18"/>
        </w:rPr>
        <w:t xml:space="preserve">Skoring otomatis kelima instrumen dari tabel master (bukan hardcode); hasil auditable &amp; dapat dihitung ulang.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FR-11  </w:t>
      </w:r>
      <w:r>
        <w:rPr>
          <w:sz w:val="18"/>
          <w:szCs w:val="18"/>
        </w:rPr>
        <w:t xml:space="preserve">Pemeriksaan validitas sesi (10 butir → V1/V2/V3); V3 menghentikan penerbitan.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FR-12  </w:t>
      </w:r>
      <w:r>
        <w:rPr>
          <w:sz w:val="18"/>
          <w:szCs w:val="18"/>
        </w:rPr>
        <w:t xml:space="preserve">Penetapan zona &amp; label per §6, dengan seluruh guardrail G1–G9.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FR-13  </w:t>
      </w:r>
      <w:r>
        <w:rPr>
          <w:sz w:val="18"/>
          <w:szCs w:val="18"/>
        </w:rPr>
        <w:t xml:space="preserve">Perakit narasi deterministik (uraian per klaster + 7 slot integrasi internal) dari Bank Narasi; proses ulang → teks identik.</w:t>
      </w:r>
    </w:p>
    <w:p>
      <w:pPr>
        <w:spacing w:after="70" w:before="140"/>
      </w:pPr>
      <w:r>
        <w:rPr>
          <w:b/>
          <w:bCs/>
          <w:color w:val="1F3A5F"/>
          <w:sz w:val="20"/>
          <w:szCs w:val="20"/>
        </w:rPr>
        <w:t xml:space="preserve">Tinjauan psikolog &amp; penerbitan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FR-14  </w:t>
      </w:r>
      <w:r>
        <w:rPr>
          <w:sz w:val="18"/>
          <w:szCs w:val="18"/>
        </w:rPr>
        <w:t xml:space="preserve">Layar tinjauan satu-halaman: data mentah, level+sumber tiap aspek, zona berwarna, guardrail aktif, draf narasi tersunting, panel DASS terpisah.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FR-15  </w:t>
      </w:r>
      <w:r>
        <w:rPr>
          <w:sz w:val="18"/>
          <w:szCs w:val="18"/>
        </w:rPr>
        <w:t xml:space="preserve">Override profesional (level/label) dengan alasan wajib; simpan nilai sistem &amp; final berdampingan.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FR-16  </w:t>
      </w:r>
      <w:r>
        <w:rPr>
          <w:sz w:val="18"/>
          <w:szCs w:val="18"/>
        </w:rPr>
        <w:t xml:space="preserve">State machine laporan (DRAFT → UNDER_REVIEW → SIGNED → PUBLISHED); tak ada jalur pintas ke terbit.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FR-17  </w:t>
      </w:r>
      <w:r>
        <w:rPr>
          <w:sz w:val="18"/>
          <w:szCs w:val="18"/>
        </w:rPr>
        <w:t xml:space="preserve">Render HPP dwibahasa + Lembar Internal; distribusi via signed URL berbatas waktu; arsip ke Shared Drive.</w:t>
      </w:r>
    </w:p>
    <w:p>
      <w:pPr>
        <w:spacing w:after="70" w:before="140"/>
      </w:pPr>
      <w:r>
        <w:rPr>
          <w:b/>
          <w:bCs/>
          <w:color w:val="1F3A5F"/>
          <w:sz w:val="20"/>
          <w:szCs w:val="20"/>
        </w:rPr>
        <w:t xml:space="preserve">Administrasi &amp; komisi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FR-18  </w:t>
      </w:r>
      <w:r>
        <w:rPr>
          <w:sz w:val="18"/>
          <w:szCs w:val="18"/>
        </w:rPr>
        <w:t xml:space="preserve">Dashboard dua level (pusat/cabang) dengan isolasi data antar cabang.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FR-19  </w:t>
      </w:r>
      <w:r>
        <w:rPr>
          <w:sz w:val="18"/>
          <w:szCs w:val="18"/>
        </w:rPr>
        <w:t xml:space="preserve">Modul komisi cabang: rate dapat diubah (berlaku ke depan), ledger dibekukan per entri, pencairan bulanan (fee bulan N cair di bulan N+1).</w:t>
      </w:r>
    </w:p>
    <w:p>
      <w:pPr>
        <w:spacing w:after="50" w:before="0" w:line="248"/>
      </w:pPr>
      <w:r>
        <w:rPr>
          <w:b/>
          <w:bCs/>
          <w:color w:val="1F3A5F"/>
          <w:sz w:val="18"/>
          <w:szCs w:val="18"/>
        </w:rPr>
        <w:t xml:space="preserve">FR-20  </w:t>
      </w:r>
      <w:r>
        <w:rPr>
          <w:sz w:val="18"/>
          <w:szCs w:val="18"/>
        </w:rPr>
        <w:t xml:space="preserve">Jejak audit di setiap aksi sensitif (verifikasi bayar, override, akses/unduh laporan, perubahan rate, withdraw).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9. Kebutuhan Non-Fungsional</w:t>
      </w:r>
      <w:r>
        <w:rPr>
          <w:color w:val="8A8A8A"/>
          <w:sz w:val="16"/>
          <w:szCs w:val="16"/>
        </w:rPr>
        <w:t xml:space="preserve">  非機能要件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7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Kebutuhan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Keamanan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TLS menyeluruh; RLS dua level di database; signed URL berbatas waktu; rate-limit login; secrets via environment; CORS allowlist.</w:t>
            </w:r>
          </w:p>
        </w:tc>
      </w:tr>
      <w:tr>
        <w:trPr>
          <w:tblHeader w:val="false"/>
        </w:trPr>
        <w:tc>
          <w:tcPr>
            <w:tcW w:type="dxa" w:w="2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Privasi/PDP</w:t>
            </w:r>
          </w:p>
        </w:tc>
        <w:tc>
          <w:tcPr>
            <w:tcW w:type="dxa" w:w="71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UU No. 27/2022. Data kesehatan (DASS) di penyimpanan terpisah, akses &amp; retensi sendiri. Hak peserta: penjelasan, koreksi, tarik consent, salinan, log akses.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Retensi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HPP &amp; data psikotes 5 th; respons &amp; skor DASS 2 th; rekaman video 90 hari; audit 5 th tanpa PII. Penghapusan otomatis.</w:t>
            </w:r>
          </w:p>
        </w:tc>
      </w:tr>
      <w:tr>
        <w:trPr>
          <w:tblHeader w:val="false"/>
        </w:trPr>
        <w:tc>
          <w:tcPr>
            <w:tcW w:type="dxa" w:w="2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Kinerja</w:t>
            </w:r>
          </w:p>
        </w:tc>
        <w:tc>
          <w:tcPr>
            <w:tcW w:type="dxa" w:w="71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Ingest Kraepelin tahan 50 peserta serentak; draf laporan siap &lt; 5 menit; mobile-first, tahan koneksi buruk (auto-save, antre offline).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Keandalan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terjadwal + uji restore; arsip Drive bukan jalur kritis (retry async); idempotensi webhook &amp; ingest.</w:t>
            </w:r>
          </w:p>
        </w:tc>
      </w:tr>
      <w:tr>
        <w:trPr>
          <w:tblHeader w:val="false"/>
        </w:trPr>
        <w:tc>
          <w:tcPr>
            <w:tcW w:type="dxa" w:w="2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Ketertelusuran</w:t>
            </w:r>
          </w:p>
        </w:tc>
        <w:tc>
          <w:tcPr>
            <w:tcW w:type="dxa" w:w="71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Setiap laporan menyimpan versi standar &amp; versi engine; level_sistem vs level_final disimpan untuk kalibrasi.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10. Kepatuhan, Etika &amp; Tanggung Jawab</w:t>
      </w:r>
      <w:r>
        <w:rPr>
          <w:color w:val="8A8A8A"/>
          <w:sz w:val="16"/>
          <w:szCs w:val="16"/>
        </w:rPr>
        <w:t xml:space="preserve">  コンプライアンス・倫理・責任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Landasan hukum: </w:t>
      </w:r>
      <w:r>
        <w:rPr>
          <w:sz w:val="20"/>
          <w:szCs w:val="20"/>
        </w:rPr>
        <w:t xml:space="preserve">UU 23/2022 (Layanan Psikologi), UU 18/2017 (Pelindungan PMI), UU 27/2022 (PDP), serta Kode Etik HIMPSI.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Tanda tangan psikolog = pernyataan profesional. </w:t>
      </w:r>
      <w:r>
        <w:rPr>
          <w:sz w:val="20"/>
          <w:szCs w:val="20"/>
        </w:rPr>
        <w:t xml:space="preserve">Penerbitan tanpa tinjauan menempatkan psikolog pada risiko etik-hukum; karena itu G5 mutlak.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Disclaimer hasil: </w:t>
      </w:r>
      <w:r>
        <w:rPr>
          <w:sz w:val="20"/>
          <w:szCs w:val="20"/>
        </w:rPr>
        <w:t xml:space="preserve">laporan bersifat prediktif-probabilistik, bukan kepastian perilaku masa depan, bukan diagnosis klinis.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Prasyarat go-live (di luar kode): </w:t>
      </w:r>
      <w:r>
        <w:rPr>
          <w:sz w:val="20"/>
          <w:szCs w:val="20"/>
        </w:rPr>
        <w:t xml:space="preserve">hak pakai instrumen IST &amp; PAPI, penunjukan psikolog penanggung jawab resmi, review terjemahan Jepang oleh penutur tersertifikasi, dan review hukum atas teks consent &amp; kebijakan privasi.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11. Rencana Rilis (Fase)</w:t>
      </w:r>
      <w:r>
        <w:rPr>
          <w:color w:val="8A8A8A"/>
          <w:sz w:val="16"/>
          <w:szCs w:val="16"/>
        </w:rPr>
        <w:t xml:space="preserve">  リリース計画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1100"/>
        <w:gridCol w:w="4200"/>
        <w:gridCol w:w="4060"/>
      </w:tblGrid>
      <w:tr>
        <w:trPr>
          <w:tblHeader/>
        </w:trPr>
        <w:tc>
          <w:tcPr>
            <w:tcW w:type="dxa" w:w="1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Cakupan</w:t>
            </w:r>
          </w:p>
        </w:tc>
        <w:tc>
          <w:tcPr>
            <w:tcW w:type="dxa" w:w="40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Gerbang keluar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F0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Ekstraksi data instrumen + config ke berkas data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test &amp; invarian hijau; parser IST dua-blok; T-01..T-05</w:t>
            </w:r>
          </w:p>
        </w:tc>
      </w:tr>
      <w:tr>
        <w:trPr>
          <w:tblHeader w:val="false"/>
        </w:trPr>
        <w:tc>
          <w:tcPr>
            <w:tcW w:type="dxa" w:w="11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Fondasi: auth, cabang, bidang kerja, registrasi + consent + verifikasi identitas</w:t>
            </w:r>
          </w:p>
        </w:tc>
        <w:tc>
          <w:tcPr>
            <w:tcW w:type="dxa" w:w="40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Alur transfer manual jalan; RLS teruji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 tes + skoring → level 1–5; DASS jalur terpisah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Cocok golden; T-01..T-11</w:t>
            </w:r>
          </w:p>
        </w:tc>
      </w:tr>
      <w:tr>
        <w:trPr>
          <w:tblHeader w:val="false"/>
        </w:trPr>
        <w:tc>
          <w:tcPr>
            <w:tcW w:type="dxa" w:w="11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F3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Grey Area &amp; rekomendasi + guardrail G1–G9</w:t>
            </w:r>
          </w:p>
        </w:tc>
        <w:tc>
          <w:tcPr>
            <w:tcW w:type="dxa" w:w="40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T-12..T-19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F4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Perakit narasi deterministik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T-20, T-21</w:t>
            </w:r>
          </w:p>
        </w:tc>
      </w:tr>
      <w:tr>
        <w:trPr>
          <w:tblHeader w:val="false"/>
        </w:trPr>
        <w:tc>
          <w:tcPr>
            <w:tcW w:type="dxa" w:w="11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F5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Layar tinjauan psikolog + state machine + override</w:t>
            </w:r>
          </w:p>
        </w:tc>
        <w:tc>
          <w:tcPr>
            <w:tcW w:type="dxa" w:w="40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T-22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F6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Dokumen HPP dwibahasa + Lembar Internal + distribusi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Akses per matriks; render benar</w:t>
            </w:r>
          </w:p>
        </w:tc>
      </w:tr>
      <w:tr>
        <w:trPr>
          <w:tblHeader w:val="false"/>
        </w:trPr>
        <w:tc>
          <w:tcPr>
            <w:tcW w:type="dxa" w:w="11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F7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admin/cabang + komisi + proctoring view</w:t>
            </w:r>
          </w:p>
        </w:tc>
        <w:tc>
          <w:tcPr>
            <w:tcW w:type="dxa" w:w="40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T-23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F8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gateway (adapter)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idempotent; transfer manual tetap hidup</w:t>
            </w:r>
          </w:p>
        </w:tc>
      </w:tr>
      <w:tr>
        <w:trPr>
          <w:tblHeader w:val="false"/>
        </w:trPr>
        <w:tc>
          <w:tcPr>
            <w:tcW w:type="dxa" w:w="11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F9</w:t>
            </w:r>
          </w:p>
        </w:tc>
        <w:tc>
          <w:tcPr>
            <w:tcW w:type="dxa" w:w="4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Hardening + validasi psikometrik Tahap 0 + review terjemahan</w:t>
            </w:r>
          </w:p>
        </w:tc>
        <w:tc>
          <w:tcPr>
            <w:tcW w:type="dxa" w:w="406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uji penerimaan hijau, termasuk T-07</w:t>
            </w:r>
          </w:p>
        </w:tc>
      </w:tr>
    </w:tbl>
    <w:p>
      <w:pPr>
        <w:spacing w:after="120" w:before="80" w:line="264"/>
      </w:pPr>
      <w:r>
        <w:rPr>
          <w:sz w:val="20"/>
          <w:szCs w:val="20"/>
        </w:rPr>
        <w:t xml:space="preserve">Catatan: setelah F1–F3 (+F6) sistem sudah dapat dipakai produksi terbatas dengan aktivasi manual. Payment gateway sengaja belakangan.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12. Metrik Keberhasilan</w:t>
      </w:r>
      <w:r>
        <w:rPr>
          <w:color w:val="8A8A8A"/>
          <w:sz w:val="16"/>
          <w:szCs w:val="16"/>
        </w:rPr>
        <w:t xml:space="preserve">  成功指標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30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awal</w:t>
            </w:r>
          </w:p>
        </w:tc>
        <w:tc>
          <w:tcPr>
            <w:tcW w:type="dxa" w:w="308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ukur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Waktu selesai tes → draf siap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menit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 sistem</w:t>
            </w:r>
          </w:p>
        </w:tc>
      </w:tr>
      <w:tr>
        <w:trPr>
          <w:tblHeader w:val="false"/>
        </w:trPr>
        <w:tc>
          <w:tcPr>
            <w:tcW w:type="dxa" w:w="3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Akurasi skoring</w:t>
            </w:r>
          </w:p>
        </w:tc>
        <w:tc>
          <w:tcPr>
            <w:tcW w:type="dxa" w:w="30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vs golden/master</w:t>
            </w:r>
          </w:p>
        </w:tc>
        <w:tc>
          <w:tcPr>
            <w:tcW w:type="dxa" w:w="30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Uji penerimaan T-01..T-11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Laporan terbit tanpa tanda tangan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status laporan</w:t>
            </w:r>
          </w:p>
        </w:tc>
      </w:tr>
      <w:tr>
        <w:trPr>
          <w:tblHeader w:val="false"/>
        </w:trPr>
        <w:tc>
          <w:tcPr>
            <w:tcW w:type="dxa" w:w="3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Uji T-07 (DASS netral)</w:t>
            </w:r>
          </w:p>
        </w:tc>
        <w:tc>
          <w:tcPr>
            <w:tcW w:type="dxa" w:w="30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Lulus mutlak</w:t>
            </w:r>
          </w:p>
        </w:tc>
        <w:tc>
          <w:tcPr>
            <w:tcW w:type="dxa" w:w="30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Suite uji otomatis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Penyelesaian tes peserta (mobile)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95% tanpa kendala teknis</w:t>
            </w:r>
          </w:p>
        </w:tc>
        <w:tc>
          <w:tcPr>
            <w:tcW w:type="dxa" w:w="3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Analitik drop-off</w:t>
            </w:r>
          </w:p>
        </w:tc>
      </w:tr>
      <w:tr>
        <w:trPr>
          <w:tblHeader w:val="false"/>
        </w:trPr>
        <w:tc>
          <w:tcPr>
            <w:tcW w:type="dxa" w:w="32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Sebaran zona per aspek</w:t>
            </w:r>
          </w:p>
        </w:tc>
        <w:tc>
          <w:tcPr>
            <w:tcW w:type="dxa" w:w="30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Terdistribusi (bukan semua OK)</w:t>
            </w:r>
          </w:p>
        </w:tc>
        <w:tc>
          <w:tcPr>
            <w:tcW w:type="dxa" w:w="308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Validasi psikometrik ≥100 kasus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13. Risiko &amp; Mitigasi</w:t>
      </w:r>
      <w:r>
        <w:rPr>
          <w:color w:val="8A8A8A"/>
          <w:sz w:val="16"/>
          <w:szCs w:val="16"/>
        </w:rPr>
        <w:t xml:space="preserve">  リスクと対策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3300"/>
        <w:gridCol w:w="3030"/>
        <w:gridCol w:w="3030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303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Dampak</w:t>
            </w:r>
          </w:p>
        </w:tc>
        <w:tc>
          <w:tcPr>
            <w:tcW w:type="dxa" w:w="303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Mitigasi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 Kraepelin kertas vs digital (Panker bias)</w:t>
            </w:r>
          </w:p>
        </w:tc>
        <w:tc>
          <w:tcPr>
            <w:tcW w:type="dxa" w:w="3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Skor kecepatan bias sistematis</w:t>
            </w:r>
          </w:p>
        </w:tc>
        <w:tc>
          <w:tcPr>
            <w:tcW w:type="dxa" w:w="3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Cutoff dapat diganti tanpa rilis; validasi kesetaraan ≥100 kasus; catat di lampiran metodologi</w:t>
            </w:r>
          </w:p>
        </w:tc>
      </w:tr>
      <w:tr>
        <w:trPr>
          <w:tblHeader w:val="false"/>
        </w:trPr>
        <w:tc>
          <w:tcPr>
            <w:tcW w:type="dxa" w:w="33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Definisi Hanker</w:t>
            </w:r>
          </w:p>
        </w:tc>
        <w:tc>
          <w:tcPr>
            <w:tcW w:type="dxa" w:w="303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(teratasi)</w:t>
            </w:r>
          </w:p>
        </w:tc>
        <w:tc>
          <w:tcPr>
            <w:tcW w:type="dxa" w:w="303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20"/>
                <w:szCs w:val="20"/>
              </w:rPr>
              <w:t xml:space="preserve">SELESAI — b×50 dikonfirmasi psikolog, terverifikasi 2 golden test independen (S1/S2 &amp; SMA/SMK)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Zona Putih PAPI ~39% → Klaster C menumpuk di level tinggi</w:t>
            </w:r>
          </w:p>
        </w:tc>
        <w:tc>
          <w:tcPr>
            <w:tcW w:type="dxa" w:w="3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Daya beda menurun</w:t>
            </w:r>
          </w:p>
        </w:tc>
        <w:tc>
          <w:tcPr>
            <w:tcW w:type="dxa" w:w="3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Tinjau letak standar minimum setelah 100 kasus, bukan tabel PAPI</w:t>
            </w:r>
          </w:p>
        </w:tc>
      </w:tr>
      <w:tr>
        <w:trPr>
          <w:tblHeader w:val="false"/>
        </w:trPr>
        <w:tc>
          <w:tcPr>
            <w:tcW w:type="dxa" w:w="33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Webhook pembayaran ganda/gagal</w:t>
            </w:r>
          </w:p>
        </w:tc>
        <w:tc>
          <w:tcPr>
            <w:tcW w:type="dxa" w:w="303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Komplain transaksi</w:t>
            </w:r>
          </w:p>
        </w:tc>
        <w:tc>
          <w:tcPr>
            <w:tcW w:type="dxa" w:w="303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Idempotensi + halaman cek status manual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 WhatsApp (WAHA) saat skala naik</w:t>
            </w:r>
          </w:p>
        </w:tc>
        <w:tc>
          <w:tcPr>
            <w:tcW w:type="dxa" w:w="3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Notifikasi terganggu</w:t>
            </w:r>
          </w:p>
        </w:tc>
        <w:tc>
          <w:tcPr>
            <w:tcW w:type="dxa" w:w="3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Rencana migrasi ke WhatsApp Business API</w:t>
            </w:r>
          </w:p>
        </w:tc>
      </w:tr>
      <w:tr>
        <w:trPr>
          <w:tblHeader w:val="false"/>
        </w:trPr>
        <w:tc>
          <w:tcPr>
            <w:tcW w:type="dxa" w:w="33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Kebocoran data kesehatan</w:t>
            </w:r>
          </w:p>
        </w:tc>
        <w:tc>
          <w:tcPr>
            <w:tcW w:type="dxa" w:w="303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Pelanggaran PDP</w:t>
            </w:r>
          </w:p>
        </w:tc>
        <w:tc>
          <w:tcPr>
            <w:tcW w:type="dxa" w:w="303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Penyimpanan &amp; akses terpisah, retensi pendek, audit akses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14. Butir Terbuka &amp; Dependensi</w:t>
      </w:r>
      <w:r>
        <w:rPr>
          <w:color w:val="8A8A8A"/>
          <w:sz w:val="16"/>
          <w:szCs w:val="16"/>
        </w:rPr>
        <w:t xml:space="preserve">  未決事項と依存関係</w:t>
      </w:r>
    </w:p>
    <w:p>
      <w:pPr>
        <w:spacing w:after="120" w:before="0" w:line="264"/>
      </w:pPr>
      <w:r>
        <w:rPr>
          <w:sz w:val="20"/>
          <w:szCs w:val="20"/>
        </w:rPr>
        <w:t xml:space="preserve">Seluruh butir psikometri telah terjawab dan terkunci (jawaban psikolog 20 Agu 2026). </w:t>
      </w:r>
      <w:r>
        <w:rPr>
          <w:b/>
          <w:bCs/>
          <w:color w:val="2E6B3E"/>
          <w:sz w:val="20"/>
          <w:szCs w:val="20"/>
        </w:rPr>
        <w:t xml:space="preserve">Tidak ada butir yang memblokir pembangunan.</w:t>
      </w:r>
      <w:r>
        <w:rPr>
          <w:sz w:val="20"/>
          <w:szCs w:val="20"/>
        </w:rPr>
        <w:t xml:space="preserve"> Yang tersisa murni operasional pra-go-live.</w:t>
      </w:r>
    </w:p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14.1 Terjawab &amp; terkunci</w:t>
      </w:r>
    </w:p>
    <w:tbl>
      <w:tblPr>
        <w:tblW w:type="dxa" w:w="9360"/>
        <w:tblBorders>
          <w:top w:val="single" w:color="CBD2DE" w:sz="2"/>
          <w:left w:val="single" w:color="CBD2DE" w:sz="2"/>
          <w:bottom w:val="single" w:color="CBD2DE" w:sz="2"/>
          <w:right w:val="single" w:color="CBD2DE" w:sz="2"/>
          <w:insideH w:val="single" w:color="DDE2EC" w:sz="1"/>
          <w:insideV w:val="single" w:color="DDE2EC" w:sz="1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1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Butir</w:t>
            </w:r>
          </w:p>
        </w:tc>
        <w:tc>
          <w:tcPr>
            <w:tcW w:type="dxa" w:w="3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Definisi Hanker (b×50)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SELESAI — terverifikasi 2 golden test</w:t>
            </w:r>
          </w:p>
        </w:tc>
      </w:tr>
      <w:tr>
        <w:trPr>
          <w:tblHeader w:val="false"/>
        </w:trPr>
        <w:tc>
          <w:tcPr>
            <w:tcW w:type="dxa" w:w="62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14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Pengacakan opsi jawaban</w:t>
            </w:r>
          </w:p>
        </w:tc>
        <w:tc>
          <w:tcPr>
            <w:tcW w:type="dxa" w:w="3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DITOLAK — baterai paten, tidak diacak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 Grey Area 6 bidang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FINAL — versi GA-2026.08</w:t>
            </w:r>
          </w:p>
        </w:tc>
      </w:tr>
      <w:tr>
        <w:trPr>
          <w:tblHeader w:val="false"/>
        </w:trPr>
        <w:tc>
          <w:tcPr>
            <w:tcW w:type="dxa" w:w="62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14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Teks item + mapping DASS-21</w:t>
            </w:r>
          </w:p>
        </w:tc>
        <w:tc>
          <w:tcPr>
            <w:tcW w:type="dxa" w:w="3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SELESAI — diterima &amp; terverifikasi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test SMA/SMK (grup mayoritas)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SELESAI — terverifikasi independen</w:t>
            </w:r>
          </w:p>
        </w:tc>
      </w:tr>
      <w:tr>
        <w:trPr>
          <w:tblHeader w:val="false"/>
        </w:trPr>
        <w:tc>
          <w:tcPr>
            <w:tcW w:type="dxa" w:w="62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14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Identitas fasilitas + SILP + STR</w:t>
            </w:r>
          </w:p>
        </w:tc>
        <w:tc>
          <w:tcPr>
            <w:tcW w:type="dxa" w:w="3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SELESAI — ditetapkan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1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Ambang validitas V2/V3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SELESAI — ditetapkan (ketat)</w:t>
            </w:r>
          </w:p>
        </w:tc>
      </w:tr>
      <w:tr>
        <w:trPr>
          <w:tblHeader w:val="false"/>
        </w:trPr>
        <w:tc>
          <w:tcPr>
            <w:tcW w:type="dxa" w:w="62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14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Gateway pembayaran</w:t>
            </w:r>
          </w:p>
        </w:tc>
        <w:tc>
          <w:tcPr>
            <w:tcW w:type="dxa" w:w="3600"/>
            <w:shd w:fill="F6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color w:val="2E6B3E"/>
                <w:sz w:val="18"/>
                <w:szCs w:val="18"/>
              </w:rPr>
              <w:t xml:space="preserve">DIPUTUSKAN — Xendit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6B4C9A"/>
          <w:sz w:val="22"/>
          <w:szCs w:val="22"/>
        </w:rPr>
        <w:t xml:space="preserve">14.2 Catatan &amp; menyusul (tidak memblokir)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Provenans norma IST: </w:t>
      </w:r>
      <w:r>
        <w:rPr>
          <w:sz w:val="20"/>
          <w:szCs w:val="20"/>
        </w:rPr>
        <w:t xml:space="preserve">tabel internal dari Master Kamus; manual asal &amp; jumlah sampel tidak terdokumentasi — dicatat sebagai batasan di lampiran metodologi.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Validasi norma Kraepelin kertas↔digital: </w:t>
      </w:r>
      <w:r>
        <w:rPr>
          <w:sz w:val="20"/>
          <w:szCs w:val="20"/>
        </w:rPr>
        <w:t xml:space="preserve">tinjau cutoff setelah ≈200 sesi V1 (dominan SMA/SMK), fokus Panker &amp; Hanker, divalidasi psikolog, tanpa rilis kode, tidak berlaku surut (G8).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Pra-go-live: </w:t>
      </w:r>
      <w:r>
        <w:rPr>
          <w:sz w:val="20"/>
          <w:szCs w:val="20"/>
        </w:rPr>
        <w:t xml:space="preserve">akun Xendit + KYB; hak pakai instrumen IST &amp; PAPI; review terjemahan Jepang oleh penutur tersertifikasi; review hukum teks consent &amp; privasi.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6"/>
          <w:szCs w:val="26"/>
        </w:rPr>
        <w:t xml:space="preserve">15. Dokumen Rujukan</w:t>
      </w:r>
      <w:r>
        <w:rPr>
          <w:color w:val="8A8A8A"/>
          <w:sz w:val="16"/>
          <w:szCs w:val="16"/>
        </w:rPr>
        <w:t xml:space="preserve">  参照文書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SPEC v4.0 </w:t>
      </w:r>
      <w:r>
        <w:rPr>
          <w:sz w:val="20"/>
          <w:szCs w:val="20"/>
        </w:rPr>
        <w:t xml:space="preserve">— spesifikasi teknik lengkap (arsitektur, model data, skoring, uji penerimaan, fase build).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Spesifikasi Teknis HPP CPMI v2.3 </w:t>
      </w:r>
      <w:r>
        <w:rPr>
          <w:sz w:val="20"/>
          <w:szCs w:val="20"/>
        </w:rPr>
        <w:t xml:space="preserve">(psikolog) — rujukan otoritatif skoring, guardrail, tata kelola data.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Bank Narasi Formula HPP </w:t>
      </w:r>
      <w:r>
        <w:rPr>
          <w:sz w:val="20"/>
          <w:szCs w:val="20"/>
        </w:rPr>
        <w:t xml:space="preserve">— 180 narasi PAPI, narasi aspek per band, konektor, narasi DASS.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Template Laporan HPP &amp; Contoh Laporan terisi </w:t>
      </w:r>
      <w:r>
        <w:rPr>
          <w:sz w:val="20"/>
          <w:szCs w:val="20"/>
        </w:rPr>
        <w:t xml:space="preserve">— tata letak dwibahasa dan contoh keluaran.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Tabel Lookup Skoring v1.1 &amp; Contoh Skoring Kraepelin </w:t>
      </w:r>
      <w:r>
        <w:rPr>
          <w:sz w:val="20"/>
          <w:szCs w:val="20"/>
        </w:rPr>
        <w:t xml:space="preserve">— norma, ambang, dan golden test.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b/>
          <w:bCs/>
          <w:sz w:val="20"/>
          <w:szCs w:val="20"/>
        </w:rPr>
        <w:t xml:space="preserve">CLAUDE.md, PANDUAN-EKSEKUSI, CHANGELOG </w:t>
      </w:r>
      <w:r>
        <w:rPr>
          <w:sz w:val="20"/>
          <w:szCs w:val="20"/>
        </w:rPr>
        <w:t xml:space="preserve">— aturan kerja pengembangan &amp; riwayat versi.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E" w:sz="4" w:space="4"/>
      </w:pBdr>
      <w:spacing w:before="0"/>
      <w:jc w:val="center"/>
    </w:pPr>
    <w:r>
      <w:rPr>
        <w:color w:val="8A8A8A"/>
        <w:sz w:val="15"/>
        <w:szCs w:val="15"/>
      </w:rPr>
      <w:t xml:space="preserve">RAHASIA · v1.1 FINAL · 20 Agustus 2026 — Hal.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15"/>
        <w:szCs w:val="15"/>
      </w:rPr>
      <w:t xml:space="preserve"> / </w:t>
    </w:r>
    <w:r>
      <w:rPr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2DE" w:sz="4" w:space="4"/>
      </w:pBdr>
      <w:spacing w:after="0"/>
      <w:jc w:val="right"/>
    </w:pPr>
    <w:r>
      <w:rPr>
        <w:color w:val="8A8A8A"/>
        <w:sz w:val="15"/>
        <w:szCs w:val="15"/>
      </w:rPr>
      <w:t xml:space="preserve">PRD — Sistem Psikotes Daring CPMI · psikotes.oncam.id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rPr>
      <w:b/>
      <w:bCs/>
      <w:color w:val="6B4C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Sistem Psikotes CPMI</dc:title>
  <dc:creator>LSI</dc:creator>
  <cp:lastModifiedBy>Un-named</cp:lastModifiedBy>
  <cp:revision>1</cp:revision>
  <dcterms:created xsi:type="dcterms:W3CDTF">2026-08-22T08:07:11.517Z</dcterms:created>
  <dcterms:modified xsi:type="dcterms:W3CDTF">2026-08-22T08:07:11.518Z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