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Bank Q12</w:t>
      </w:r>
    </w:p>
    <w:p>
      <w:r>
        <w:t>Synthetic fixture; no real personal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How do you validate uploaded PDF and DOCX files?</w:t>
            </w:r>
          </w:p>
        </w:tc>
        <w:tc>
          <w:tcPr>
            <w:tcW w:type="dxa" w:w="4320"/>
          </w:tcPr>
          <w:p>
            <w:r>
              <w:t>Synthetic reference answer</w:t>
            </w:r>
          </w:p>
        </w:tc>
      </w:tr>
      <w:tr>
        <w:tc>
          <w:tcPr>
            <w:tcW w:type="dxa" w:w="4320"/>
          </w:tcPr>
          <w:p>
            <w:r>
              <w:t>What data should a parse task persist?</w:t>
            </w:r>
          </w:p>
        </w:tc>
        <w:tc>
          <w:tcPr>
            <w:tcW w:type="dxa" w:w="4320"/>
          </w:tcPr>
          <w:p>
            <w:r>
              <w:t>Synthetic reference answer</w:t>
            </w:r>
          </w:p>
        </w:tc>
      </w:tr>
      <w:tr>
        <w:tc>
          <w:tcPr>
            <w:tcW w:type="dxa" w:w="4320"/>
          </w:tcPr>
          <w:p>
            <w:r>
              <w:t>How do you handle deletion when object storage fails?</w:t>
            </w:r>
          </w:p>
        </w:tc>
        <w:tc>
          <w:tcPr>
            <w:tcW w:type="dxa" w:w="4320"/>
          </w:tcPr>
          <w:p>
            <w:r>
              <w:t>Synthetic reference answer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