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application intern</w:t>
      </w:r>
    </w:p>
    <w:p>
      <w:r>
        <w:t>Synthetic fixture · no real personal 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Importance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Build enterprise knowledge assistants using RAG.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Create offline evaluation datasets and improve answer quality.</w:t>
            </w:r>
          </w:p>
        </w:tc>
      </w:tr>
      <w:tr>
        <w:tc>
          <w:tcPr>
            <w:tcW w:type="dxa" w:w="4320"/>
          </w:tcPr>
          <w:p>
            <w:r>
              <w:t>Preferred</w:t>
            </w:r>
          </w:p>
        </w:tc>
        <w:tc>
          <w:tcPr>
            <w:tcW w:type="dxa" w:w="4320"/>
          </w:tcPr>
          <w:p>
            <w:r>
              <w:t>Handle API timeouts, retries and fallbacks.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InterviewMirror synthetic corpus</cp:lastModifiedBy>
  <cp:revision>1</cp:revision>
  <dcterms:created xsi:type="dcterms:W3CDTF">2000-01-01T00:00:00Z</dcterms:created>
  <dcterms:modified xsi:type="dcterms:W3CDTF">2000-01-01T00:00:00Z</dcterms:modified>
  <cp:category/>
</cp:coreProperties>
</file>