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81E" w:rsidRDefault="00024C2B">
      <w:r>
        <w:t xml:space="preserve">This document is a template document that gives the authors of ICER2026 a template to work from. Full papers should be around 4-5 pages including abstract and references. </w:t>
      </w:r>
    </w:p>
    <w:p w:rsidR="0091781E" w:rsidRDefault="0091781E">
      <w:pPr>
        <w:pBdr>
          <w:top w:val="nil"/>
          <w:left w:val="nil"/>
          <w:bottom w:val="nil"/>
          <w:right w:val="nil"/>
          <w:between w:val="nil"/>
        </w:pBdr>
        <w:spacing w:before="40"/>
        <w:ind w:left="432" w:right="432"/>
        <w:jc w:val="both"/>
        <w:rPr>
          <w:color w:val="000000"/>
        </w:rPr>
      </w:pPr>
    </w:p>
    <w:p w:rsidR="0091781E" w:rsidRDefault="00024C2B">
      <w:pPr>
        <w:pBdr>
          <w:top w:val="nil"/>
          <w:left w:val="nil"/>
          <w:bottom w:val="nil"/>
          <w:right w:val="nil"/>
          <w:between w:val="nil"/>
        </w:pBdr>
        <w:jc w:val="both"/>
        <w:rPr>
          <w:b/>
          <w:bCs/>
          <w:i/>
          <w:iCs/>
          <w:color w:val="000000"/>
          <w:sz w:val="28"/>
          <w:szCs w:val="28"/>
        </w:rPr>
      </w:pPr>
      <w:r>
        <w:rPr>
          <w:rFonts w:eastAsia="Times New Roman"/>
          <w:b/>
          <w:bCs/>
          <w:i/>
          <w:iCs/>
          <w:color w:val="000000"/>
          <w:sz w:val="28"/>
          <w:szCs w:val="28"/>
        </w:rPr>
        <w:t>From standardized training to career-responsive AI professional development: Reimagining teacher learning futures</w:t>
      </w:r>
    </w:p>
    <w:p w:rsidR="0091781E" w:rsidRDefault="0091781E">
      <w:pPr>
        <w:pBdr>
          <w:top w:val="nil"/>
          <w:left w:val="nil"/>
          <w:bottom w:val="nil"/>
          <w:right w:val="nil"/>
          <w:between w:val="nil"/>
        </w:pBdr>
        <w:rPr>
          <w:b/>
          <w:bCs/>
          <w:color w:val="000000"/>
        </w:rPr>
      </w:pPr>
      <w:bookmarkStart w:id="0" w:name="_GoBack"/>
      <w:bookmarkEnd w:id="0"/>
    </w:p>
    <w:p w:rsidR="0091781E" w:rsidRDefault="00024C2B">
      <w:pPr>
        <w:pBdr>
          <w:top w:val="nil"/>
          <w:left w:val="nil"/>
          <w:bottom w:val="nil"/>
          <w:right w:val="nil"/>
          <w:between w:val="nil"/>
        </w:pBdr>
        <w:rPr>
          <w:b/>
          <w:bCs/>
          <w:color w:val="000000"/>
        </w:rPr>
      </w:pPr>
      <w:r>
        <w:rPr>
          <w:rFonts w:eastAsia="Times New Roman"/>
          <w:b/>
          <w:bCs/>
          <w:color w:val="000000"/>
        </w:rPr>
        <w:t>Ihyeon Yoon</w:t>
      </w:r>
    </w:p>
    <w:p w:rsidR="0091781E" w:rsidRDefault="00024C2B">
      <w:pPr>
        <w:rPr>
          <w:b/>
          <w:bCs/>
        </w:rPr>
      </w:pPr>
      <w:r>
        <w:rPr>
          <w:b/>
          <w:bCs/>
        </w:rPr>
        <w:t>Institute of Educational Research, Chonnam National University, dohyeyoon@jnu.ac.kr</w:t>
      </w:r>
    </w:p>
    <w:p w:rsidR="0091781E" w:rsidRDefault="00024C2B">
      <w:pPr>
        <w:pBdr>
          <w:top w:val="nil"/>
          <w:left w:val="nil"/>
          <w:bottom w:val="nil"/>
          <w:right w:val="nil"/>
          <w:between w:val="nil"/>
        </w:pBdr>
        <w:rPr>
          <w:color w:val="000000"/>
        </w:rPr>
      </w:pPr>
      <w:r>
        <w:rPr>
          <w:rFonts w:eastAsia="Times New Roman"/>
          <w:color w:val="000000"/>
        </w:rPr>
        <w:t>Jeeheon Ryu</w:t>
      </w:r>
    </w:p>
    <w:p w:rsidR="0091781E" w:rsidRDefault="00024C2B">
      <w:pPr>
        <w:rPr>
          <w:b/>
          <w:bCs/>
        </w:rPr>
      </w:pPr>
      <w:r>
        <w:rPr>
          <w:b/>
          <w:bCs/>
        </w:rPr>
        <w:t>Department of Education,Chonnam N</w:t>
      </w:r>
      <w:r>
        <w:rPr>
          <w:b/>
          <w:bCs/>
        </w:rPr>
        <w:t xml:space="preserve">ational University, </w:t>
      </w:r>
      <w:hyperlink r:id="rId8">
        <w:r>
          <w:rPr>
            <w:b/>
            <w:bCs/>
            <w:color w:val="0563C1"/>
            <w:u w:val="single"/>
          </w:rPr>
          <w:t>jeeheon@jnu.ac.kr</w:t>
        </w:r>
      </w:hyperlink>
    </w:p>
    <w:p w:rsidR="0091781E" w:rsidRDefault="00024C2B">
      <w:pPr>
        <w:rPr>
          <w:b/>
          <w:bCs/>
        </w:rPr>
      </w:pPr>
      <w:r>
        <w:rPr>
          <w:b/>
          <w:bCs/>
        </w:rPr>
        <w:t>Kukhyeon Kim</w:t>
      </w:r>
    </w:p>
    <w:p w:rsidR="0091781E" w:rsidRDefault="00024C2B">
      <w:pPr>
        <w:rPr>
          <w:b/>
          <w:bCs/>
        </w:rPr>
      </w:pPr>
      <w:r>
        <w:rPr>
          <w:b/>
          <w:bCs/>
        </w:rPr>
        <w:t>Institute of Educational Research, Chonnam National University, kukhyeon9@gmail.com</w:t>
      </w:r>
    </w:p>
    <w:p w:rsidR="0091781E" w:rsidRDefault="0091781E">
      <w:pPr>
        <w:rPr>
          <w:b/>
          <w:bCs/>
        </w:rPr>
      </w:pPr>
    </w:p>
    <w:p w:rsidR="0091781E" w:rsidRDefault="00024C2B">
      <w:pPr>
        <w:pBdr>
          <w:top w:val="nil"/>
          <w:left w:val="nil"/>
          <w:bottom w:val="nil"/>
          <w:right w:val="nil"/>
          <w:between w:val="nil"/>
        </w:pBdr>
        <w:rPr>
          <w:b/>
          <w:bCs/>
          <w:color w:val="000000"/>
        </w:rPr>
      </w:pPr>
      <w:r>
        <w:rPr>
          <w:rFonts w:eastAsia="Times New Roman"/>
          <w:b/>
          <w:bCs/>
          <w:color w:val="000000"/>
        </w:rPr>
        <w:t xml:space="preserve">Abstract </w:t>
      </w:r>
    </w:p>
    <w:p w:rsidR="0091781E" w:rsidRDefault="00024C2B">
      <w:pPr>
        <w:pBdr>
          <w:top w:val="nil"/>
          <w:left w:val="nil"/>
          <w:bottom w:val="nil"/>
          <w:right w:val="nil"/>
          <w:between w:val="nil"/>
        </w:pBdr>
        <w:spacing w:before="40"/>
        <w:ind w:left="432" w:right="432" w:firstLine="200"/>
        <w:jc w:val="both"/>
        <w:rPr>
          <w:color w:val="000000"/>
        </w:rPr>
      </w:pPr>
      <w:r>
        <w:rPr>
          <w:rFonts w:eastAsia="Times New Roman"/>
          <w:color w:val="000000"/>
        </w:rPr>
        <w:t xml:space="preserve">The rapid advancement of artificial intelligence (AI) and digital technologies is reshaping educational environments and redefining the competencies required of teachers. Despite this transformation, many teacher professional development programs continue </w:t>
      </w:r>
      <w:r>
        <w:rPr>
          <w:rFonts w:eastAsia="Times New Roman"/>
          <w:color w:val="000000"/>
        </w:rPr>
        <w:t>to rely on standardized training models that provide uniform learning experiences regardless of teachers’ professional backgrounds or career stages. Such approaches often fail to address the diverse learning needs of teachers as they progress through their</w:t>
      </w:r>
      <w:r>
        <w:rPr>
          <w:rFonts w:eastAsia="Times New Roman"/>
          <w:color w:val="000000"/>
        </w:rPr>
        <w:t xml:space="preserve"> professional careers. In response to this limitation, this study explores a career-responsive approach to AI professional development that considers teachers’ career life cycle.</w:t>
      </w:r>
    </w:p>
    <w:p w:rsidR="0091781E" w:rsidRDefault="00024C2B">
      <w:pPr>
        <w:pBdr>
          <w:top w:val="nil"/>
          <w:left w:val="nil"/>
          <w:bottom w:val="nil"/>
          <w:right w:val="nil"/>
          <w:between w:val="nil"/>
        </w:pBdr>
        <w:spacing w:before="40"/>
        <w:ind w:left="432" w:right="432" w:firstLine="200"/>
        <w:jc w:val="both"/>
        <w:rPr>
          <w:color w:val="000000"/>
        </w:rPr>
      </w:pPr>
      <w:r>
        <w:rPr>
          <w:rFonts w:eastAsia="Times New Roman"/>
          <w:color w:val="000000"/>
        </w:rPr>
        <w:t>Building on a previously developed AI–digital competency framework for teache</w:t>
      </w:r>
      <w:r>
        <w:rPr>
          <w:rFonts w:eastAsia="Times New Roman"/>
          <w:color w:val="000000"/>
        </w:rPr>
        <w:t>rs, this study designed and implemented a career-stage-responsive professional development program aimed at strengthening teachers’ AI-integrated teaching competencies. The program was structured around four teacher career stages—induction, growth, maturit</w:t>
      </w:r>
      <w:r>
        <w:rPr>
          <w:rFonts w:eastAsia="Times New Roman"/>
          <w:color w:val="000000"/>
        </w:rPr>
        <w:t>y, and leadership—and provided differentiated learning experiences tailored to the professional characteristics and needs of each stage.</w:t>
      </w:r>
    </w:p>
    <w:p w:rsidR="0091781E" w:rsidRDefault="00024C2B">
      <w:pPr>
        <w:pBdr>
          <w:top w:val="nil"/>
          <w:left w:val="nil"/>
          <w:bottom w:val="nil"/>
          <w:right w:val="nil"/>
          <w:between w:val="nil"/>
        </w:pBdr>
        <w:spacing w:before="40"/>
        <w:ind w:left="432" w:right="432" w:firstLine="200"/>
        <w:jc w:val="both"/>
        <w:rPr>
          <w:color w:val="000000"/>
        </w:rPr>
      </w:pPr>
      <w:r>
        <w:rPr>
          <w:rFonts w:eastAsia="Times New Roman"/>
          <w:color w:val="000000"/>
        </w:rPr>
        <w:t>The program was implemented with 102 in-service teachers in South Korea. A post-program survey was conducted with 89 participants to evaluate the effectiveness of the training. The results indicate high levels of satisfaction with both program operation (M</w:t>
      </w:r>
      <w:r>
        <w:rPr>
          <w:rFonts w:eastAsia="Times New Roman"/>
          <w:color w:val="000000"/>
        </w:rPr>
        <w:t xml:space="preserve"> = 4.90/5) and training content (M = 4.89/5). Participants reported improved understanding of AI technologies and increased confidence in applying AI tools to classroom teaching and professional tasks.</w:t>
      </w:r>
    </w:p>
    <w:p w:rsidR="0091781E" w:rsidRDefault="00024C2B">
      <w:pPr>
        <w:pBdr>
          <w:top w:val="nil"/>
          <w:left w:val="nil"/>
          <w:bottom w:val="nil"/>
          <w:right w:val="nil"/>
          <w:between w:val="nil"/>
        </w:pBdr>
        <w:spacing w:before="40"/>
        <w:ind w:left="432" w:right="432"/>
        <w:jc w:val="both"/>
        <w:rPr>
          <w:color w:val="000000"/>
        </w:rPr>
      </w:pPr>
      <w:r>
        <w:rPr>
          <w:rFonts w:eastAsia="Times New Roman"/>
          <w:color w:val="000000"/>
        </w:rPr>
        <w:t>These findings suggest that career-responsive professi</w:t>
      </w:r>
      <w:r>
        <w:rPr>
          <w:rFonts w:eastAsia="Times New Roman"/>
          <w:color w:val="000000"/>
        </w:rPr>
        <w:t>onal development can provide a more effective model for supporting teachers’ learning in the age of AI. The study highlights the importance of moving beyond standardized training toward professional development systems that align with teachers’ evolving co</w:t>
      </w:r>
      <w:r>
        <w:rPr>
          <w:rFonts w:eastAsia="Times New Roman"/>
          <w:color w:val="000000"/>
        </w:rPr>
        <w:t>mpetencies and career trajectories.</w:t>
      </w:r>
    </w:p>
    <w:p w:rsidR="0091781E" w:rsidRDefault="0091781E">
      <w:pPr>
        <w:pBdr>
          <w:top w:val="nil"/>
          <w:left w:val="nil"/>
          <w:bottom w:val="nil"/>
          <w:right w:val="nil"/>
          <w:between w:val="nil"/>
        </w:pBdr>
        <w:spacing w:before="40"/>
        <w:ind w:left="432" w:right="432"/>
        <w:jc w:val="both"/>
        <w:rPr>
          <w:color w:val="000000"/>
        </w:rPr>
      </w:pPr>
    </w:p>
    <w:p w:rsidR="0091781E" w:rsidRDefault="00024C2B">
      <w:pPr>
        <w:numPr>
          <w:ilvl w:val="0"/>
          <w:numId w:val="1"/>
        </w:numPr>
        <w:pBdr>
          <w:top w:val="nil"/>
          <w:left w:val="nil"/>
          <w:bottom w:val="nil"/>
          <w:right w:val="nil"/>
          <w:between w:val="nil"/>
        </w:pBdr>
        <w:rPr>
          <w:b/>
          <w:bCs/>
          <w:color w:val="000000"/>
          <w:sz w:val="24"/>
          <w:szCs w:val="24"/>
        </w:rPr>
      </w:pPr>
      <w:r>
        <w:rPr>
          <w:rFonts w:eastAsia="Times New Roman"/>
          <w:b/>
          <w:bCs/>
          <w:color w:val="000000"/>
          <w:sz w:val="24"/>
          <w:szCs w:val="24"/>
        </w:rPr>
        <w:t>Introduction</w:t>
      </w:r>
    </w:p>
    <w:p w:rsidR="0091781E" w:rsidRDefault="00024C2B">
      <w:pPr>
        <w:ind w:firstLine="200"/>
        <w:jc w:val="both"/>
      </w:pPr>
      <w:r>
        <w:t>The rapid development of artificial intelligence (AI) and digital technologies is transforming educational The rapid advancement of artificial intelligence (AI), particularly generative AI technologies, has</w:t>
      </w:r>
      <w:r>
        <w:t xml:space="preserve"> fundamentally transformed educational environments, reshaping teaching, learning, and assessment practices. Since the emergence of widely accessible AI tools such as ChatGPT, discussions on the role of AI in education have intensified, highlighting new po</w:t>
      </w:r>
      <w:r>
        <w:t>ssibilities for content generation, feedback, and instructional support (Gamlem et al., 2026; Hopfenbeck et al., 2023; Crompton &amp; Burke, 2023). AI technologies are no longer peripheral tools but are increasingly embedded within educational systems, influen</w:t>
      </w:r>
      <w:r>
        <w:t>cing both pedagogical approaches and institutional structures.</w:t>
      </w:r>
    </w:p>
    <w:p w:rsidR="0091781E" w:rsidRDefault="00024C2B">
      <w:pPr>
        <w:ind w:firstLine="200"/>
        <w:jc w:val="both"/>
      </w:pPr>
      <w:r>
        <w:t>In this context, teachers play a central role in mediating the use of AI technologies in classrooms. They are expected not only to integrate AI tools into instructional practices but also to pr</w:t>
      </w:r>
      <w:r>
        <w:t xml:space="preserve">epare students for participation in an AI-driven society. As a result, developing teachers’ AI and digital competencies has become a key priority in </w:t>
      </w:r>
      <w:r>
        <w:lastRenderedPageBreak/>
        <w:t>educational systems worldwide. Previous studies have emphasized that AI literacy and digital competence are</w:t>
      </w:r>
      <w:r>
        <w:t xml:space="preserve"> essential for effective pedagogical practice and for enabling teachers to design meaningful and adaptive learning environments (Khassanova et al., 2026; Long &amp; Magerko, 2020). Similarly, research has shown that structured teacher training programs can sig</w:t>
      </w:r>
      <w:r>
        <w:t>nificantly improve teachers’ AI literacy, confidence, and attitudes toward AI integration in teaching (Lademann et al., 2026).</w:t>
      </w:r>
    </w:p>
    <w:p w:rsidR="0091781E" w:rsidRDefault="00024C2B">
      <w:pPr>
        <w:ind w:firstLine="200"/>
        <w:jc w:val="both"/>
      </w:pPr>
      <w:r>
        <w:t>Accordingly, many countries have actively promoted teacher professional development programs focused on AI and digital competenci</w:t>
      </w:r>
      <w:r>
        <w:t>es. Systematic reviews have consistently highlighted that AI-related teacher training is expanding rapidly, driven by both technological developments and policy initiatives. However, these studies also point out a critical limitation: most training program</w:t>
      </w:r>
      <w:r>
        <w:t>s tend to focus primarily on technical skills or tool-based instruction, without sufficiently addressing pedagogical integration or contextual factors influencing teachers’ practices (Aravantinos et al., 2026). In particular, technical training alone has b</w:t>
      </w:r>
      <w:r>
        <w:t>een found insufficient for effective AI integration, as teachers require a combination of pedagogical knowledge, positive attitudes, and institutional support to successfully implement AI in their classrooms (Aravantinos et al., 2026).</w:t>
      </w:r>
    </w:p>
    <w:p w:rsidR="0091781E" w:rsidRDefault="00024C2B">
      <w:pPr>
        <w:ind w:firstLine="200"/>
        <w:jc w:val="both"/>
      </w:pPr>
      <w:r>
        <w:t>Despite the expansion of AI-related professional development, existing teacher training programs often adopt standardized approaches that provide uniform content and structure to all teachers. Such one-size-fits-all models assume that teachers have similar</w:t>
      </w:r>
      <w:r>
        <w:t xml:space="preserve"> needs and levels of readiness, overlooking the diversity of teachers’ professional experiences and roles. However, teachers are not a homogeneous group; their knowledge, instructional priorities, and professional responsibilities evolve across their caree</w:t>
      </w:r>
      <w:r>
        <w:t>r trajectories.</w:t>
      </w:r>
    </w:p>
    <w:p w:rsidR="0091781E" w:rsidRDefault="00024C2B">
      <w:pPr>
        <w:ind w:firstLine="200"/>
        <w:jc w:val="both"/>
      </w:pPr>
      <w:r>
        <w:t xml:space="preserve">In particular, teachers at different career stages are likely to emphasize different aspects of their professional practice. Early-career teachers tend to focus on classroom management and instructional stability, while mid-career teachers </w:t>
      </w:r>
      <w:r>
        <w:t>engage in expanding and refining their teaching practices. More experienced teachers often take on roles related to instructional leadership, decision-making, and mentoring. These differences suggest that AI and digital competencies are not merely acquired</w:t>
      </w:r>
      <w:r>
        <w:t xml:space="preserve"> at different levels but may be shaped differently depending on teachers’ career stages. Nevertheless, prior research on teacher AI and digital competency has primarily focused on defining competency frameworks, examining influencing factors, or evaluating</w:t>
      </w:r>
      <w:r>
        <w:t xml:space="preserve"> general training programs. For example, studies have examined teachers’ attitudes, experiences, and use of AI tools, emphasizing both the opportunities and challenges of AI integration in education (Gamlem et al., 2026). Other research has highlighted the</w:t>
      </w:r>
      <w:r>
        <w:t xml:space="preserve"> importance of digital and AI literacy in teacher education and the need for continuous and contextually relevant training (Rachbauer et al., 2025). However, limited attention has been given to how these competencies differ across career stages and how tea</w:t>
      </w:r>
      <w:r>
        <w:t>cher training programs can be systematically designed to reflect such differences.</w:t>
      </w:r>
    </w:p>
    <w:p w:rsidR="0091781E" w:rsidRDefault="00024C2B">
      <w:pPr>
        <w:ind w:firstLine="200"/>
        <w:jc w:val="both"/>
      </w:pPr>
      <w:r>
        <w:t>To address this gap, this study assumes that teachers’ educational knowledge, attitudes, and professional priorities are shaped differently across their career stages. Based</w:t>
      </w:r>
      <w:r>
        <w:t xml:space="preserve"> on this assumption, this study aims to identify career-stage-specific differences in teachers’ AI and digital competency needs and to explore the design and implementation of differentiated professional development programs that reflect such differences.</w:t>
      </w:r>
    </w:p>
    <w:p w:rsidR="0091781E" w:rsidRDefault="00024C2B">
      <w:pPr>
        <w:ind w:firstLine="200"/>
        <w:jc w:val="both"/>
      </w:pPr>
      <w:r>
        <w:t>Accordingly, the study addresses the following research questions:</w:t>
      </w:r>
    </w:p>
    <w:p w:rsidR="0091781E" w:rsidRDefault="00024C2B">
      <w:pPr>
        <w:numPr>
          <w:ilvl w:val="0"/>
          <w:numId w:val="2"/>
        </w:numPr>
        <w:pBdr>
          <w:top w:val="nil"/>
          <w:left w:val="nil"/>
          <w:bottom w:val="nil"/>
          <w:right w:val="nil"/>
          <w:between w:val="nil"/>
        </w:pBdr>
        <w:jc w:val="both"/>
      </w:pPr>
      <w:r>
        <w:rPr>
          <w:rFonts w:eastAsia="Times New Roman"/>
          <w:color w:val="000000"/>
        </w:rPr>
        <w:t>What differences exist in AI and digital competency needs and characteristics across teacher career stages?</w:t>
      </w:r>
    </w:p>
    <w:p w:rsidR="0091781E" w:rsidRDefault="00024C2B">
      <w:pPr>
        <w:numPr>
          <w:ilvl w:val="0"/>
          <w:numId w:val="2"/>
        </w:numPr>
        <w:pBdr>
          <w:top w:val="nil"/>
          <w:left w:val="nil"/>
          <w:bottom w:val="nil"/>
          <w:right w:val="nil"/>
          <w:between w:val="nil"/>
        </w:pBdr>
        <w:jc w:val="both"/>
      </w:pPr>
      <w:r>
        <w:rPr>
          <w:rFonts w:eastAsia="Times New Roman"/>
          <w:color w:val="000000"/>
        </w:rPr>
        <w:t>How can a career-stage-responsive AI and digital competency training program be s</w:t>
      </w:r>
      <w:r>
        <w:rPr>
          <w:rFonts w:eastAsia="Times New Roman"/>
          <w:color w:val="000000"/>
        </w:rPr>
        <w:t>ystematically designed?</w:t>
      </w:r>
    </w:p>
    <w:p w:rsidR="0091781E" w:rsidRDefault="00024C2B">
      <w:pPr>
        <w:numPr>
          <w:ilvl w:val="0"/>
          <w:numId w:val="2"/>
        </w:numPr>
        <w:pBdr>
          <w:top w:val="nil"/>
          <w:left w:val="nil"/>
          <w:bottom w:val="nil"/>
          <w:right w:val="nil"/>
          <w:between w:val="nil"/>
        </w:pBdr>
        <w:jc w:val="both"/>
      </w:pPr>
      <w:r>
        <w:rPr>
          <w:rFonts w:eastAsia="Times New Roman"/>
          <w:color w:val="000000"/>
        </w:rPr>
        <w:t>What are the key structures, features, and implications of the developed career-stage-based training program when implemented in practice?</w:t>
      </w:r>
    </w:p>
    <w:p w:rsidR="0091781E" w:rsidRDefault="00024C2B">
      <w:pPr>
        <w:ind w:firstLine="200"/>
        <w:jc w:val="both"/>
      </w:pPr>
      <w:r>
        <w:t>Ultimately, this study seeks to propose a practical model for designing and implementing teac</w:t>
      </w:r>
      <w:r>
        <w:t>her professional development programs that reflect career-stage differences, thereby contributing to more context-sensitive and effective teacher learning systems in the era of AI.</w:t>
      </w:r>
    </w:p>
    <w:p w:rsidR="0091781E" w:rsidRDefault="0091781E">
      <w:pPr>
        <w:ind w:firstLine="200"/>
        <w:jc w:val="both"/>
      </w:pPr>
    </w:p>
    <w:p w:rsidR="0091781E" w:rsidRDefault="00024C2B">
      <w:pPr>
        <w:rPr>
          <w:b/>
          <w:bCs/>
          <w:sz w:val="24"/>
          <w:szCs w:val="24"/>
        </w:rPr>
      </w:pPr>
      <w:r>
        <w:rPr>
          <w:b/>
          <w:bCs/>
          <w:sz w:val="24"/>
          <w:szCs w:val="24"/>
        </w:rPr>
        <w:t>2. Conceptual background</w:t>
      </w:r>
    </w:p>
    <w:p w:rsidR="0091781E" w:rsidRDefault="00024C2B">
      <w:pPr>
        <w:ind w:firstLine="196"/>
        <w:rPr>
          <w:b/>
          <w:bCs/>
        </w:rPr>
      </w:pPr>
      <w:r>
        <w:rPr>
          <w:b/>
          <w:bCs/>
        </w:rPr>
        <w:t>2.1 AI–Digital Teacher Training and Educational T</w:t>
      </w:r>
      <w:r>
        <w:rPr>
          <w:b/>
          <w:bCs/>
        </w:rPr>
        <w:t>ransformation</w:t>
      </w:r>
    </w:p>
    <w:p w:rsidR="0091781E" w:rsidRDefault="00024C2B">
      <w:pPr>
        <w:ind w:firstLine="200"/>
        <w:jc w:val="both"/>
      </w:pPr>
      <w:r>
        <w:t>Teacher professional development is not a linear process but rather a dynamic progression shaped by teachers’ evolving roles, experiences, and professional contexts. In recent years, the rapid advancement of artificial intelligence (AI) and d</w:t>
      </w:r>
      <w:r>
        <w:t>igital technologies has brought about profound structural changes in education, reshaping not only instructional methods but also the broader purposes and practices of teaching and learning. In particular, the emergence of generative AI and data-driven edu</w:t>
      </w:r>
      <w:r>
        <w:t xml:space="preserve">cational systems has enabled new forms of personalized </w:t>
      </w:r>
      <w:r>
        <w:lastRenderedPageBreak/>
        <w:t>learning, automated feedback, and real-time learning analytics, thereby accelerating the transition toward more adaptive and learner-centered educational environments (Abad-Segura et al., 2020; Ng et a</w:t>
      </w:r>
      <w:r>
        <w:t>l., 2023).</w:t>
      </w:r>
    </w:p>
    <w:p w:rsidR="0091781E" w:rsidRDefault="00024C2B">
      <w:pPr>
        <w:ind w:firstLine="200"/>
        <w:jc w:val="both"/>
      </w:pPr>
      <w:r>
        <w:t>Within this evolving landscape, the role of teachers has expanded significantly. Teachers are no longer merely transmitters of knowledge but are increasingly positioned as designers, facilitators, and mediators of AI-enhanced learning environmen</w:t>
      </w:r>
      <w:r>
        <w:t>ts. This shift requires teachers to integrate AI tools meaningfully into their pedagogical practices while also supporting students in developing competencies necessary for participation in an AI-driven society. Consequently, teacher professionalism is bei</w:t>
      </w:r>
      <w:r>
        <w:t xml:space="preserve">ng redefined as an integrated construct that encompasses technological knowledge, pedagogical reasoning, ethical awareness, and data-informed decision-making (Mishra &amp; Koehler, 2006; Lorenz &amp; Romeike, 2023). In response to these changes, a growing body of </w:t>
      </w:r>
      <w:r>
        <w:t>research has focused on conceptualizing and structuring teachers’ AI–digital competencies. Frameworks such as DigCompEdu provide systematic models for understanding teachers’ digital competence across areas including professional engagement, digital resour</w:t>
      </w:r>
      <w:r>
        <w:t>ce use, teaching and learning, assessment, and learner empowerment (Vuorikari et al., 2016; Basilotta-Gómez-Pablos et al., 2022). Similarly, the AI-PACK framework extends the traditional TPACK model by incorporating AI-specific knowledge domains and emphas</w:t>
      </w:r>
      <w:r>
        <w:t>izing the integration of technological, pedagogical, and content knowledge within AI-supported teaching contexts (Lorenz &amp; Romeike, 2023). In addition, Shin et al. (2023) proposed a process-oriented framework that aligns AI–digital competencies with the in</w:t>
      </w:r>
      <w:r>
        <w:t>structional cycle, including preparation, design, implementation, evaluation, and professional development, thereby highlighting their application in real classroom settings.</w:t>
      </w:r>
    </w:p>
    <w:p w:rsidR="0091781E" w:rsidRDefault="00024C2B">
      <w:pPr>
        <w:ind w:firstLine="200"/>
        <w:jc w:val="both"/>
      </w:pPr>
      <w:r>
        <w:t>Beyond theoretical frameworks, many countries have actively promoted national-lev</w:t>
      </w:r>
      <w:r>
        <w:t>el initiatives to enhance teachers’ AI and digital competencies. For example, the AI4K12 initiative in the United States provides guidelines for integrating AI education into K–12 curricula and emphasizes teacher preparation in AI literacy (Touretzky et al</w:t>
      </w:r>
      <w:r>
        <w:t>., 2019). Japan’s “AI Strategy 2019” highlights the systematic development of AI competencies among teachers and students as a national priority (Cabinet Office, Government of Japan, 2019). In Finland, interdisciplinary programs such as “Elements of AI” ha</w:t>
      </w:r>
      <w:r>
        <w:t>ve been implemented to support both teachers and the general public in developing foundational AI understanding (Reiman et al., 2020). In addition, international organizations such as UNESCO have proposed comprehensive AI competency frameworks for teachers</w:t>
      </w:r>
      <w:r>
        <w:t>, emphasizing human-centered values, ethical considerations, pedagogical integration, and continuous professional development (UNESCO, 2021).</w:t>
      </w:r>
    </w:p>
    <w:p w:rsidR="0091781E" w:rsidRDefault="00024C2B">
      <w:pPr>
        <w:ind w:firstLine="200"/>
        <w:jc w:val="both"/>
      </w:pPr>
      <w:r>
        <w:t>Despite these conceptual and policy-level advancements, a persistent limitation remains in the design and implemen</w:t>
      </w:r>
      <w:r>
        <w:t>tation of teacher training programs. Many existing professional development initiatives continue to emphasize technical skill acquisition or tool-based instruction, often neglecting the pedagogical integration and contextual realities of classroom practice</w:t>
      </w:r>
      <w:r>
        <w:t xml:space="preserve"> (Basilotta-Gómez-Pablos et al., 2022). Furthermore, such programs are frequently delivered in standardized formats, providing uniform content to all teachers regardless of their professional experience, roles, or developmental needs. This one-size-fits-al</w:t>
      </w:r>
      <w:r>
        <w:t xml:space="preserve">l approach fails to account for the diversity of teachers’ professional contexts and trajectories, thereby limiting the effectiveness and sustainability of teacher learning. As emphasized in recent research, effective teacher training in the AI era should </w:t>
      </w:r>
      <w:r>
        <w:t>move beyond isolated technical training toward a more comprehensive model of professional development that reflects teachers’ evolving roles, instructional contexts, and long-term career development (Markauskaite et al., 2023).</w:t>
      </w:r>
    </w:p>
    <w:p w:rsidR="0091781E" w:rsidRDefault="00024C2B">
      <w:pPr>
        <w:ind w:firstLine="200"/>
        <w:jc w:val="both"/>
      </w:pPr>
      <w:r>
        <w:t xml:space="preserve">However, despite the global </w:t>
      </w:r>
      <w:r>
        <w:t>expansion of AI-related teacher training initiatives, most approaches remain focused on general competency frameworks, AI literacy, and system-level implementation. Relatively limited attention has been given to how teacher training can be differentiated a</w:t>
      </w:r>
      <w:r>
        <w:t>ccording to teachers’ career stages and professional trajectories. This gap highlights the need for a more nuanced and career-responsive approach to AI–digital teacher training.</w:t>
      </w:r>
    </w:p>
    <w:p w:rsidR="0091781E" w:rsidRDefault="00024C2B">
      <w:pPr>
        <w:ind w:firstLine="200"/>
        <w:jc w:val="both"/>
      </w:pPr>
      <w:r>
        <w:t>Accordingly, there is a growing need to reconceptualize AI–digital teacher tra</w:t>
      </w:r>
      <w:r>
        <w:t>ining as a context-sensitive and career-stage-responsive professional development process. Such an approach should consider not only what teachers need to learn but also when and why different competencies become relevant across their professional trajecto</w:t>
      </w:r>
      <w:r>
        <w:t>ries.</w:t>
      </w:r>
    </w:p>
    <w:p w:rsidR="0091781E" w:rsidRDefault="0091781E">
      <w:pPr>
        <w:ind w:firstLine="200"/>
        <w:jc w:val="both"/>
      </w:pPr>
    </w:p>
    <w:p w:rsidR="0091781E" w:rsidRDefault="00024C2B">
      <w:pPr>
        <w:rPr>
          <w:b/>
          <w:bCs/>
        </w:rPr>
      </w:pPr>
      <w:r>
        <w:rPr>
          <w:b/>
          <w:bCs/>
        </w:rPr>
        <w:t>2.2 Teacher Career Stages and AI–Digital Professional Competency</w:t>
      </w:r>
    </w:p>
    <w:p w:rsidR="0091781E" w:rsidRDefault="00024C2B">
      <w:pPr>
        <w:jc w:val="both"/>
      </w:pPr>
      <w:r>
        <w:t>Teacher professional development is not a static process but a dynamic and evolving trajectory shaped by teachers’ experiences, roles, and contextual responsibilities over time. Career stage theory provides a useful framework for understanding this develop</w:t>
      </w:r>
      <w:r>
        <w:t>mental progression, suggesting that teachers’ knowledge, practices, and professional identities change qualitatively across different phases of their careers (Fuller, 1969; Huberman, 1989).</w:t>
      </w:r>
    </w:p>
    <w:p w:rsidR="0091781E" w:rsidRDefault="00024C2B">
      <w:pPr>
        <w:jc w:val="both"/>
      </w:pPr>
      <w:r>
        <w:t>Building on prior research and policy frameworks, this study adopt</w:t>
      </w:r>
      <w:r>
        <w:t xml:space="preserve">s a four-stage model of teacher career development, consisting of the Induction, Development, Mastery, and Leadership stages. These stages are not </w:t>
      </w:r>
      <w:r>
        <w:lastRenderedPageBreak/>
        <w:t>viewed as rigid chronological categories but as flexible developmental contexts that reflect teachers’ evolvi</w:t>
      </w:r>
      <w:r>
        <w:t>ng professional roles and capacities.</w:t>
      </w:r>
    </w:p>
    <w:p w:rsidR="0091781E" w:rsidRDefault="00024C2B">
      <w:pPr>
        <w:numPr>
          <w:ilvl w:val="0"/>
          <w:numId w:val="3"/>
        </w:numPr>
        <w:pBdr>
          <w:top w:val="nil"/>
          <w:left w:val="nil"/>
          <w:bottom w:val="nil"/>
          <w:right w:val="nil"/>
          <w:between w:val="nil"/>
        </w:pBdr>
        <w:jc w:val="both"/>
      </w:pPr>
      <w:r>
        <w:rPr>
          <w:rFonts w:eastAsia="Times New Roman"/>
          <w:color w:val="000000"/>
        </w:rPr>
        <w:t>Induction Stage (0–5 years): Teachers in this stage focus on adapting to school environments and establishing foundational teaching competencies. Their primary concerns include classroom management, lesson execution, and professional identity formation. In</w:t>
      </w:r>
      <w:r>
        <w:rPr>
          <w:rFonts w:eastAsia="Times New Roman"/>
          <w:color w:val="000000"/>
        </w:rPr>
        <w:t xml:space="preserve"> terms of AI–digital competencies, teachers at this stage tend to prioritize basic understanding of AI technologies, ethical awareness, and the use of digital tools to support instructional stability (Falloon, 2020).</w:t>
      </w:r>
    </w:p>
    <w:p w:rsidR="0091781E" w:rsidRDefault="00024C2B">
      <w:pPr>
        <w:numPr>
          <w:ilvl w:val="0"/>
          <w:numId w:val="3"/>
        </w:numPr>
        <w:pBdr>
          <w:top w:val="nil"/>
          <w:left w:val="nil"/>
          <w:bottom w:val="nil"/>
          <w:right w:val="nil"/>
          <w:between w:val="nil"/>
        </w:pBdr>
        <w:jc w:val="both"/>
      </w:pPr>
      <w:r>
        <w:rPr>
          <w:rFonts w:eastAsia="Times New Roman"/>
          <w:color w:val="000000"/>
        </w:rPr>
        <w:t>Development Stage (5–15 years): As teac</w:t>
      </w:r>
      <w:r>
        <w:rPr>
          <w:rFonts w:eastAsia="Times New Roman"/>
          <w:color w:val="000000"/>
        </w:rPr>
        <w:t>hers gain experience, they develop greater confidence and autonomy in their instructional practices. They begin to expand and refine their teaching strategies, actively integrating AI and digital tools into lesson design, student engagement, and assessment</w:t>
      </w:r>
      <w:r>
        <w:rPr>
          <w:rFonts w:eastAsia="Times New Roman"/>
          <w:color w:val="000000"/>
        </w:rPr>
        <w:t xml:space="preserve"> practices. Collaboration with peers and the use of data-informed instructional approaches become increasingly important at this stage (Castañeda et al., 2022).</w:t>
      </w:r>
    </w:p>
    <w:p w:rsidR="0091781E" w:rsidRDefault="00024C2B">
      <w:pPr>
        <w:numPr>
          <w:ilvl w:val="0"/>
          <w:numId w:val="3"/>
        </w:numPr>
        <w:pBdr>
          <w:top w:val="nil"/>
          <w:left w:val="nil"/>
          <w:bottom w:val="nil"/>
          <w:right w:val="nil"/>
          <w:between w:val="nil"/>
        </w:pBdr>
        <w:jc w:val="both"/>
      </w:pPr>
      <w:r>
        <w:rPr>
          <w:rFonts w:eastAsia="Times New Roman"/>
          <w:color w:val="000000"/>
        </w:rPr>
        <w:t>Mastery Stage (15–25 years): Teachers at this stage demonstrate a high level of professional ex</w:t>
      </w:r>
      <w:r>
        <w:rPr>
          <w:rFonts w:eastAsia="Times New Roman"/>
          <w:color w:val="000000"/>
        </w:rPr>
        <w:t>pertise and often take on roles as mentors or instructional leaders within their schools. Their use of AI technologies extends beyond classroom application to include curriculum innovation, data-driven decision-making, and support for other teachers’ profe</w:t>
      </w:r>
      <w:r>
        <w:rPr>
          <w:rFonts w:eastAsia="Times New Roman"/>
          <w:color w:val="000000"/>
        </w:rPr>
        <w:t>ssional development (Basilotta-Gómez-Pablos et al., 2022).</w:t>
      </w:r>
    </w:p>
    <w:p w:rsidR="0091781E" w:rsidRDefault="00024C2B">
      <w:pPr>
        <w:numPr>
          <w:ilvl w:val="0"/>
          <w:numId w:val="3"/>
        </w:numPr>
        <w:pBdr>
          <w:top w:val="nil"/>
          <w:left w:val="nil"/>
          <w:bottom w:val="nil"/>
          <w:right w:val="nil"/>
          <w:between w:val="nil"/>
        </w:pBdr>
        <w:jc w:val="both"/>
      </w:pPr>
      <w:r>
        <w:rPr>
          <w:rFonts w:eastAsia="Times New Roman"/>
          <w:color w:val="000000"/>
        </w:rPr>
        <w:t>Leadership Stage (25+ years): In this stage, teachers assume broader responsibilities related to school leadership, policy implementation, and educational innovation. AI–digital competencies at thi</w:t>
      </w:r>
      <w:r>
        <w:rPr>
          <w:rFonts w:eastAsia="Times New Roman"/>
          <w:color w:val="000000"/>
        </w:rPr>
        <w:t>s level involve not only advanced application but also ethical governance, strategic decision-making, and the cultivation of a sustainable digital culture within educational institutions (Mishra &amp; Koehler, 2006).</w:t>
      </w:r>
    </w:p>
    <w:p w:rsidR="0091781E" w:rsidRDefault="00024C2B">
      <w:pPr>
        <w:jc w:val="both"/>
      </w:pPr>
      <w:r>
        <w:t xml:space="preserve">These distinctions indicate that teachers’ </w:t>
      </w:r>
      <w:r>
        <w:t>AI–digital competencies are not simply differentiated by levels of proficiency but are qualitatively shaped by their career stages. In other words, the nature, purpose, and application of AI–digital competencies evolve as teachers progress through their pr</w:t>
      </w:r>
      <w:r>
        <w:t>ofessional trajectories.</w:t>
      </w:r>
    </w:p>
    <w:p w:rsidR="0091781E" w:rsidRDefault="00024C2B">
      <w:pPr>
        <w:jc w:val="both"/>
      </w:pPr>
      <w:r>
        <w:t>Therefore, teacher training programs must move beyond uniform competency models and instead adopt differentiated approaches that reflect career-stage-specific needs. By aligning professional development with teachers’ evolving role</w:t>
      </w:r>
      <w:r>
        <w:t>s and responsibilities, it becomes possible to design more meaningful, relevant, and sustainable training systems that support long-term teacher growth in the era of AI.</w:t>
      </w:r>
    </w:p>
    <w:p w:rsidR="0091781E" w:rsidRDefault="0091781E">
      <w:pPr>
        <w:jc w:val="both"/>
      </w:pPr>
    </w:p>
    <w:p w:rsidR="0091781E" w:rsidRDefault="00024C2B">
      <w:pPr>
        <w:rPr>
          <w:b/>
          <w:bCs/>
          <w:sz w:val="24"/>
          <w:szCs w:val="24"/>
        </w:rPr>
      </w:pPr>
      <w:r>
        <w:rPr>
          <w:b/>
          <w:bCs/>
          <w:sz w:val="24"/>
          <w:szCs w:val="24"/>
        </w:rPr>
        <w:t>3. Program design and implementation</w:t>
      </w:r>
    </w:p>
    <w:p w:rsidR="0091781E" w:rsidRDefault="00024C2B">
      <w:pPr>
        <w:ind w:firstLine="200"/>
        <w:jc w:val="both"/>
      </w:pPr>
      <w:r>
        <w:t>This study aimed to develop and implement a care</w:t>
      </w:r>
      <w:r>
        <w:t>er-stage-responsive AI–digital competency training program for teachers. To achieve this, the study adopted the ADDIE model (Analysis, Design, Development, Implementation, and Evaluation) as a systematic instructional design framework. The ADDIE model enab</w:t>
      </w:r>
      <w:r>
        <w:t>led a structured yet iterative process in which findings from earlier stages informed subsequent stages.</w:t>
      </w:r>
    </w:p>
    <w:p w:rsidR="0091781E" w:rsidRDefault="00024C2B">
      <w:pPr>
        <w:ind w:firstLine="200"/>
        <w:jc w:val="both"/>
      </w:pPr>
      <w:r>
        <w:t>In particular, this study integrated competency framework development, needs analysis, program design, and implementation into a unified process. Teach</w:t>
      </w:r>
      <w:r>
        <w:t>ers were categorized into four career stages—Induction, Growth, Maturity, and Leadership—based on their professional experience and roles, and the training program was designed to reflect the differentiated needs of each stage.</w:t>
      </w:r>
    </w:p>
    <w:p w:rsidR="0091781E" w:rsidRDefault="0091781E">
      <w:pPr>
        <w:ind w:firstLine="200"/>
        <w:jc w:val="both"/>
      </w:pPr>
    </w:p>
    <w:p w:rsidR="0091781E" w:rsidRDefault="00024C2B">
      <w:pPr>
        <w:ind w:firstLine="196"/>
        <w:rPr>
          <w:b/>
          <w:bCs/>
        </w:rPr>
      </w:pPr>
      <w:r>
        <w:rPr>
          <w:b/>
          <w:bCs/>
        </w:rPr>
        <w:t>3.1 Analysis Phase</w:t>
      </w:r>
    </w:p>
    <w:p w:rsidR="0091781E" w:rsidRDefault="00024C2B">
      <w:pPr>
        <w:jc w:val="both"/>
      </w:pPr>
      <w:r>
        <w:t>The anal</w:t>
      </w:r>
      <w:r>
        <w:t>ysis phase was conducted to identify how teachers’ AI–digital competency needs differ across career stages and to establish an empirical foundation for the design of a differentiated professional development program. Rather than assuming that teachers shar</w:t>
      </w:r>
      <w:r>
        <w:t>e a common set of professional development needs, this phase sought to examine whether teachers at different stages of their careers demonstrate distinct competency profiles, instructional concerns, and training preferences.</w:t>
      </w:r>
    </w:p>
    <w:p w:rsidR="0091781E" w:rsidRDefault="0091781E">
      <w:pPr>
        <w:jc w:val="both"/>
      </w:pPr>
    </w:p>
    <w:p w:rsidR="0091781E" w:rsidRDefault="00024C2B">
      <w:pPr>
        <w:jc w:val="both"/>
      </w:pPr>
      <w:r>
        <w:t xml:space="preserve">To achieve this, the analysis </w:t>
      </w:r>
      <w:r>
        <w:t>integrated four sources of evidence:</w:t>
      </w:r>
    </w:p>
    <w:p w:rsidR="0091781E" w:rsidRDefault="00024C2B">
      <w:pPr>
        <w:jc w:val="both"/>
      </w:pPr>
      <w:r>
        <w:t>(1) a previously developed AI–digital competency framework,</w:t>
      </w:r>
    </w:p>
    <w:p w:rsidR="0091781E" w:rsidRDefault="00024C2B">
      <w:pPr>
        <w:jc w:val="both"/>
      </w:pPr>
      <w:r>
        <w:t>(2) a nationwide competency and needs survey,</w:t>
      </w:r>
    </w:p>
    <w:p w:rsidR="0091781E" w:rsidRDefault="00024C2B">
      <w:pPr>
        <w:jc w:val="both"/>
      </w:pPr>
      <w:r>
        <w:lastRenderedPageBreak/>
        <w:t>(3) focus group interviews (FGIs) conducted by career stage, and</w:t>
      </w:r>
    </w:p>
    <w:p w:rsidR="0091781E" w:rsidRDefault="00024C2B">
      <w:pPr>
        <w:jc w:val="both"/>
      </w:pPr>
      <w:r>
        <w:t xml:space="preserve">(4) a training topic preference survey used for </w:t>
      </w:r>
      <w:r>
        <w:t>program development. Together, these data provided both quantitative and qualitative insights into the differentiated structure of teachers’ AI–digital professional development needs.</w:t>
      </w:r>
    </w:p>
    <w:p w:rsidR="0091781E" w:rsidRDefault="00024C2B">
      <w:pPr>
        <w:jc w:val="both"/>
      </w:pPr>
      <w:r>
        <w:t>First, the analysis was anchored in a previously developed AI–digital co</w:t>
      </w:r>
      <w:r>
        <w:t xml:space="preserve">mpetency framework for teachers, which organized teacher competency into three dimensions: understanding AI and digital technologies, pedagogical application of AI in teaching, and professional development for AI-integrated teaching. These dimensions were </w:t>
      </w:r>
      <w:r>
        <w:t>further elaborated into fifteen sub-competencies and multiple behavioral indicators. This framework served not only as a measurement tool but also as a conceptual lens for interpreting differences across career stages. Second, the nationwide survey results</w:t>
      </w:r>
      <w:r>
        <w:t xml:space="preserve"> showed that teachers’ AI–digital competency levels varied across career stages in both magnitude and emphasis. In general, teachers in the Growth and Maturity stages tended to report higher average competency levels than those in the Induction and Leaders</w:t>
      </w:r>
      <w:r>
        <w:t>hip stages, suggesting that AI–digital competency is not simply a matter of accumulated years of experience but is closely related to teachers’ current professional roles and demands. For example, in the Induction stage, teachers showed relatively moderate</w:t>
      </w:r>
      <w:r>
        <w:t xml:space="preserve"> levels across most domains, with higher averages in understanding AI use in education (M = 4.01) and copyright awareness (M = 3.95), but comparatively lower levels in individualized learning design (M = 3.80), assessment design (M = 3.78), and especially </w:t>
      </w:r>
      <w:r>
        <w:t>technical problem diagnosis (M = 3.69). This suggests that beginning teachers may be relatively open to AI and digital tools conceptually, yet still lack confidence in designing and implementing instruction using such tools in pedagogically meaningful ways</w:t>
      </w:r>
      <w:r>
        <w:t>.</w:t>
      </w:r>
    </w:p>
    <w:p w:rsidR="0091781E" w:rsidRDefault="00024C2B">
      <w:pPr>
        <w:jc w:val="both"/>
      </w:pPr>
      <w:r>
        <w:t>In the Growth stage, teachers reported some of the highest scores across the framework, including understanding AI use in education (M = 4.20), social impact understanding (M = 4.14), instructional media use (M = 4.12), and evaluation data interpretation</w:t>
      </w:r>
      <w:r>
        <w:t xml:space="preserve"> (M = 4.11). These patterns suggest that teachers in this stage are actively integrating AI and digital tools into teaching and are increasingly concerned with how these tools can enhance lesson design, student participation, and instructional decision-mak</w:t>
      </w:r>
      <w:r>
        <w:t>ing. However, even in this stage, technical problem diagnosis (M = 3.89) remained comparatively lower, indicating that practical implementation challenges continue to persist.</w:t>
      </w:r>
    </w:p>
    <w:p w:rsidR="0091781E" w:rsidRDefault="00024C2B">
      <w:pPr>
        <w:jc w:val="both"/>
      </w:pPr>
      <w:r>
        <w:t>Teachers in the Maturity stage also demonstrated relatively high competency levels, particularly in educational use understanding (M = 4.17), social impact understanding (M = 4.13), copyright awareness (M = 4.14), and evaluation data interpretation (M = 4.</w:t>
      </w:r>
      <w:r>
        <w:t>09). However, compared with the Growth stage, their responses suggested a more selective and strategic orientation toward AI use. Their lower scores in technical problem diagnosis (M = 3.82) and assessment design (M = 3.95) indicate that while they possess</w:t>
      </w:r>
      <w:r>
        <w:t xml:space="preserve"> substantial professional judgment and experience, they may be less interested in novelty itself and more concerned with whether AI use is educationally worthwhile and practically sustainable. A particularly meaningful pattern emerged in the Leadership sta</w:t>
      </w:r>
      <w:r>
        <w:t>ge. Despite being the most experienced group, teachers in this stage reported the lowest averages across nearly all competency domains, including basic AI knowledge (M = 3.71), curriculum redesign (M = 3.61), individualized learning design (M = 3.49), asse</w:t>
      </w:r>
      <w:r>
        <w:t>ssment design (M = 3.44), and technical problem diagnosis (M = 3.36). These findings are important because they suggest that the most senior teachers are not necessarily the most AI-ready. Rather, they may experience a distinct kind of professional need: n</w:t>
      </w:r>
      <w:r>
        <w:t>ot one of basic deficiency alone, but one shaped by selective adoption, higher thresholds for perceived usefulness, and the need for supportive re-entry into rapidly evolving digital environments. While these quantitative patterns provided an important ove</w:t>
      </w:r>
      <w:r>
        <w:t>rview, the FGI data offered much richer insight into how teachers in each career stage interpret and prioritize AI–digital competency in relation to their professional practice.</w:t>
      </w:r>
    </w:p>
    <w:p w:rsidR="0091781E" w:rsidRDefault="00024C2B">
      <w:pPr>
        <w:jc w:val="both"/>
      </w:pPr>
      <w:r>
        <w:t>Teachers in the Induction stage were characterized by high familiarity with di</w:t>
      </w:r>
      <w:r>
        <w:t>gital technologies but limited pedagogical structuring of that familiarity. They tended to approach AI with curiosity and openness, often experimenting with tools in exploratory ways, but struggled to connect AI use with instructional purpose and education</w:t>
      </w:r>
      <w:r>
        <w:t>al design. Their comments suggest that, at this stage, AI is often experienced first as an interesting or useful tool, but not yet as an integrated pedagogical resource. This group therefore expressed strong needs related to meaningful use, curriculum reco</w:t>
      </w:r>
      <w:r>
        <w:t xml:space="preserve">nstruction, and individualized learning design, as well as practical concerns about copyright when using AI-generated content. In other words, their challenge was not access to tools, but learning how to use them educationally and responsibly. Teachers in </w:t>
      </w:r>
      <w:r>
        <w:t>the Growth stage displayed a markedly different orientation. They were less concerned with whether AI could be used and more concerned with how to use it well. Their FGI responses emphasized the importance of designing instruction in ways that meaningfully</w:t>
      </w:r>
      <w:r>
        <w:t xml:space="preserve"> integrate AI into learning objectives and classroom practice. This group strongly preferred practice-based training, collaborative lesson design, and case-based learning, suggesting that they were in a stage of professional experimentation and expansion. </w:t>
      </w:r>
      <w:r>
        <w:t>One representative theme that emerged was the rejection of “showcase-style” technology use; participants emphasized that AI should not be used merely because it is innovative, but because it supports more effective and purposeful teaching. This stage there</w:t>
      </w:r>
      <w:r>
        <w:t>fore foregrounded competencies such as curriculum redesign, instructional media use, and evaluation data interpretation.</w:t>
      </w:r>
    </w:p>
    <w:p w:rsidR="0091781E" w:rsidRDefault="0091781E">
      <w:pPr>
        <w:jc w:val="both"/>
      </w:pPr>
    </w:p>
    <w:p w:rsidR="0091781E" w:rsidRDefault="00024C2B">
      <w:pPr>
        <w:jc w:val="both"/>
      </w:pPr>
      <w:r>
        <w:t>Teachers in the Maturity stage approached AI and digital tools from an even more strategic and critical perspective. Their responses r</w:t>
      </w:r>
      <w:r>
        <w:t>evealed a strong concern for practicality, instructional value, and immediate applicability. Unlike the Growth stage, which emphasized expansion and redesign, Maturity-stage teachers often asked whether a given tool was actually worth using, under what con</w:t>
      </w:r>
      <w:r>
        <w:t>ditions it would be pedagogically appropriate, and whether it could realistically be integrated into their daily instructional and administrative responsibilities. This stage also demonstrated heightened sensitivity to issues such as data use, tool selecti</w:t>
      </w:r>
      <w:r>
        <w:t>on, and privacy, reflecting their broader experience in navigating both classroom and institutional responsibilities. Importantly, their needs were less about exposure to new tools and more about judgment, selectivity, and professional efficiency. The Lead</w:t>
      </w:r>
      <w:r>
        <w:t>ership stage revealed perhaps the most distinctive pattern. Teachers in this stage consistently framed AI and digital tools in relation to the essence of teaching rather than technological novelty. They were less interested in simply learning more tools an</w:t>
      </w:r>
      <w:r>
        <w:t>d more concerned with questions such as: Why should AI be used in education? What is educationally lost or gained through its use? How can AI be aligned with ethical responsibility and long-term teacher professionalism? Participants in this stage often exp</w:t>
      </w:r>
      <w:r>
        <w:t>ressed a desire to “go back to the basics,” indicating that foundational AI and digital understanding remained necessary. At the same time, they also articulated needs related to mentoring, ethical literacy, privacy protection, and the cultivation of a sus</w:t>
      </w:r>
      <w:r>
        <w:t xml:space="preserve">tainable AI-integrated school culture. Their preferred learning modes—such as mentor–mentee structures and team-based learning—also differed from the more tool-oriented preferences of other groups. This suggests that AI professional development for highly </w:t>
      </w:r>
      <w:r>
        <w:t>experienced teachers should not assume advanced technical fluency, but instead recognize their need for recontextualized, reflective, and professionally meaningful entry points. The training topic preference survey further reinforced these stage-specific p</w:t>
      </w:r>
      <w:r>
        <w:t>atterns. Induction-stage teachers showed the strongest demand for immediately applicable and high-utility topics such as Google Gemini for lesson design and assessment (56.6%), Gemini and NotebookLM for lesson design and work efficiency (52.9%), and “AI·di</w:t>
      </w:r>
      <w:r>
        <w:t>gital tools that can be used right away in class” (43.9%), suggesting a strong orientation toward survival, efficiency, and rapid applicability. By contrast, Growth-stage teachers showed strong demand not only for AI-based lesson design and workload reduct</w:t>
      </w:r>
      <w:r>
        <w:t>ion (49.37%) but also for collaborative and design-oriented tools such as Canva, Google Docs/Slides, and Padlet, indicating that they were already looking beyond basic adoption toward instructional redesign and collaborative classroom practice.</w:t>
      </w:r>
    </w:p>
    <w:p w:rsidR="0091781E" w:rsidRDefault="00024C2B">
      <w:pPr>
        <w:jc w:val="both"/>
      </w:pPr>
      <w:r>
        <w:t>Maturity-st</w:t>
      </w:r>
      <w:r>
        <w:t>age teachers expressed the strongest interest in themes related to optimization, professional efficiency, and immediate classroom application, such as “Gemini and NotebookLM for instruction and work optimization” (54.2%) and “AI EdTech tools that can be ap</w:t>
      </w:r>
      <w:r>
        <w:t>plied immediately to teaching and work” (45.2%). This again reflects a pragmatic orientation in which usefulness and applicability are key filters for engagement.</w:t>
      </w:r>
    </w:p>
    <w:p w:rsidR="0091781E" w:rsidRDefault="00024C2B">
      <w:pPr>
        <w:jc w:val="both"/>
      </w:pPr>
      <w:r>
        <w:t>Meanwhile, Leadership-stage teachers did not show a narrow concentration around a single tool</w:t>
      </w:r>
      <w:r>
        <w:t xml:space="preserve"> or topic, but rather a broad distribution of interest across topics such as basic device use, AI-supported personalized learning, video creation, digital ethics, and media literacy. This dispersion suggests that teachers in this stage do not simply requir</w:t>
      </w:r>
      <w:r>
        <w:t>e “advanced AI training,” but instead benefit from broader and more flexible professional development opportunities that support both re-entry into digital practice and reflection on its educational meaning. Taken together, the analysis phase suggests that</w:t>
      </w:r>
      <w:r>
        <w:t xml:space="preserve"> teachers’ AI–digital competency needs are best understood not as a uniform developmental ladder but as career-stage-responsive competency configurations. Each career stage reflected a distinct combination of perceived competency level, professional concer</w:t>
      </w:r>
      <w:r>
        <w:t>n, learning preference, and instructional orientation. In this sense, the findings justify the need for a differentiated training model that does not merely simplify or intensify the same content, but instead reorganizes training around the different quest</w:t>
      </w:r>
      <w:r>
        <w:t>ions teachers are asking at different points in their professional lives.</w:t>
      </w:r>
    </w:p>
    <w:p w:rsidR="0091781E" w:rsidRDefault="0091781E">
      <w:pPr>
        <w:jc w:val="both"/>
      </w:pPr>
    </w:p>
    <w:p w:rsidR="0091781E" w:rsidRDefault="00024C2B">
      <w:pPr>
        <w:jc w:val="both"/>
        <w:rPr>
          <w:b/>
          <w:bCs/>
        </w:rPr>
      </w:pPr>
      <w:r>
        <w:rPr>
          <w:b/>
          <w:bCs/>
        </w:rPr>
        <w:t>Table 1. Summary of Career-Stage-Specific AI–Digital Competency Needs</w:t>
      </w:r>
    </w:p>
    <w:tbl>
      <w:tblPr>
        <w:tblStyle w:val="af2"/>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913"/>
        <w:gridCol w:w="1914"/>
        <w:gridCol w:w="1914"/>
        <w:gridCol w:w="1914"/>
      </w:tblGrid>
      <w:tr w:rsidR="0091781E">
        <w:tc>
          <w:tcPr>
            <w:tcW w:w="1271" w:type="dxa"/>
            <w:vAlign w:val="center"/>
          </w:tcPr>
          <w:p w:rsidR="0091781E" w:rsidRDefault="00024C2B">
            <w:pPr>
              <w:jc w:val="center"/>
              <w:rPr>
                <w:b/>
                <w:bCs/>
              </w:rPr>
            </w:pPr>
            <w:r>
              <w:rPr>
                <w:b/>
                <w:bCs/>
              </w:rPr>
              <w:t>Career Stage</w:t>
            </w:r>
          </w:p>
        </w:tc>
        <w:tc>
          <w:tcPr>
            <w:tcW w:w="1913" w:type="dxa"/>
            <w:vAlign w:val="center"/>
          </w:tcPr>
          <w:p w:rsidR="0091781E" w:rsidRDefault="00024C2B">
            <w:pPr>
              <w:jc w:val="center"/>
              <w:rPr>
                <w:b/>
                <w:bCs/>
              </w:rPr>
            </w:pPr>
            <w:r>
              <w:rPr>
                <w:b/>
                <w:bCs/>
              </w:rPr>
              <w:t>Core Professional Question</w:t>
            </w:r>
          </w:p>
        </w:tc>
        <w:tc>
          <w:tcPr>
            <w:tcW w:w="1914" w:type="dxa"/>
            <w:vAlign w:val="center"/>
          </w:tcPr>
          <w:p w:rsidR="0091781E" w:rsidRDefault="00024C2B">
            <w:pPr>
              <w:jc w:val="center"/>
              <w:rPr>
                <w:b/>
                <w:bCs/>
              </w:rPr>
            </w:pPr>
            <w:r>
              <w:rPr>
                <w:b/>
                <w:bCs/>
              </w:rPr>
              <w:t>Main Characteristics</w:t>
            </w:r>
          </w:p>
        </w:tc>
        <w:tc>
          <w:tcPr>
            <w:tcW w:w="1914" w:type="dxa"/>
            <w:vAlign w:val="center"/>
          </w:tcPr>
          <w:p w:rsidR="0091781E" w:rsidRDefault="00024C2B">
            <w:pPr>
              <w:jc w:val="center"/>
              <w:rPr>
                <w:b/>
                <w:bCs/>
              </w:rPr>
            </w:pPr>
            <w:r>
              <w:rPr>
                <w:b/>
                <w:bCs/>
              </w:rPr>
              <w:t>Emphasized Competencies</w:t>
            </w:r>
          </w:p>
        </w:tc>
        <w:tc>
          <w:tcPr>
            <w:tcW w:w="1914" w:type="dxa"/>
            <w:vAlign w:val="center"/>
          </w:tcPr>
          <w:p w:rsidR="0091781E" w:rsidRDefault="00024C2B">
            <w:pPr>
              <w:jc w:val="center"/>
              <w:rPr>
                <w:b/>
                <w:bCs/>
              </w:rPr>
            </w:pPr>
            <w:r>
              <w:rPr>
                <w:b/>
                <w:bCs/>
              </w:rPr>
              <w:t>Preferred Training Orienta</w:t>
            </w:r>
            <w:r>
              <w:rPr>
                <w:b/>
                <w:bCs/>
              </w:rPr>
              <w:t>tion</w:t>
            </w:r>
          </w:p>
        </w:tc>
      </w:tr>
      <w:tr w:rsidR="0091781E">
        <w:tc>
          <w:tcPr>
            <w:tcW w:w="1271" w:type="dxa"/>
            <w:vAlign w:val="center"/>
          </w:tcPr>
          <w:p w:rsidR="0091781E" w:rsidRDefault="00024C2B">
            <w:pPr>
              <w:jc w:val="center"/>
            </w:pPr>
            <w:r>
              <w:rPr>
                <w:b/>
                <w:bCs/>
              </w:rPr>
              <w:t>Induction</w:t>
            </w:r>
            <w:r>
              <w:t xml:space="preserve"> (0–5 years)</w:t>
            </w:r>
          </w:p>
        </w:tc>
        <w:tc>
          <w:tcPr>
            <w:tcW w:w="1913" w:type="dxa"/>
            <w:vAlign w:val="center"/>
          </w:tcPr>
          <w:p w:rsidR="0091781E" w:rsidRDefault="00024C2B">
            <w:pPr>
              <w:jc w:val="center"/>
            </w:pPr>
            <w:r>
              <w:t>Can I use AI in my teaching and work?</w:t>
            </w:r>
          </w:p>
        </w:tc>
        <w:tc>
          <w:tcPr>
            <w:tcW w:w="1914" w:type="dxa"/>
            <w:vAlign w:val="center"/>
          </w:tcPr>
          <w:p w:rsidR="0091781E" w:rsidRDefault="00024C2B">
            <w:pPr>
              <w:jc w:val="center"/>
            </w:pPr>
            <w:r>
              <w:t>High curiosity and digital familiarity, but limited pedagogical structuring and classroom application</w:t>
            </w:r>
          </w:p>
        </w:tc>
        <w:tc>
          <w:tcPr>
            <w:tcW w:w="1914" w:type="dxa"/>
            <w:vAlign w:val="center"/>
          </w:tcPr>
          <w:p w:rsidR="0091781E" w:rsidRDefault="00024C2B">
            <w:pPr>
              <w:jc w:val="center"/>
            </w:pPr>
            <w:r>
              <w:t>AI use in educational contexts, curriculum redesign, individualized learning design, copyright awareness</w:t>
            </w:r>
          </w:p>
        </w:tc>
        <w:tc>
          <w:tcPr>
            <w:tcW w:w="1914" w:type="dxa"/>
            <w:vAlign w:val="center"/>
          </w:tcPr>
          <w:p w:rsidR="0091781E" w:rsidRDefault="00024C2B">
            <w:pPr>
              <w:jc w:val="center"/>
            </w:pPr>
            <w:r>
              <w:t>Tool exploration, anxiety reduction, immediate applicability</w:t>
            </w:r>
          </w:p>
        </w:tc>
      </w:tr>
      <w:tr w:rsidR="0091781E">
        <w:tc>
          <w:tcPr>
            <w:tcW w:w="1271" w:type="dxa"/>
            <w:vAlign w:val="center"/>
          </w:tcPr>
          <w:p w:rsidR="0091781E" w:rsidRDefault="00024C2B">
            <w:pPr>
              <w:jc w:val="center"/>
            </w:pPr>
            <w:r>
              <w:rPr>
                <w:b/>
                <w:bCs/>
              </w:rPr>
              <w:t>Growth</w:t>
            </w:r>
          </w:p>
          <w:p w:rsidR="0091781E" w:rsidRDefault="00024C2B">
            <w:pPr>
              <w:jc w:val="center"/>
            </w:pPr>
            <w:r>
              <w:t>(5–15 years)</w:t>
            </w:r>
          </w:p>
        </w:tc>
        <w:tc>
          <w:tcPr>
            <w:tcW w:w="1913" w:type="dxa"/>
            <w:vAlign w:val="center"/>
          </w:tcPr>
          <w:p w:rsidR="0091781E" w:rsidRDefault="00024C2B">
            <w:pPr>
              <w:jc w:val="center"/>
            </w:pPr>
            <w:r>
              <w:t>How can I redesign and expand my lessons with AI?</w:t>
            </w:r>
          </w:p>
        </w:tc>
        <w:tc>
          <w:tcPr>
            <w:tcW w:w="1914" w:type="dxa"/>
            <w:vAlign w:val="center"/>
          </w:tcPr>
          <w:p w:rsidR="0091781E" w:rsidRDefault="00024C2B">
            <w:pPr>
              <w:jc w:val="center"/>
            </w:pPr>
            <w:r>
              <w:t xml:space="preserve">Increasing instructional confidence, interest </w:t>
            </w:r>
            <w:r>
              <w:lastRenderedPageBreak/>
              <w:t>in collaboration and practice-based refinement</w:t>
            </w:r>
          </w:p>
        </w:tc>
        <w:tc>
          <w:tcPr>
            <w:tcW w:w="1914" w:type="dxa"/>
            <w:vAlign w:val="center"/>
          </w:tcPr>
          <w:p w:rsidR="0091781E" w:rsidRDefault="00024C2B">
            <w:pPr>
              <w:jc w:val="center"/>
            </w:pPr>
            <w:r>
              <w:lastRenderedPageBreak/>
              <w:t xml:space="preserve">Social impact understanding, curriculum redesign, </w:t>
            </w:r>
            <w:r>
              <w:lastRenderedPageBreak/>
              <w:t>instructional media use, evaluation data use</w:t>
            </w:r>
          </w:p>
        </w:tc>
        <w:tc>
          <w:tcPr>
            <w:tcW w:w="1914" w:type="dxa"/>
            <w:vAlign w:val="center"/>
          </w:tcPr>
          <w:p w:rsidR="0091781E" w:rsidRDefault="00024C2B">
            <w:pPr>
              <w:jc w:val="center"/>
            </w:pPr>
            <w:r>
              <w:lastRenderedPageBreak/>
              <w:t>Collaborative design, workshop-</w:t>
            </w:r>
            <w:r>
              <w:lastRenderedPageBreak/>
              <w:t>based practice, lesson sharing</w:t>
            </w:r>
          </w:p>
        </w:tc>
      </w:tr>
      <w:tr w:rsidR="0091781E">
        <w:tc>
          <w:tcPr>
            <w:tcW w:w="1271" w:type="dxa"/>
            <w:vAlign w:val="center"/>
          </w:tcPr>
          <w:p w:rsidR="0091781E" w:rsidRDefault="00024C2B">
            <w:pPr>
              <w:jc w:val="center"/>
            </w:pPr>
            <w:r>
              <w:rPr>
                <w:b/>
                <w:bCs/>
              </w:rPr>
              <w:lastRenderedPageBreak/>
              <w:t>Matur</w:t>
            </w:r>
            <w:r>
              <w:rPr>
                <w:b/>
                <w:bCs/>
              </w:rPr>
              <w:t>ity</w:t>
            </w:r>
            <w:r>
              <w:t xml:space="preserve"> (15–25 years)</w:t>
            </w:r>
          </w:p>
        </w:tc>
        <w:tc>
          <w:tcPr>
            <w:tcW w:w="1913" w:type="dxa"/>
            <w:vAlign w:val="center"/>
          </w:tcPr>
          <w:p w:rsidR="0091781E" w:rsidRDefault="00024C2B">
            <w:pPr>
              <w:jc w:val="center"/>
            </w:pPr>
            <w:r>
              <w:t>Which AI tools are worth selecting and applying effectively?</w:t>
            </w:r>
          </w:p>
        </w:tc>
        <w:tc>
          <w:tcPr>
            <w:tcW w:w="1914" w:type="dxa"/>
            <w:vAlign w:val="center"/>
          </w:tcPr>
          <w:p w:rsidR="0091781E" w:rsidRDefault="00024C2B">
            <w:pPr>
              <w:jc w:val="center"/>
            </w:pPr>
            <w:r>
              <w:t>Strong professional judgment, preference for practicality, efficiency, and immediate use</w:t>
            </w:r>
          </w:p>
        </w:tc>
        <w:tc>
          <w:tcPr>
            <w:tcW w:w="1914" w:type="dxa"/>
            <w:vAlign w:val="center"/>
          </w:tcPr>
          <w:p w:rsidR="0091781E" w:rsidRDefault="00024C2B">
            <w:pPr>
              <w:jc w:val="center"/>
            </w:pPr>
            <w:r>
              <w:t xml:space="preserve">Strategic selection of AI tools, Goal-oriented instructional application, Data-informed </w:t>
            </w:r>
            <w:r>
              <w:t>teaching adjustment, Immediate classroom and work integration</w:t>
            </w:r>
          </w:p>
        </w:tc>
        <w:tc>
          <w:tcPr>
            <w:tcW w:w="1914" w:type="dxa"/>
            <w:vAlign w:val="center"/>
          </w:tcPr>
          <w:p w:rsidR="0091781E" w:rsidRDefault="00024C2B">
            <w:pPr>
              <w:jc w:val="center"/>
            </w:pPr>
            <w:r>
              <w:t>Strategic selection, efficiency-oriented application, real classroom transfer</w:t>
            </w:r>
          </w:p>
        </w:tc>
      </w:tr>
      <w:tr w:rsidR="0091781E">
        <w:tc>
          <w:tcPr>
            <w:tcW w:w="1271" w:type="dxa"/>
            <w:vAlign w:val="center"/>
          </w:tcPr>
          <w:p w:rsidR="0091781E" w:rsidRDefault="00024C2B">
            <w:pPr>
              <w:jc w:val="center"/>
            </w:pPr>
            <w:r>
              <w:rPr>
                <w:b/>
                <w:bCs/>
              </w:rPr>
              <w:t>Leadership</w:t>
            </w:r>
            <w:r>
              <w:t xml:space="preserve"> (25+ years)</w:t>
            </w:r>
          </w:p>
        </w:tc>
        <w:tc>
          <w:tcPr>
            <w:tcW w:w="1913" w:type="dxa"/>
            <w:vAlign w:val="center"/>
          </w:tcPr>
          <w:p w:rsidR="0091781E" w:rsidRDefault="00024C2B">
            <w:pPr>
              <w:jc w:val="center"/>
            </w:pPr>
            <w:r>
              <w:t>How should AI reshape teaching, ethics, and long-term professional growth?</w:t>
            </w:r>
          </w:p>
        </w:tc>
        <w:tc>
          <w:tcPr>
            <w:tcW w:w="1914" w:type="dxa"/>
            <w:vAlign w:val="center"/>
          </w:tcPr>
          <w:p w:rsidR="0091781E" w:rsidRDefault="00024C2B">
            <w:pPr>
              <w:jc w:val="center"/>
            </w:pPr>
            <w:r>
              <w:t>Selective accepta</w:t>
            </w:r>
            <w:r>
              <w:t>nce of technology, emphasis on educational meaning, mentoring, and ethics</w:t>
            </w:r>
          </w:p>
        </w:tc>
        <w:tc>
          <w:tcPr>
            <w:tcW w:w="1914" w:type="dxa"/>
            <w:vAlign w:val="center"/>
          </w:tcPr>
          <w:p w:rsidR="0091781E" w:rsidRDefault="00024C2B">
            <w:pPr>
              <w:jc w:val="center"/>
            </w:pPr>
            <w:r>
              <w:t>Critical AI literacy and ethical reflection, Mentoring and professional knowledge sharing, Sustainable professional development, AI-informed educational leadership</w:t>
            </w:r>
          </w:p>
        </w:tc>
        <w:tc>
          <w:tcPr>
            <w:tcW w:w="1914" w:type="dxa"/>
            <w:vAlign w:val="center"/>
          </w:tcPr>
          <w:p w:rsidR="0091781E" w:rsidRDefault="00024C2B">
            <w:pPr>
              <w:jc w:val="center"/>
            </w:pPr>
            <w:r>
              <w:t>Reflective learnin</w:t>
            </w:r>
            <w:r>
              <w:t>g, mentoring, ethics, sustainable professional growth</w:t>
            </w:r>
          </w:p>
        </w:tc>
      </w:tr>
    </w:tbl>
    <w:p w:rsidR="0091781E" w:rsidRDefault="0091781E">
      <w:pPr>
        <w:jc w:val="both"/>
      </w:pPr>
    </w:p>
    <w:p w:rsidR="0091781E" w:rsidRDefault="00024C2B">
      <w:pPr>
        <w:jc w:val="both"/>
      </w:pPr>
      <w:bookmarkStart w:id="1" w:name="_heading=h.fvgoniitzlqk" w:colFirst="0" w:colLast="0"/>
      <w:bookmarkEnd w:id="1"/>
      <w:r>
        <w:t>These findings directly informed the subsequent design phase of this study. Rather than treating all teachers as one general learner population, the program design process used the analysis results to define stage-specific goals, content emphases, tool sel</w:t>
      </w:r>
      <w:r>
        <w:t>ections, and expected outputs. Thus, the analysis phase functioned not only as a diagnostic stage, but as the conceptual and empirical foundation for the entire career-stage-responsive training mode</w:t>
      </w:r>
    </w:p>
    <w:p w:rsidR="0091781E" w:rsidRDefault="0091781E"/>
    <w:p w:rsidR="0091781E" w:rsidRDefault="00024C2B">
      <w:pPr>
        <w:ind w:firstLine="196"/>
        <w:rPr>
          <w:b/>
          <w:bCs/>
        </w:rPr>
      </w:pPr>
      <w:r>
        <w:rPr>
          <w:b/>
          <w:bCs/>
        </w:rPr>
        <w:t>3.2 Design Phase</w:t>
      </w:r>
    </w:p>
    <w:p w:rsidR="0091781E" w:rsidRDefault="00024C2B">
      <w:pPr>
        <w:ind w:firstLine="200"/>
        <w:jc w:val="both"/>
      </w:pPr>
      <w:r>
        <w:t>The design phase focused on translating</w:t>
      </w:r>
      <w:r>
        <w:t xml:space="preserve"> the findings from the analysis phase into a differentiated training program. The program was designed through a multi-step process including literature review, teacher needs analysis, focus group interviews, and expert consultations. Based on these proces</w:t>
      </w:r>
      <w:r>
        <w:t>ses, the training program was structured to reflect career-stage-specific characteristics.</w:t>
      </w:r>
    </w:p>
    <w:p w:rsidR="0091781E" w:rsidRDefault="00024C2B">
      <w:pPr>
        <w:ind w:firstLine="200"/>
        <w:jc w:val="both"/>
      </w:pPr>
      <w:r>
        <w:t>Specifically, differentiated training modules were developed for four teacher career stages:</w:t>
      </w:r>
    </w:p>
    <w:p w:rsidR="0091781E" w:rsidRDefault="00024C2B">
      <w:pPr>
        <w:numPr>
          <w:ilvl w:val="0"/>
          <w:numId w:val="4"/>
        </w:numPr>
        <w:pBdr>
          <w:top w:val="nil"/>
          <w:left w:val="nil"/>
          <w:bottom w:val="nil"/>
          <w:right w:val="nil"/>
          <w:between w:val="nil"/>
        </w:pBdr>
        <w:jc w:val="both"/>
      </w:pPr>
      <w:r>
        <w:rPr>
          <w:rFonts w:eastAsia="Times New Roman"/>
          <w:color w:val="000000"/>
        </w:rPr>
        <w:t xml:space="preserve">Induction stage </w:t>
      </w:r>
    </w:p>
    <w:p w:rsidR="0091781E" w:rsidRDefault="00024C2B">
      <w:pPr>
        <w:numPr>
          <w:ilvl w:val="0"/>
          <w:numId w:val="4"/>
        </w:numPr>
        <w:pBdr>
          <w:top w:val="nil"/>
          <w:left w:val="nil"/>
          <w:bottom w:val="nil"/>
          <w:right w:val="nil"/>
          <w:between w:val="nil"/>
        </w:pBdr>
        <w:jc w:val="both"/>
      </w:pPr>
      <w:r>
        <w:rPr>
          <w:rFonts w:eastAsia="Times New Roman"/>
          <w:color w:val="000000"/>
        </w:rPr>
        <w:t xml:space="preserve">Growth stage </w:t>
      </w:r>
    </w:p>
    <w:p w:rsidR="0091781E" w:rsidRDefault="00024C2B">
      <w:pPr>
        <w:numPr>
          <w:ilvl w:val="0"/>
          <w:numId w:val="4"/>
        </w:numPr>
        <w:pBdr>
          <w:top w:val="nil"/>
          <w:left w:val="nil"/>
          <w:bottom w:val="nil"/>
          <w:right w:val="nil"/>
          <w:between w:val="nil"/>
        </w:pBdr>
        <w:jc w:val="both"/>
      </w:pPr>
      <w:r>
        <w:rPr>
          <w:rFonts w:eastAsia="Times New Roman"/>
          <w:color w:val="000000"/>
        </w:rPr>
        <w:t xml:space="preserve">Maturity stage </w:t>
      </w:r>
    </w:p>
    <w:p w:rsidR="0091781E" w:rsidRDefault="00024C2B">
      <w:pPr>
        <w:numPr>
          <w:ilvl w:val="0"/>
          <w:numId w:val="4"/>
        </w:numPr>
        <w:pBdr>
          <w:top w:val="nil"/>
          <w:left w:val="nil"/>
          <w:bottom w:val="nil"/>
          <w:right w:val="nil"/>
          <w:between w:val="nil"/>
        </w:pBdr>
        <w:jc w:val="both"/>
      </w:pPr>
      <w:r>
        <w:rPr>
          <w:rFonts w:eastAsia="Times New Roman"/>
          <w:color w:val="000000"/>
        </w:rPr>
        <w:t xml:space="preserve">Leadership stage </w:t>
      </w:r>
    </w:p>
    <w:p w:rsidR="0091781E" w:rsidRDefault="00024C2B">
      <w:pPr>
        <w:ind w:firstLine="200"/>
        <w:jc w:val="both"/>
      </w:pPr>
      <w:r>
        <w:t>Each pr</w:t>
      </w:r>
      <w:r>
        <w:t>ogram emphasized different competencies according to the characteristics of the respective career stage.</w:t>
      </w:r>
    </w:p>
    <w:p w:rsidR="0091781E" w:rsidRDefault="00024C2B">
      <w:pPr>
        <w:ind w:firstLine="200"/>
        <w:jc w:val="both"/>
      </w:pPr>
      <w:r>
        <w:t>For example, the induction-stage program focused on exploring AI tools and developing basic competencies for designing AI-supported lessons. The growth</w:t>
      </w:r>
      <w:r>
        <w:t>-stage program emphasized collaborative lesson design and deeper integration of AI tools in classroom practice. The maturity-stage program focused on practical strategies that teachers could immediately apply in both instructional and administrative contex</w:t>
      </w:r>
      <w:r>
        <w:t>ts. Finally, the leadership-stage program emphasized AI literacy, mentoring roles, and broader reflections on the role of AI in education and society.</w:t>
      </w:r>
    </w:p>
    <w:p w:rsidR="0091781E" w:rsidRDefault="00024C2B">
      <w:pPr>
        <w:ind w:firstLine="200"/>
        <w:jc w:val="both"/>
      </w:pPr>
      <w:r>
        <w:t>The program design included both common elements and differentiated components, ensuring coherence across</w:t>
      </w:r>
      <w:r>
        <w:t xml:space="preserve"> the overall program while allowing for career-stage-specific customization.</w:t>
      </w:r>
    </w:p>
    <w:p w:rsidR="0091781E" w:rsidRDefault="0091781E">
      <w:pPr>
        <w:ind w:firstLine="200"/>
        <w:jc w:val="both"/>
      </w:pPr>
    </w:p>
    <w:p w:rsidR="0091781E" w:rsidRDefault="00024C2B">
      <w:pPr>
        <w:ind w:firstLine="196"/>
        <w:jc w:val="both"/>
        <w:rPr>
          <w:b/>
          <w:bCs/>
        </w:rPr>
      </w:pPr>
      <w:r>
        <w:rPr>
          <w:b/>
          <w:bCs/>
        </w:rPr>
        <w:t xml:space="preserve">3.3 Development Phase </w:t>
      </w:r>
    </w:p>
    <w:p w:rsidR="0091781E" w:rsidRDefault="00024C2B">
      <w:pPr>
        <w:ind w:firstLine="200"/>
        <w:jc w:val="both"/>
      </w:pPr>
      <w:r>
        <w:t>In the development phase, the training program and instructional materials were developed based on the design specifications. A development team was formed</w:t>
      </w:r>
      <w:r>
        <w:t>, consisting of experts in educational technology, instructional design, and adult learning, along with in-service teachers representing different career stages. This collaborative approach ensured that the program reflected both theoretical foundations an</w:t>
      </w:r>
      <w:r>
        <w:t>d practical classroom needs.</w:t>
      </w:r>
    </w:p>
    <w:p w:rsidR="0091781E" w:rsidRDefault="00024C2B">
      <w:pPr>
        <w:ind w:firstLine="100"/>
        <w:jc w:val="both"/>
      </w:pPr>
      <w:r>
        <w:t>The program was developed in a modular format, with each module including conceptual understanding, practical exercises, lesson design tasks, and reflective activities. Instructional materials included AI tool guides, lesson pl</w:t>
      </w:r>
      <w:r>
        <w:t>anning templates, and case-based learning resources to support teachers’ engagement and application.</w:t>
      </w:r>
    </w:p>
    <w:p w:rsidR="0091781E" w:rsidRDefault="00024C2B">
      <w:pPr>
        <w:ind w:firstLine="100"/>
        <w:jc w:val="both"/>
      </w:pPr>
      <w:r>
        <w:t>The developed program was reviewed by experts to ensure content validity and applicability, and revisions were made accordingly.</w:t>
      </w:r>
    </w:p>
    <w:p w:rsidR="0091781E" w:rsidRDefault="0091781E">
      <w:pPr>
        <w:ind w:firstLine="100"/>
        <w:jc w:val="both"/>
      </w:pPr>
    </w:p>
    <w:p w:rsidR="0091781E" w:rsidRDefault="00024C2B">
      <w:pPr>
        <w:ind w:firstLine="98"/>
        <w:jc w:val="both"/>
        <w:rPr>
          <w:b/>
          <w:bCs/>
        </w:rPr>
      </w:pPr>
      <w:r>
        <w:rPr>
          <w:b/>
          <w:bCs/>
        </w:rPr>
        <w:t>3.4 Implementation Phase</w:t>
      </w:r>
    </w:p>
    <w:p w:rsidR="0091781E" w:rsidRDefault="00024C2B">
      <w:pPr>
        <w:ind w:firstLine="100"/>
        <w:jc w:val="both"/>
      </w:pPr>
      <w:r>
        <w:t>The training program was implemented with 102 in-service teachers. Participants were grouped according to their career stages, and differentiated learning experiences were provided accordingly. The program consisted of two sessions, each including three in</w:t>
      </w:r>
      <w:r>
        <w:t>structional modules. It was conducted at a university in Korea and included hands-on workshops, collaborative activities, and practice-oriented learning experiences.</w:t>
      </w:r>
    </w:p>
    <w:p w:rsidR="0091781E" w:rsidRDefault="00024C2B">
      <w:pPr>
        <w:ind w:firstLine="100"/>
        <w:jc w:val="both"/>
      </w:pPr>
      <w:r>
        <w:t>Participants were actively engaged in designing lesson plans, applying AI tools, and refle</w:t>
      </w:r>
      <w:r>
        <w:t>cting on their teaching practices. This approach aimed to bridge the gap between theoretical knowledge and classroom application.</w:t>
      </w:r>
    </w:p>
    <w:p w:rsidR="0091781E" w:rsidRDefault="0091781E">
      <w:pPr>
        <w:ind w:firstLine="100"/>
        <w:jc w:val="both"/>
      </w:pPr>
    </w:p>
    <w:p w:rsidR="0091781E" w:rsidRDefault="00024C2B">
      <w:pPr>
        <w:ind w:firstLine="98"/>
        <w:jc w:val="both"/>
        <w:rPr>
          <w:b/>
          <w:bCs/>
        </w:rPr>
      </w:pPr>
      <w:r>
        <w:rPr>
          <w:b/>
          <w:bCs/>
        </w:rPr>
        <w:t>3.5 Evaluation Phase</w:t>
      </w:r>
    </w:p>
    <w:p w:rsidR="0091781E" w:rsidRDefault="00024C2B">
      <w:pPr>
        <w:ind w:firstLine="100"/>
        <w:jc w:val="both"/>
      </w:pPr>
      <w:r>
        <w:t>The evaluation phase focused on examining the overall feasibility and appropriateness of the training program through formative evaluation. Since the program was implemented only once, the study did not aim to assess long-term effectiveness. Instead, evalu</w:t>
      </w:r>
      <w:r>
        <w:t>ation focused on participant satisfaction, perceived usefulness, and reflections from participants and instructors.</w:t>
      </w:r>
    </w:p>
    <w:p w:rsidR="0091781E" w:rsidRDefault="00024C2B">
      <w:pPr>
        <w:ind w:firstLine="100"/>
        <w:jc w:val="both"/>
      </w:pPr>
      <w:r>
        <w:t>A post-training survey was conducted to measure satisfaction with the program content and delivery. In addition, qualitative data were colle</w:t>
      </w:r>
      <w:r>
        <w:t>cted through open-ended responses to capture participants’ experiences and perceptions.</w:t>
      </w:r>
    </w:p>
    <w:p w:rsidR="0091781E" w:rsidRDefault="00024C2B">
      <w:pPr>
        <w:jc w:val="both"/>
      </w:pPr>
      <w:r>
        <w:t xml:space="preserve">Furthermore, reflections from instructors and the development team were analyzed to identify strengths, limitations, and areas for improvement. These findings provided </w:t>
      </w:r>
      <w:r>
        <w:t>insights into the applicability of the career-stage-responsive training model and directions for future research.</w:t>
      </w:r>
    </w:p>
    <w:p w:rsidR="0091781E" w:rsidRDefault="0091781E">
      <w:pPr>
        <w:ind w:firstLine="236"/>
        <w:jc w:val="both"/>
        <w:rPr>
          <w:b/>
          <w:bCs/>
          <w:sz w:val="24"/>
          <w:szCs w:val="24"/>
        </w:rPr>
      </w:pPr>
    </w:p>
    <w:p w:rsidR="0091781E" w:rsidRDefault="00024C2B">
      <w:pPr>
        <w:numPr>
          <w:ilvl w:val="0"/>
          <w:numId w:val="2"/>
        </w:numPr>
        <w:pBdr>
          <w:top w:val="nil"/>
          <w:left w:val="nil"/>
          <w:bottom w:val="nil"/>
          <w:right w:val="nil"/>
          <w:between w:val="nil"/>
        </w:pBdr>
        <w:jc w:val="both"/>
        <w:rPr>
          <w:b/>
          <w:bCs/>
          <w:color w:val="000000"/>
          <w:sz w:val="24"/>
          <w:szCs w:val="24"/>
        </w:rPr>
      </w:pPr>
      <w:r>
        <w:rPr>
          <w:rFonts w:eastAsia="Times New Roman"/>
          <w:b/>
          <w:bCs/>
          <w:color w:val="000000"/>
          <w:sz w:val="24"/>
          <w:szCs w:val="24"/>
        </w:rPr>
        <w:t>Results</w:t>
      </w:r>
    </w:p>
    <w:p w:rsidR="0091781E" w:rsidRDefault="0091781E">
      <w:pPr>
        <w:pBdr>
          <w:top w:val="nil"/>
          <w:left w:val="nil"/>
          <w:bottom w:val="nil"/>
          <w:right w:val="nil"/>
          <w:between w:val="nil"/>
        </w:pBdr>
        <w:ind w:left="1000"/>
        <w:jc w:val="both"/>
        <w:rPr>
          <w:b/>
          <w:bCs/>
          <w:color w:val="000000"/>
          <w:sz w:val="24"/>
          <w:szCs w:val="24"/>
        </w:rPr>
      </w:pPr>
    </w:p>
    <w:p w:rsidR="0091781E" w:rsidRDefault="00024C2B">
      <w:pPr>
        <w:numPr>
          <w:ilvl w:val="1"/>
          <w:numId w:val="2"/>
        </w:numPr>
        <w:pBdr>
          <w:top w:val="nil"/>
          <w:left w:val="nil"/>
          <w:bottom w:val="nil"/>
          <w:right w:val="nil"/>
          <w:between w:val="nil"/>
        </w:pBdr>
        <w:jc w:val="both"/>
        <w:rPr>
          <w:b/>
          <w:bCs/>
          <w:color w:val="000000"/>
        </w:rPr>
      </w:pPr>
      <w:r>
        <w:rPr>
          <w:rFonts w:eastAsia="Times New Roman"/>
          <w:b/>
          <w:bCs/>
          <w:color w:val="000000"/>
        </w:rPr>
        <w:t>Analysis Phase: Differences in Career-Stage-Specific Needs</w:t>
      </w:r>
    </w:p>
    <w:p w:rsidR="0091781E" w:rsidRDefault="00024C2B">
      <w:pPr>
        <w:ind w:firstLine="200"/>
        <w:jc w:val="both"/>
      </w:pPr>
      <w:r>
        <w:t>The analysis phase identified that teachers’ AI–digital competency needs differed qualitatively across career The analysis phase revealed that teachers’ AI–digital competency needs differed not only in degree but also in orientation and purpose across care</w:t>
      </w:r>
      <w:r>
        <w:t>er stages. Teachers in the Induction stage primarily approached AI from a perspective of adaptation and survival. Their concerns centered on whether AI tools could be used effectively in classroom settings and how such tools could reduce workload and suppo</w:t>
      </w:r>
      <w:r>
        <w:t>rt basic instructional tasks. This indicates that for early-career teachers, AI is perceived as a supportive tool for stabilizing teaching practices rather than transforming them.</w:t>
      </w:r>
    </w:p>
    <w:p w:rsidR="0091781E" w:rsidRDefault="00024C2B">
      <w:pPr>
        <w:ind w:firstLine="200"/>
        <w:jc w:val="both"/>
      </w:pPr>
      <w:r>
        <w:t>In contrast, teachers in the Growth stage demonstrated a shift toward expans</w:t>
      </w:r>
      <w:r>
        <w:t>ion-oriented thinking. They emphasized how AI and digital tools could be used to redesign lessons, enhance student participation, and facilitate collaborative learning. This suggests that teachers at this stage begin to move beyond basic usage toward pedag</w:t>
      </w:r>
      <w:r>
        <w:t xml:space="preserve">ogical integration. Teachers in the Maturity stage showed a more strategic orientation. Rather than focusing on tool usage itself, they prioritized selecting appropriate tools based on instructional goals and applying them efficiently in both teaching and </w:t>
      </w:r>
      <w:r>
        <w:t>administrative contexts. This reflects a transition from “using AI” to “making decisions with AI.”</w:t>
      </w:r>
    </w:p>
    <w:p w:rsidR="0091781E" w:rsidRDefault="00024C2B">
      <w:pPr>
        <w:ind w:firstLine="200"/>
        <w:jc w:val="both"/>
      </w:pPr>
      <w:r>
        <w:lastRenderedPageBreak/>
        <w:t>Finally, teachers in the Leadership stage exhibited a broader and more reflective perspective. Their focus extended beyond classroom application to include A</w:t>
      </w:r>
      <w:r>
        <w:t>I literacy, ethical considerations, mentoring roles, and the integration of AI into long-term professional development and educational systems. This indicates that AI is perceived not only as a tool but as a transformative force in education and profession</w:t>
      </w:r>
      <w:r>
        <w:t>al life. Taken together, these findings demonstrate that AI–digital competency needs are qualitatively structured across career stages, supporting the need for differentiated approaches to teacher training.</w:t>
      </w:r>
    </w:p>
    <w:p w:rsidR="0091781E" w:rsidRDefault="0091781E">
      <w:pPr>
        <w:ind w:firstLine="200"/>
        <w:jc w:val="both"/>
      </w:pPr>
    </w:p>
    <w:p w:rsidR="0091781E" w:rsidRDefault="00024C2B">
      <w:pPr>
        <w:ind w:firstLine="196"/>
        <w:jc w:val="both"/>
        <w:rPr>
          <w:b/>
          <w:bCs/>
        </w:rPr>
      </w:pPr>
      <w:r>
        <w:rPr>
          <w:b/>
          <w:bCs/>
        </w:rPr>
        <w:t>4.2 Design &amp; Development Phases: Career-Stage-Re</w:t>
      </w:r>
      <w:r>
        <w:rPr>
          <w:b/>
          <w:bCs/>
        </w:rPr>
        <w:t>sponsive Program Design</w:t>
      </w:r>
    </w:p>
    <w:p w:rsidR="0091781E" w:rsidRDefault="00024C2B">
      <w:pPr>
        <w:ind w:firstLine="200"/>
        <w:jc w:val="both"/>
      </w:pPr>
      <w:r>
        <w:t>Based on the analysis results, the training program was systematically designed and developed to reflect career-stage-specific characteristics. The program was structured around the previously developed AI–digital competency framewo</w:t>
      </w:r>
      <w:r>
        <w:t xml:space="preserve">rk, consisting of three core dimensions: understanding AI and digital technologies, pedagogical application, and professional development. To operationalize these differences, differentiated modules were designed for four career stages: Induction, Growth, </w:t>
      </w:r>
      <w:r>
        <w:t>Maturity, and Leadership. Each module reflected distinct instructional goals, learning activities, and expected outcomes aligned with teachers’ professional roles.</w:t>
      </w:r>
    </w:p>
    <w:p w:rsidR="0091781E" w:rsidRDefault="00024C2B">
      <w:pPr>
        <w:ind w:firstLine="100"/>
        <w:jc w:val="both"/>
      </w:pPr>
      <w:r>
        <w:t>The overall structure and key differences of the program are summarized in Table 1.</w:t>
      </w:r>
    </w:p>
    <w:p w:rsidR="0091781E" w:rsidRDefault="0091781E">
      <w:pPr>
        <w:ind w:firstLine="100"/>
        <w:jc w:val="both"/>
      </w:pPr>
    </w:p>
    <w:p w:rsidR="0091781E" w:rsidRDefault="00024C2B">
      <w:pPr>
        <w:keepNext/>
        <w:pBdr>
          <w:top w:val="nil"/>
          <w:left w:val="nil"/>
          <w:bottom w:val="nil"/>
          <w:right w:val="nil"/>
          <w:between w:val="nil"/>
        </w:pBdr>
        <w:jc w:val="center"/>
        <w:rPr>
          <w:b/>
          <w:bCs/>
          <w:color w:val="000000"/>
        </w:rPr>
      </w:pPr>
      <w:r>
        <w:rPr>
          <w:b/>
          <w:bCs/>
        </w:rPr>
        <w:t>[</w:t>
      </w:r>
      <w:r>
        <w:rPr>
          <w:rFonts w:eastAsia="Times New Roman"/>
          <w:b/>
          <w:bCs/>
          <w:color w:val="000000"/>
        </w:rPr>
        <w:t xml:space="preserve">Table </w:t>
      </w:r>
      <w:r>
        <w:rPr>
          <w:rFonts w:eastAsia="Times New Roman"/>
          <w:b/>
          <w:bCs/>
          <w:color w:val="000000"/>
        </w:rPr>
        <w:t>1] Key Differences in Career-Stage-Responsive AI–Digital Training Program</w:t>
      </w:r>
    </w:p>
    <w:tbl>
      <w:tblPr>
        <w:tblStyle w:val="a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1774"/>
        <w:gridCol w:w="1916"/>
        <w:gridCol w:w="1787"/>
        <w:gridCol w:w="1774"/>
      </w:tblGrid>
      <w:tr w:rsidR="0091781E">
        <w:tc>
          <w:tcPr>
            <w:tcW w:w="1765" w:type="dxa"/>
          </w:tcPr>
          <w:p w:rsidR="0091781E" w:rsidRDefault="00024C2B">
            <w:pPr>
              <w:jc w:val="both"/>
              <w:rPr>
                <w:b/>
                <w:bCs/>
              </w:rPr>
            </w:pPr>
            <w:r>
              <w:rPr>
                <w:b/>
                <w:bCs/>
              </w:rPr>
              <w:t>Category</w:t>
            </w:r>
          </w:p>
        </w:tc>
        <w:tc>
          <w:tcPr>
            <w:tcW w:w="1774" w:type="dxa"/>
          </w:tcPr>
          <w:p w:rsidR="0091781E" w:rsidRDefault="00024C2B">
            <w:pPr>
              <w:jc w:val="both"/>
            </w:pPr>
            <w:r>
              <w:t>Induction</w:t>
            </w:r>
          </w:p>
        </w:tc>
        <w:tc>
          <w:tcPr>
            <w:tcW w:w="1916" w:type="dxa"/>
          </w:tcPr>
          <w:p w:rsidR="0091781E" w:rsidRDefault="00024C2B">
            <w:pPr>
              <w:jc w:val="both"/>
            </w:pPr>
            <w:r>
              <w:t>Growth</w:t>
            </w:r>
          </w:p>
        </w:tc>
        <w:tc>
          <w:tcPr>
            <w:tcW w:w="1787" w:type="dxa"/>
          </w:tcPr>
          <w:p w:rsidR="0091781E" w:rsidRDefault="00024C2B">
            <w:pPr>
              <w:jc w:val="both"/>
            </w:pPr>
            <w:r>
              <w:t>Maturity</w:t>
            </w:r>
          </w:p>
        </w:tc>
        <w:tc>
          <w:tcPr>
            <w:tcW w:w="1774" w:type="dxa"/>
          </w:tcPr>
          <w:p w:rsidR="0091781E" w:rsidRDefault="00024C2B">
            <w:pPr>
              <w:jc w:val="both"/>
            </w:pPr>
            <w:r>
              <w:t>Leadership</w:t>
            </w:r>
          </w:p>
        </w:tc>
      </w:tr>
      <w:tr w:rsidR="0091781E">
        <w:tc>
          <w:tcPr>
            <w:tcW w:w="1765" w:type="dxa"/>
          </w:tcPr>
          <w:p w:rsidR="0091781E" w:rsidRDefault="00024C2B">
            <w:pPr>
              <w:jc w:val="both"/>
            </w:pPr>
            <w:r>
              <w:t>Core Idea</w:t>
            </w:r>
          </w:p>
        </w:tc>
        <w:tc>
          <w:tcPr>
            <w:tcW w:w="1774" w:type="dxa"/>
          </w:tcPr>
          <w:p w:rsidR="0091781E" w:rsidRDefault="00024C2B">
            <w:pPr>
              <w:jc w:val="both"/>
            </w:pPr>
            <w:r>
              <w:t>Can I use AI? How do I manage teaching tasks?</w:t>
            </w:r>
          </w:p>
        </w:tc>
        <w:tc>
          <w:tcPr>
            <w:tcW w:w="1916" w:type="dxa"/>
          </w:tcPr>
          <w:p w:rsidR="0091781E" w:rsidRDefault="00024C2B">
            <w:pPr>
              <w:jc w:val="both"/>
            </w:pPr>
            <w:r>
              <w:t>How can I redesign and expand lessons?</w:t>
            </w:r>
          </w:p>
        </w:tc>
        <w:tc>
          <w:tcPr>
            <w:tcW w:w="1787" w:type="dxa"/>
          </w:tcPr>
          <w:p w:rsidR="0091781E" w:rsidRDefault="00024C2B">
            <w:pPr>
              <w:jc w:val="both"/>
            </w:pPr>
            <w:r>
              <w:t>Which tools should I choose and apply effectively?</w:t>
            </w:r>
          </w:p>
        </w:tc>
        <w:tc>
          <w:tcPr>
            <w:tcW w:w="1774" w:type="dxa"/>
          </w:tcPr>
          <w:p w:rsidR="0091781E" w:rsidRDefault="00024C2B">
            <w:pPr>
              <w:jc w:val="both"/>
            </w:pPr>
            <w:r>
              <w:t>How can AI reshape my professional life and growth?</w:t>
            </w:r>
          </w:p>
        </w:tc>
      </w:tr>
      <w:tr w:rsidR="0091781E">
        <w:tc>
          <w:tcPr>
            <w:tcW w:w="1765" w:type="dxa"/>
          </w:tcPr>
          <w:p w:rsidR="0091781E" w:rsidRDefault="00024C2B">
            <w:pPr>
              <w:jc w:val="both"/>
            </w:pPr>
            <w:r>
              <w:t>Training Focus</w:t>
            </w:r>
          </w:p>
        </w:tc>
        <w:tc>
          <w:tcPr>
            <w:tcW w:w="1774" w:type="dxa"/>
          </w:tcPr>
          <w:p w:rsidR="0091781E" w:rsidRDefault="00024C2B">
            <w:pPr>
              <w:jc w:val="both"/>
            </w:pPr>
            <w:r>
              <w:t>Tool adoption, anxiety reduction, efficiency</w:t>
            </w:r>
          </w:p>
        </w:tc>
        <w:tc>
          <w:tcPr>
            <w:tcW w:w="1916" w:type="dxa"/>
          </w:tcPr>
          <w:p w:rsidR="0091781E" w:rsidRDefault="00024C2B">
            <w:pPr>
              <w:jc w:val="both"/>
            </w:pPr>
            <w:r>
              <w:t>Collaborative lesson design, feedback, data use</w:t>
            </w:r>
          </w:p>
        </w:tc>
        <w:tc>
          <w:tcPr>
            <w:tcW w:w="1787" w:type="dxa"/>
          </w:tcPr>
          <w:p w:rsidR="0091781E" w:rsidRDefault="00024C2B">
            <w:pPr>
              <w:jc w:val="both"/>
            </w:pPr>
            <w:r>
              <w:t>Strategic tool selection, immediate applicat</w:t>
            </w:r>
            <w:r>
              <w:t>ion</w:t>
            </w:r>
          </w:p>
        </w:tc>
        <w:tc>
          <w:tcPr>
            <w:tcW w:w="1774" w:type="dxa"/>
          </w:tcPr>
          <w:p w:rsidR="0091781E" w:rsidRDefault="00024C2B">
            <w:pPr>
              <w:jc w:val="both"/>
            </w:pPr>
            <w:r>
              <w:t>AI literacy, ethics, lifelong learning</w:t>
            </w:r>
          </w:p>
        </w:tc>
      </w:tr>
      <w:tr w:rsidR="0091781E">
        <w:tc>
          <w:tcPr>
            <w:tcW w:w="1765" w:type="dxa"/>
          </w:tcPr>
          <w:p w:rsidR="0091781E" w:rsidRDefault="00024C2B">
            <w:pPr>
              <w:jc w:val="both"/>
            </w:pPr>
            <w:r>
              <w:t>Teacher Role</w:t>
            </w:r>
          </w:p>
        </w:tc>
        <w:tc>
          <w:tcPr>
            <w:tcW w:w="1774" w:type="dxa"/>
          </w:tcPr>
          <w:p w:rsidR="0091781E" w:rsidRDefault="00024C2B">
            <w:pPr>
              <w:jc w:val="both"/>
            </w:pPr>
            <w:r>
              <w:t>AI user/adaptor</w:t>
            </w:r>
          </w:p>
        </w:tc>
        <w:tc>
          <w:tcPr>
            <w:tcW w:w="1916" w:type="dxa"/>
          </w:tcPr>
          <w:p w:rsidR="0091781E" w:rsidRDefault="00024C2B">
            <w:pPr>
              <w:jc w:val="both"/>
            </w:pPr>
            <w:r>
              <w:t>Instructional designer/collaborator</w:t>
            </w:r>
          </w:p>
        </w:tc>
        <w:tc>
          <w:tcPr>
            <w:tcW w:w="1787" w:type="dxa"/>
          </w:tcPr>
          <w:p w:rsidR="0091781E" w:rsidRDefault="00024C2B">
            <w:pPr>
              <w:jc w:val="both"/>
            </w:pPr>
            <w:r>
              <w:t>Strategic practitioner</w:t>
            </w:r>
          </w:p>
        </w:tc>
        <w:tc>
          <w:tcPr>
            <w:tcW w:w="1774" w:type="dxa"/>
          </w:tcPr>
          <w:p w:rsidR="0091781E" w:rsidRDefault="00024C2B">
            <w:pPr>
              <w:jc w:val="both"/>
            </w:pPr>
            <w:r>
              <w:t>Mentor and leader</w:t>
            </w:r>
          </w:p>
        </w:tc>
      </w:tr>
      <w:tr w:rsidR="0091781E">
        <w:tc>
          <w:tcPr>
            <w:tcW w:w="1765" w:type="dxa"/>
          </w:tcPr>
          <w:p w:rsidR="0091781E" w:rsidRDefault="00024C2B">
            <w:pPr>
              <w:jc w:val="both"/>
            </w:pPr>
            <w:r>
              <w:t>Key Activities</w:t>
            </w:r>
          </w:p>
        </w:tc>
        <w:tc>
          <w:tcPr>
            <w:tcW w:w="1774" w:type="dxa"/>
          </w:tcPr>
          <w:p w:rsidR="0091781E" w:rsidRDefault="00024C2B">
            <w:pPr>
              <w:jc w:val="both"/>
            </w:pPr>
            <w:r>
              <w:t>Prompting, content generation, automation</w:t>
            </w:r>
          </w:p>
        </w:tc>
        <w:tc>
          <w:tcPr>
            <w:tcW w:w="1916" w:type="dxa"/>
          </w:tcPr>
          <w:p w:rsidR="0091781E" w:rsidRDefault="00024C2B">
            <w:pPr>
              <w:jc w:val="both"/>
            </w:pPr>
            <w:r>
              <w:t>Collaborative design, data visualization</w:t>
            </w:r>
          </w:p>
        </w:tc>
        <w:tc>
          <w:tcPr>
            <w:tcW w:w="1787" w:type="dxa"/>
          </w:tcPr>
          <w:p w:rsidR="0091781E" w:rsidRDefault="00024C2B">
            <w:pPr>
              <w:jc w:val="both"/>
            </w:pPr>
            <w:r>
              <w:t>Practical application, lesson implementation</w:t>
            </w:r>
          </w:p>
        </w:tc>
        <w:tc>
          <w:tcPr>
            <w:tcW w:w="1774" w:type="dxa"/>
          </w:tcPr>
          <w:p w:rsidR="0091781E" w:rsidRDefault="00024C2B">
            <w:pPr>
              <w:jc w:val="both"/>
            </w:pPr>
            <w:r>
              <w:t>Reflection, ethics, advanced AI tools</w:t>
            </w:r>
          </w:p>
        </w:tc>
      </w:tr>
      <w:tr w:rsidR="0091781E">
        <w:tc>
          <w:tcPr>
            <w:tcW w:w="1765" w:type="dxa"/>
          </w:tcPr>
          <w:p w:rsidR="0091781E" w:rsidRDefault="00024C2B">
            <w:pPr>
              <w:jc w:val="both"/>
            </w:pPr>
            <w:r>
              <w:t>Expected Outcomes</w:t>
            </w:r>
          </w:p>
        </w:tc>
        <w:tc>
          <w:tcPr>
            <w:tcW w:w="1774" w:type="dxa"/>
          </w:tcPr>
          <w:p w:rsidR="0091781E" w:rsidRDefault="00024C2B">
            <w:pPr>
              <w:jc w:val="center"/>
            </w:pPr>
            <w:r>
              <w:t>Basic lesson design, workload reduction</w:t>
            </w:r>
          </w:p>
        </w:tc>
        <w:tc>
          <w:tcPr>
            <w:tcW w:w="1916" w:type="dxa"/>
          </w:tcPr>
          <w:p w:rsidR="0091781E" w:rsidRDefault="00024C2B">
            <w:pPr>
              <w:jc w:val="both"/>
            </w:pPr>
            <w:r>
              <w:t>AI-based lesson redesign, collaboration</w:t>
            </w:r>
          </w:p>
        </w:tc>
        <w:tc>
          <w:tcPr>
            <w:tcW w:w="1787" w:type="dxa"/>
          </w:tcPr>
          <w:p w:rsidR="0091781E" w:rsidRDefault="00024C2B">
            <w:pPr>
              <w:jc w:val="both"/>
            </w:pPr>
            <w:r>
              <w:t>Immediate classroom application</w:t>
            </w:r>
          </w:p>
        </w:tc>
        <w:tc>
          <w:tcPr>
            <w:tcW w:w="1774" w:type="dxa"/>
          </w:tcPr>
          <w:p w:rsidR="0091781E" w:rsidRDefault="00024C2B">
            <w:pPr>
              <w:jc w:val="both"/>
            </w:pPr>
            <w:r>
              <w:t xml:space="preserve">Leadership, mentoring, life-integrated AI </w:t>
            </w:r>
            <w:r>
              <w:t>use</w:t>
            </w:r>
          </w:p>
        </w:tc>
      </w:tr>
    </w:tbl>
    <w:p w:rsidR="0091781E" w:rsidRDefault="0091781E">
      <w:pPr>
        <w:ind w:firstLine="196"/>
        <w:jc w:val="both"/>
        <w:rPr>
          <w:b/>
          <w:bCs/>
        </w:rPr>
      </w:pPr>
    </w:p>
    <w:p w:rsidR="0091781E" w:rsidRDefault="00024C2B">
      <w:pPr>
        <w:spacing w:after="160" w:line="259" w:lineRule="auto"/>
        <w:jc w:val="both"/>
        <w:rPr>
          <w:b/>
          <w:bCs/>
        </w:rPr>
      </w:pPr>
      <w:r>
        <w:rPr>
          <w:b/>
          <w:bCs/>
        </w:rPr>
        <w:t xml:space="preserve">4.3 Implementation Phase: Program Operation </w:t>
      </w:r>
    </w:p>
    <w:p w:rsidR="0091781E" w:rsidRDefault="00024C2B">
      <w:pPr>
        <w:spacing w:after="160" w:line="259" w:lineRule="auto"/>
        <w:jc w:val="both"/>
      </w:pPr>
      <w:r>
        <w:t xml:space="preserve">The training program was implemented with 102 in-service teachers, who were grouped according to their career stages. The program consisted of two sessions, each including three instructional modules, and </w:t>
      </w:r>
      <w:r>
        <w:t>was conducted in a university setting in Korea. The sessions included hands-on workshops, collaborative learning activities, and practice-oriented tasks. Participants actively engaged in designing AI-supported lessons, exploring various AI tools, and refle</w:t>
      </w:r>
      <w:r>
        <w:t>cting on their instructional practices. The differentiated structure of the program enabled participants to engage with content that was aligned with their career-stage-specific needs.</w:t>
      </w:r>
    </w:p>
    <w:p w:rsidR="0091781E" w:rsidRDefault="0091781E">
      <w:pPr>
        <w:spacing w:after="160" w:line="259" w:lineRule="auto"/>
        <w:jc w:val="both"/>
      </w:pPr>
    </w:p>
    <w:p w:rsidR="0091781E" w:rsidRDefault="00024C2B">
      <w:pPr>
        <w:spacing w:after="160" w:line="259" w:lineRule="auto"/>
        <w:jc w:val="both"/>
        <w:rPr>
          <w:b/>
          <w:bCs/>
        </w:rPr>
      </w:pPr>
      <w:r>
        <w:rPr>
          <w:b/>
          <w:bCs/>
        </w:rPr>
        <w:t>4.4 Evaluation Phase: Participant Satisfaction and Perceived Effectiveness</w:t>
      </w:r>
    </w:p>
    <w:p w:rsidR="0091781E" w:rsidRDefault="00024C2B">
      <w:pPr>
        <w:spacing w:after="160" w:line="259" w:lineRule="auto"/>
        <w:jc w:val="both"/>
      </w:pPr>
      <w:r>
        <w:t>The evaluation results indicated a high level of participant satisfaction with both the program operation and content. Out of 102 participants, 89 responses were analyzed. The overa</w:t>
      </w:r>
      <w:r>
        <w:t>ll satisfaction score for program operation was 4.90, and for program content was 4.89, indicating a consistently positive evaluation . Participants reported high satisfaction across multiple aspects, including program structure, instructor performance, sc</w:t>
      </w:r>
      <w:r>
        <w:t>heduling, and learning environment. Importantly, participants perceived that the program effectively reflected their career-stage-specific needs. In terms of content, participants indicated that the training improved their understanding of AI–digital techn</w:t>
      </w:r>
      <w:r>
        <w:t xml:space="preserve">ologies and provided practical strategies for classroom application. Many participants reported that </w:t>
      </w:r>
      <w:r>
        <w:lastRenderedPageBreak/>
        <w:t>the program helped them address gaps in their competencies at their current career stage and enhanced their ability to integrate AI into both instructional</w:t>
      </w:r>
      <w:r>
        <w:t xml:space="preserve"> and administrative tasks. Furthermore, participants expressed a strong intention to apply the learned content in their professional practice and highlighted the practical applicability of the training. Across all career stages, participants emphasized the</w:t>
      </w:r>
      <w:r>
        <w:t xml:space="preserve"> necessity of continuing career-stage-responsive training programs.</w:t>
      </w:r>
    </w:p>
    <w:p w:rsidR="0091781E" w:rsidRDefault="0091781E">
      <w:pPr>
        <w:spacing w:after="160" w:line="259" w:lineRule="auto"/>
        <w:jc w:val="both"/>
      </w:pPr>
    </w:p>
    <w:p w:rsidR="0091781E" w:rsidRDefault="00024C2B">
      <w:pPr>
        <w:spacing w:after="160" w:line="259" w:lineRule="auto"/>
        <w:jc w:val="both"/>
        <w:rPr>
          <w:b/>
          <w:bCs/>
        </w:rPr>
      </w:pPr>
      <w:r>
        <w:rPr>
          <w:b/>
          <w:bCs/>
        </w:rPr>
        <w:t>4.5 Integrated Findings</w:t>
      </w:r>
    </w:p>
    <w:p w:rsidR="0091781E" w:rsidRDefault="00024C2B">
      <w:pPr>
        <w:spacing w:after="160" w:line="259" w:lineRule="auto"/>
        <w:jc w:val="both"/>
      </w:pPr>
      <w:r>
        <w:t>The results demonstrate a clear alignment between analysis, program design, and evaluation.</w:t>
      </w:r>
    </w:p>
    <w:p w:rsidR="0091781E" w:rsidRDefault="00024C2B">
      <w:pPr>
        <w:spacing w:after="160" w:line="259" w:lineRule="auto"/>
        <w:jc w:val="both"/>
      </w:pPr>
      <w:r>
        <w:t>First, the analysis phase identified distinct career-stage-specific dif</w:t>
      </w:r>
      <w:r>
        <w:t>ferences in AI–digital competency needs. Second, these differences were systematically reflected in the design and development of the training program. Third, the high levels of satisfaction and perceived applicability suggest that the differentiated progr</w:t>
      </w:r>
      <w:r>
        <w:t>am effectively addressed teachers’ needs.</w:t>
      </w:r>
    </w:p>
    <w:p w:rsidR="0091781E" w:rsidRDefault="00024C2B">
      <w:pPr>
        <w:spacing w:after="160" w:line="259" w:lineRule="auto"/>
        <w:jc w:val="both"/>
        <w:rPr>
          <w:sz w:val="24"/>
          <w:szCs w:val="24"/>
        </w:rPr>
      </w:pPr>
      <w:r>
        <w:t>These findings indicate that career-stage-responsive training is not only theoretically meaningful but also practically effective in enhancing teacher professional development in AI-integrated educational contexts.</w:t>
      </w:r>
      <w:r>
        <w:rPr>
          <w:sz w:val="24"/>
          <w:szCs w:val="24"/>
        </w:rPr>
        <w:t xml:space="preserve"> </w:t>
      </w:r>
      <w:r>
        <w:br w:type="page"/>
      </w:r>
    </w:p>
    <w:p w:rsidR="0091781E" w:rsidRDefault="00024C2B">
      <w:pPr>
        <w:ind w:firstLine="236"/>
        <w:jc w:val="both"/>
        <w:rPr>
          <w:b/>
          <w:bCs/>
          <w:sz w:val="24"/>
          <w:szCs w:val="24"/>
        </w:rPr>
      </w:pPr>
      <w:r>
        <w:rPr>
          <w:b/>
          <w:bCs/>
          <w:sz w:val="24"/>
          <w:szCs w:val="24"/>
        </w:rPr>
        <w:lastRenderedPageBreak/>
        <w:t>5. Discussion</w:t>
      </w:r>
    </w:p>
    <w:p w:rsidR="0091781E" w:rsidRDefault="0091781E">
      <w:pPr>
        <w:ind w:firstLine="200"/>
        <w:jc w:val="both"/>
      </w:pPr>
    </w:p>
    <w:p w:rsidR="0091781E" w:rsidRDefault="00024C2B">
      <w:pPr>
        <w:ind w:firstLine="200"/>
        <w:jc w:val="both"/>
      </w:pPr>
      <w:r>
        <w:t>This study aimed to develop and implement a career-stage-responsive AI–digital competency training program for teachers, based on the assumption that teachers’ professional needs differ across their career trajectories. The findings provi</w:t>
      </w:r>
      <w:r>
        <w:t>de several important implications for both research and practice in teacher professional development in the era of AI.</w:t>
      </w:r>
    </w:p>
    <w:p w:rsidR="0091781E" w:rsidRDefault="00024C2B">
      <w:pPr>
        <w:ind w:firstLine="200"/>
        <w:jc w:val="both"/>
      </w:pPr>
      <w:r>
        <w:t>First, this study confirms that teachers’ AI–digital competency needs are not merely differentiated by levels of proficiency but are qual</w:t>
      </w:r>
      <w:r>
        <w:t>itatively distinct across career stages. Teachers at different stages demonstrated different concerns, priorities, and roles in relation to AI integration. Early-career teachers focused on survival and adaptation, while mid-career teachers emphasized instr</w:t>
      </w:r>
      <w:r>
        <w:t>uctional expansion and collaboration. More experienced teachers demonstrated a stronger focus on efficiency, strategic decision-making, and leadership roles. These findings extend previous research that has primarily conceptualized AI competencies as a set</w:t>
      </w:r>
      <w:r>
        <w:t xml:space="preserve"> of general skills (Basilotta-Gómez-Pablos et al., 2022; Lorenz &amp; Romeike, 2023), by highlighting the importance of considering developmental trajectories in understanding teacher competencies.</w:t>
      </w:r>
    </w:p>
    <w:p w:rsidR="0091781E" w:rsidRDefault="00024C2B">
      <w:pPr>
        <w:ind w:firstLine="200"/>
        <w:jc w:val="both"/>
      </w:pPr>
      <w:r>
        <w:t>Second, this study contributes to the literature by demonstrat</w:t>
      </w:r>
      <w:r>
        <w:t>ing that teacher training programs can be systematically differentiated based on career-stage characteristics. While prior studies have emphasized the importance of AI literacy and competency frameworks (UNESCO, 2021; Vuorikari et al., 2016), they have lar</w:t>
      </w:r>
      <w:r>
        <w:t>gely adopted generalized approaches that assume uniform training needs among teachers. In contrast, this study shows that aligning training content, instructional strategies, and expected outcomes with career-stage-specific characteristics can result in mo</w:t>
      </w:r>
      <w:r>
        <w:t>re relevant and meaningful professional development experiences.</w:t>
      </w:r>
    </w:p>
    <w:p w:rsidR="0091781E" w:rsidRDefault="00024C2B">
      <w:pPr>
        <w:ind w:firstLine="200"/>
        <w:jc w:val="both"/>
      </w:pPr>
      <w:r>
        <w:t xml:space="preserve">Third, the high level of participant satisfaction suggests that the career-stage-responsive approach is effective in addressing teachers’ actual needs. Participants reported that the program </w:t>
      </w:r>
      <w:r>
        <w:t xml:space="preserve">was not only relevant to their professional context but also practically applicable to their instructional and administrative tasks. This finding supports previous research indicating that teacher training is more effective when it is closely aligned with </w:t>
      </w:r>
      <w:r>
        <w:t>teachers’ real-world practices and contexts (Markauskaite et al., 2023). In particular, the emphasis on hands-on activities, collaborative learning, and immediate applicability appears to have enhanced the perceived usefulness of the program.</w:t>
      </w:r>
    </w:p>
    <w:p w:rsidR="0091781E" w:rsidRDefault="00024C2B">
      <w:pPr>
        <w:ind w:firstLine="200"/>
        <w:jc w:val="both"/>
      </w:pPr>
      <w:r>
        <w:t xml:space="preserve">Fourth, this </w:t>
      </w:r>
      <w:r>
        <w:t>study highlights the importance of moving beyond one-size-fits-all training models in teacher professional development. Despite the global expansion of AI-related teacher training initiatives, many programs still rely on standardized approaches that fail t</w:t>
      </w:r>
      <w:r>
        <w:t>o account for differences in teachers’ experiences and roles. The findings of this study suggest that career-stage-responsive training can provide a more effective alternative by addressing the diversity of teachers’ professional trajectories.</w:t>
      </w:r>
    </w:p>
    <w:p w:rsidR="0091781E" w:rsidRDefault="00024C2B">
      <w:pPr>
        <w:ind w:firstLine="200"/>
        <w:jc w:val="both"/>
      </w:pPr>
      <w:r>
        <w:t>From a pract</w:t>
      </w:r>
      <w:r>
        <w:t>ical perspective, this study provides a scalable model for designing AI–digital teacher training programs that can be adapted to different educational contexts. Policymakers and educational institutions may benefit from incorporating career-stage different</w:t>
      </w:r>
      <w:r>
        <w:t>iation into their professional development systems to enhance both relevance and effectiveness.</w:t>
      </w:r>
    </w:p>
    <w:p w:rsidR="0091781E" w:rsidRDefault="00024C2B">
      <w:pPr>
        <w:ind w:firstLine="200"/>
        <w:jc w:val="both"/>
      </w:pPr>
      <w:r>
        <w:t>Nevertheless, this study has several limitations. First, the training program was implemented only once, and therefore long-term effects on teacher practice and</w:t>
      </w:r>
      <w:r>
        <w:t xml:space="preserve"> student outcomes were not examined. Second, the study relied primarily on self-reported data for evaluation, which may limit the objectivity of the findings. Future research should explore longitudinal effects and incorporate multiple data sources, such a</w:t>
      </w:r>
      <w:r>
        <w:t>s classroom observations and performance-based assessments. Finally, future studies may further investigate the underlying factors that contribute to career-stage differences in AI–digital competencies. Understanding these factors could provide deeper insi</w:t>
      </w:r>
      <w:r>
        <w:t>ghts into how teacher professional development can be optimized across different stages of teachers’ careers.</w:t>
      </w:r>
    </w:p>
    <w:p w:rsidR="0091781E" w:rsidRDefault="0091781E">
      <w:pPr>
        <w:ind w:firstLine="200"/>
        <w:jc w:val="both"/>
      </w:pPr>
    </w:p>
    <w:p w:rsidR="0091781E" w:rsidRDefault="00024C2B">
      <w:pPr>
        <w:ind w:firstLine="120"/>
        <w:jc w:val="both"/>
        <w:rPr>
          <w:b/>
          <w:bCs/>
          <w:sz w:val="24"/>
          <w:szCs w:val="24"/>
        </w:rPr>
      </w:pPr>
      <w:r>
        <w:rPr>
          <w:b/>
          <w:bCs/>
          <w:sz w:val="24"/>
          <w:szCs w:val="24"/>
        </w:rPr>
        <w:t>6. Conclusion</w:t>
      </w:r>
    </w:p>
    <w:p w:rsidR="0091781E" w:rsidRDefault="00024C2B">
      <w:pPr>
        <w:ind w:firstLine="100"/>
        <w:jc w:val="both"/>
      </w:pPr>
      <w:r>
        <w:t>This study developed and implemented a career-stage-responsive AI–digital competency training program for teachers, addressing the limitations of existing one-size-fits-all approaches to teacher professional development.</w:t>
      </w:r>
    </w:p>
    <w:p w:rsidR="0091781E" w:rsidRDefault="00024C2B">
      <w:pPr>
        <w:ind w:firstLine="100"/>
        <w:jc w:val="both"/>
      </w:pPr>
      <w:r>
        <w:t>The findings revealed that teachers</w:t>
      </w:r>
      <w:r>
        <w:t>’ AI–digital competency needs differ significantly across career stages, not only in terms of level but also in terms of focus, purpose, and application. Based on these differences, the study designed and implemented a differentiated training program align</w:t>
      </w:r>
      <w:r>
        <w:t>ed with four career stages: Induction, Growth, Maturity, and Leadership.</w:t>
      </w:r>
    </w:p>
    <w:p w:rsidR="0091781E" w:rsidRDefault="0091781E">
      <w:pPr>
        <w:ind w:firstLine="100"/>
        <w:jc w:val="both"/>
      </w:pPr>
    </w:p>
    <w:p w:rsidR="0091781E" w:rsidRDefault="00024C2B">
      <w:pPr>
        <w:ind w:firstLine="100"/>
        <w:jc w:val="both"/>
      </w:pPr>
      <w:r>
        <w:lastRenderedPageBreak/>
        <w:t>The results demonstrated that the program effectively reflected teachers’ career-stage-specific needs and achieved high levels of participant satisfaction. These findings suggest tha</w:t>
      </w:r>
      <w:r>
        <w:t>t career-stage-responsive training is both feasible and effective as a model for teacher professional development in AI-integrated educational contexts.</w:t>
      </w:r>
    </w:p>
    <w:p w:rsidR="0091781E" w:rsidRDefault="00024C2B">
      <w:pPr>
        <w:ind w:firstLine="100"/>
        <w:jc w:val="both"/>
      </w:pPr>
      <w:r>
        <w:t>By integrating competency framework development, needs analysis, and program design within the ADDIE mo</w:t>
      </w:r>
      <w:r>
        <w:t>del, this study provides a comprehensive approach to designing teacher training programs that are both theoretically grounded and practically applicable.</w:t>
      </w:r>
    </w:p>
    <w:p w:rsidR="0091781E" w:rsidRDefault="00024C2B">
      <w:pPr>
        <w:ind w:firstLine="100"/>
        <w:jc w:val="both"/>
      </w:pPr>
      <w:r>
        <w:t>Ultimately, this study contributes to the growing body of research on AI–digital teacher competencies by introducing a career-stage perspective and demonstrating its practical implications for teacher training design. It is expected that the findings of th</w:t>
      </w:r>
      <w:r>
        <w:t>is study will inform future efforts to develop more adaptive, context-sensitive, and sustainable professional development systems for teachers in the era of AI.</w:t>
      </w:r>
    </w:p>
    <w:p w:rsidR="0091781E" w:rsidRDefault="00024C2B">
      <w:pPr>
        <w:spacing w:after="160" w:line="259" w:lineRule="auto"/>
      </w:pPr>
      <w:r>
        <w:br w:type="page"/>
      </w:r>
    </w:p>
    <w:p w:rsidR="0091781E" w:rsidRDefault="00024C2B">
      <w:r>
        <w:rPr>
          <w:b/>
          <w:bCs/>
        </w:rPr>
        <w:lastRenderedPageBreak/>
        <w:t>References</w:t>
      </w:r>
    </w:p>
    <w:p w:rsidR="0091781E" w:rsidRDefault="00024C2B">
      <w:r>
        <w:t>Beasley, R. E., &amp; Vila, J. A. (1992). The identification of navigation patterns in</w:t>
      </w:r>
      <w:r>
        <w:t xml:space="preserve"> a multimedia environment: A case study. Journal of Educational Multimedia and Hypermedia, 1(2), 209–222.</w:t>
      </w:r>
    </w:p>
    <w:p w:rsidR="0091781E" w:rsidRDefault="0091781E"/>
    <w:p w:rsidR="0091781E" w:rsidRDefault="00024C2B">
      <w:r>
        <w:t>Kearsley, G. (2004). Explorations in learning &amp; instruction: The theory into practice database. http://www.gwu.edu/~tip/</w:t>
      </w:r>
    </w:p>
    <w:p w:rsidR="0091781E" w:rsidRDefault="0091781E"/>
    <w:p w:rsidR="0091781E" w:rsidRDefault="00024C2B">
      <w:r>
        <w:t>Underwood, J. (1997). Break</w:t>
      </w:r>
      <w:r>
        <w:t>ing the cycle of ignorance: Information technology and the professional development of teachers. In D. Passey &amp; B. Samways (Eds.), Information technology: Supporting change through teacher education (pp. 155–158). Chapman &amp; Hall.</w:t>
      </w:r>
    </w:p>
    <w:sectPr w:rsidR="0091781E">
      <w:footerReference w:type="default" r:id="rId9"/>
      <w:pgSz w:w="11906" w:h="16838"/>
      <w:pgMar w:top="1440" w:right="1440" w:bottom="1440" w:left="1440" w:header="709"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4C2B" w:rsidRDefault="00024C2B">
      <w:pPr>
        <w:spacing w:after="0"/>
      </w:pPr>
      <w:r>
        <w:separator/>
      </w:r>
    </w:p>
  </w:endnote>
  <w:endnote w:type="continuationSeparator" w:id="0">
    <w:p w:rsidR="00024C2B" w:rsidRDefault="00024C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C436BF5-3117-458A-B721-1C88E1F881C4}"/>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CFBF9EE1-20A6-4509-A8ED-2B43BA02E07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3" w:fontKey="{C95DC060-A4AB-4EC0-BE6A-B9EE28AB128B}"/>
  </w:font>
  <w:font w:name="Calibri Light">
    <w:panose1 w:val="020F0302020204030204"/>
    <w:charset w:val="00"/>
    <w:family w:val="swiss"/>
    <w:pitch w:val="variable"/>
    <w:sig w:usb0="E4002EFF" w:usb1="C200247B" w:usb2="00000009" w:usb3="00000000" w:csb0="000001FF" w:csb1="00000000"/>
    <w:embedRegular r:id="rId4" w:fontKey="{D3FE4499-C310-4479-A9FA-DEF83DA05DF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2093400"/>
      <w:docPartObj>
        <w:docPartGallery w:val="Page Numbers (Bottom of Page)"/>
        <w:docPartUnique/>
      </w:docPartObj>
    </w:sdtPr>
    <w:sdtContent>
      <w:p w:rsidR="001F1655" w:rsidRDefault="001F1655">
        <w:pPr>
          <w:pStyle w:val="a6"/>
          <w:jc w:val="center"/>
        </w:pPr>
        <w:r>
          <w:fldChar w:fldCharType="begin"/>
        </w:r>
        <w:r>
          <w:instrText>PAGE   \* MERGEFORMAT</w:instrText>
        </w:r>
        <w:r>
          <w:fldChar w:fldCharType="separate"/>
        </w:r>
        <w:r w:rsidRPr="001F1655">
          <w:rPr>
            <w:noProof/>
            <w:lang w:val="ko-KR"/>
          </w:rPr>
          <w:t>2</w:t>
        </w:r>
        <w:r>
          <w:fldChar w:fldCharType="end"/>
        </w:r>
      </w:p>
    </w:sdtContent>
  </w:sdt>
  <w:p w:rsidR="0091781E" w:rsidRDefault="0091781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4C2B" w:rsidRDefault="00024C2B">
      <w:pPr>
        <w:spacing w:after="0"/>
      </w:pPr>
      <w:r>
        <w:separator/>
      </w:r>
    </w:p>
  </w:footnote>
  <w:footnote w:type="continuationSeparator" w:id="0">
    <w:p w:rsidR="00024C2B" w:rsidRDefault="00024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7163F"/>
    <w:multiLevelType w:val="multilevel"/>
    <w:tmpl w:val="47BC65E8"/>
    <w:lvl w:ilvl="0">
      <w:start w:val="1"/>
      <w:numFmt w:val="decimal"/>
      <w:pStyle w:val="ListNumbered"/>
      <w:lvlText w:val="%1."/>
      <w:lvlJc w:val="left"/>
      <w:pPr>
        <w:ind w:left="1000" w:hanging="400"/>
      </w:pPr>
    </w:lvl>
    <w:lvl w:ilvl="1">
      <w:start w:val="1"/>
      <w:numFmt w:val="decimal"/>
      <w:lvlText w:val="%1.%2"/>
      <w:lvlJc w:val="left"/>
      <w:pPr>
        <w:ind w:left="960" w:hanging="360"/>
      </w:pPr>
    </w:lvl>
    <w:lvl w:ilvl="2">
      <w:start w:val="1"/>
      <w:numFmt w:val="decimal"/>
      <w:lvlText w:val="%1.%2.%3"/>
      <w:lvlJc w:val="left"/>
      <w:pPr>
        <w:ind w:left="1320" w:hanging="720"/>
      </w:pPr>
    </w:lvl>
    <w:lvl w:ilvl="3">
      <w:start w:val="1"/>
      <w:numFmt w:val="decimal"/>
      <w:lvlText w:val="%1.%2.%3.%4"/>
      <w:lvlJc w:val="left"/>
      <w:pPr>
        <w:ind w:left="1320" w:hanging="720"/>
      </w:pPr>
    </w:lvl>
    <w:lvl w:ilvl="4">
      <w:start w:val="1"/>
      <w:numFmt w:val="decimal"/>
      <w:lvlText w:val="%1.%2.%3.%4.%5"/>
      <w:lvlJc w:val="left"/>
      <w:pPr>
        <w:ind w:left="1320" w:hanging="720"/>
      </w:pPr>
    </w:lvl>
    <w:lvl w:ilvl="5">
      <w:start w:val="1"/>
      <w:numFmt w:val="decimal"/>
      <w:lvlText w:val="%1.%2.%3.%4.%5.%6"/>
      <w:lvlJc w:val="left"/>
      <w:pPr>
        <w:ind w:left="1680" w:hanging="1080"/>
      </w:pPr>
    </w:lvl>
    <w:lvl w:ilvl="6">
      <w:start w:val="1"/>
      <w:numFmt w:val="decimal"/>
      <w:lvlText w:val="%1.%2.%3.%4.%5.%6.%7"/>
      <w:lvlJc w:val="left"/>
      <w:pPr>
        <w:ind w:left="1680" w:hanging="1080"/>
      </w:pPr>
    </w:lvl>
    <w:lvl w:ilvl="7">
      <w:start w:val="1"/>
      <w:numFmt w:val="decimal"/>
      <w:lvlText w:val="%1.%2.%3.%4.%5.%6.%7.%8"/>
      <w:lvlJc w:val="left"/>
      <w:pPr>
        <w:ind w:left="2040" w:hanging="1440"/>
      </w:pPr>
    </w:lvl>
    <w:lvl w:ilvl="8">
      <w:start w:val="1"/>
      <w:numFmt w:val="decimal"/>
      <w:lvlText w:val="%1.%2.%3.%4.%5.%6.%7.%8.%9"/>
      <w:lvlJc w:val="left"/>
      <w:pPr>
        <w:ind w:left="2040" w:hanging="1440"/>
      </w:pPr>
    </w:lvl>
  </w:abstractNum>
  <w:abstractNum w:abstractNumId="1" w15:restartNumberingAfterBreak="0">
    <w:nsid w:val="5AA406EE"/>
    <w:multiLevelType w:val="multilevel"/>
    <w:tmpl w:val="1E8AEF0C"/>
    <w:lvl w:ilvl="0">
      <w:start w:val="1"/>
      <w:numFmt w:val="decimal"/>
      <w:pStyle w:val="NLC-BulletedList"/>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5F0E5F63"/>
    <w:multiLevelType w:val="multilevel"/>
    <w:tmpl w:val="2BBAE928"/>
    <w:lvl w:ilvl="0">
      <w:start w:val="1"/>
      <w:numFmt w:val="bullet"/>
      <w:lvlText w:val="●"/>
      <w:lvlJc w:val="left"/>
      <w:pPr>
        <w:ind w:left="1000" w:hanging="400"/>
      </w:pPr>
      <w:rPr>
        <w:rFonts w:ascii="Noto Sans Symbols" w:eastAsia="Noto Sans Symbols" w:hAnsi="Noto Sans Symbols" w:cs="Noto Sans Symbols"/>
      </w:rPr>
    </w:lvl>
    <w:lvl w:ilvl="1">
      <w:start w:val="1"/>
      <w:numFmt w:val="bullet"/>
      <w:lvlText w:val="■"/>
      <w:lvlJc w:val="left"/>
      <w:pPr>
        <w:ind w:left="1400" w:hanging="400"/>
      </w:pPr>
      <w:rPr>
        <w:rFonts w:ascii="Noto Sans Symbols" w:eastAsia="Noto Sans Symbols" w:hAnsi="Noto Sans Symbols" w:cs="Noto Sans Symbols"/>
      </w:rPr>
    </w:lvl>
    <w:lvl w:ilvl="2">
      <w:start w:val="1"/>
      <w:numFmt w:val="bullet"/>
      <w:lvlText w:val="◆"/>
      <w:lvlJc w:val="left"/>
      <w:pPr>
        <w:ind w:left="1800" w:hanging="400"/>
      </w:pPr>
      <w:rPr>
        <w:rFonts w:ascii="Noto Sans Symbols" w:eastAsia="Noto Sans Symbols" w:hAnsi="Noto Sans Symbols" w:cs="Noto Sans Symbols"/>
      </w:rPr>
    </w:lvl>
    <w:lvl w:ilvl="3">
      <w:start w:val="1"/>
      <w:numFmt w:val="bullet"/>
      <w:lvlText w:val="●"/>
      <w:lvlJc w:val="left"/>
      <w:pPr>
        <w:ind w:left="2200" w:hanging="400"/>
      </w:pPr>
      <w:rPr>
        <w:rFonts w:ascii="Noto Sans Symbols" w:eastAsia="Noto Sans Symbols" w:hAnsi="Noto Sans Symbols" w:cs="Noto Sans Symbols"/>
      </w:rPr>
    </w:lvl>
    <w:lvl w:ilvl="4">
      <w:start w:val="1"/>
      <w:numFmt w:val="bullet"/>
      <w:lvlText w:val="■"/>
      <w:lvlJc w:val="left"/>
      <w:pPr>
        <w:ind w:left="2600" w:hanging="400"/>
      </w:pPr>
      <w:rPr>
        <w:rFonts w:ascii="Noto Sans Symbols" w:eastAsia="Noto Sans Symbols" w:hAnsi="Noto Sans Symbols" w:cs="Noto Sans Symbols"/>
      </w:rPr>
    </w:lvl>
    <w:lvl w:ilvl="5">
      <w:start w:val="1"/>
      <w:numFmt w:val="bullet"/>
      <w:lvlText w:val="◆"/>
      <w:lvlJc w:val="left"/>
      <w:pPr>
        <w:ind w:left="3000" w:hanging="400"/>
      </w:pPr>
      <w:rPr>
        <w:rFonts w:ascii="Noto Sans Symbols" w:eastAsia="Noto Sans Symbols" w:hAnsi="Noto Sans Symbols" w:cs="Noto Sans Symbols"/>
      </w:rPr>
    </w:lvl>
    <w:lvl w:ilvl="6">
      <w:start w:val="1"/>
      <w:numFmt w:val="bullet"/>
      <w:lvlText w:val="●"/>
      <w:lvlJc w:val="left"/>
      <w:pPr>
        <w:ind w:left="3400" w:hanging="400"/>
      </w:pPr>
      <w:rPr>
        <w:rFonts w:ascii="Noto Sans Symbols" w:eastAsia="Noto Sans Symbols" w:hAnsi="Noto Sans Symbols" w:cs="Noto Sans Symbols"/>
      </w:rPr>
    </w:lvl>
    <w:lvl w:ilvl="7">
      <w:start w:val="1"/>
      <w:numFmt w:val="bullet"/>
      <w:lvlText w:val="■"/>
      <w:lvlJc w:val="left"/>
      <w:pPr>
        <w:ind w:left="3800" w:hanging="400"/>
      </w:pPr>
      <w:rPr>
        <w:rFonts w:ascii="Noto Sans Symbols" w:eastAsia="Noto Sans Symbols" w:hAnsi="Noto Sans Symbols" w:cs="Noto Sans Symbols"/>
      </w:rPr>
    </w:lvl>
    <w:lvl w:ilvl="8">
      <w:start w:val="1"/>
      <w:numFmt w:val="bullet"/>
      <w:lvlText w:val="◆"/>
      <w:lvlJc w:val="left"/>
      <w:pPr>
        <w:ind w:left="4200" w:hanging="400"/>
      </w:pPr>
      <w:rPr>
        <w:rFonts w:ascii="Noto Sans Symbols" w:eastAsia="Noto Sans Symbols" w:hAnsi="Noto Sans Symbols" w:cs="Noto Sans Symbols"/>
      </w:rPr>
    </w:lvl>
  </w:abstractNum>
  <w:abstractNum w:abstractNumId="3" w15:restartNumberingAfterBreak="0">
    <w:nsid w:val="74BF2512"/>
    <w:multiLevelType w:val="multilevel"/>
    <w:tmpl w:val="D52EFD2A"/>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81E"/>
    <w:rsid w:val="00024C2B"/>
    <w:rsid w:val="001F1655"/>
    <w:rsid w:val="009178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0A1D"/>
  <w15:docId w15:val="{219CE3D3-7588-4585-B2A3-589312B9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outlineLvl w:val="0"/>
    </w:pPr>
    <w:rPr>
      <w:b/>
      <w:bCs/>
      <w:sz w:val="28"/>
      <w:szCs w:val="28"/>
    </w:rPr>
  </w:style>
  <w:style w:type="paragraph" w:styleId="2">
    <w:name w:val="heading 2"/>
    <w:basedOn w:val="a"/>
    <w:next w:val="a"/>
    <w:pPr>
      <w:outlineLvl w:val="1"/>
    </w:pPr>
    <w:rPr>
      <w:b/>
      <w:bCs/>
    </w:rPr>
  </w:style>
  <w:style w:type="paragraph" w:styleId="3">
    <w:name w:val="heading 3"/>
    <w:basedOn w:val="a"/>
    <w:next w:val="a"/>
    <w:pPr>
      <w:spacing w:before="120" w:after="40"/>
      <w:outlineLvl w:val="2"/>
    </w:pPr>
    <w:rPr>
      <w:i/>
      <w:iCs/>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style>
  <w:style w:type="paragraph" w:customStyle="1" w:styleId="Reference">
    <w:name w:val="Reference"/>
    <w:link w:val="ReferenceTegn"/>
    <w:qFormat/>
    <w:rsid w:val="00D33CAE"/>
    <w:pPr>
      <w:spacing w:line="480" w:lineRule="auto"/>
      <w:ind w:left="737" w:hanging="737"/>
      <w:contextualSpacing/>
    </w:pPr>
    <w:rPr>
      <w:rFonts w:ascii="Calibri" w:hAnsi="Calibri"/>
    </w:rPr>
  </w:style>
  <w:style w:type="character" w:customStyle="1" w:styleId="ReferenceTegn">
    <w:name w:val="Reference Tegn"/>
    <w:basedOn w:val="a0"/>
    <w:link w:val="Reference"/>
    <w:rsid w:val="00D33CAE"/>
    <w:rPr>
      <w:rFonts w:ascii="Calibri" w:hAnsi="Calibri" w:cs="Arial"/>
      <w:sz w:val="24"/>
      <w:szCs w:val="24"/>
      <w:lang w:val="en-GB"/>
    </w:rPr>
  </w:style>
  <w:style w:type="character" w:customStyle="1" w:styleId="1Char">
    <w:name w:val="제목 1 Char"/>
    <w:aliases w:val="NLC - Heading 1 Char"/>
    <w:basedOn w:val="a0"/>
    <w:uiPriority w:val="99"/>
    <w:rsid w:val="00146927"/>
    <w:rPr>
      <w:rFonts w:ascii="Arial" w:eastAsia="Times New Roman" w:hAnsi="Arial" w:cs="Arial"/>
      <w:b/>
      <w:bCs/>
      <w:sz w:val="28"/>
      <w:szCs w:val="20"/>
      <w:lang w:val="en-GB"/>
    </w:rPr>
  </w:style>
  <w:style w:type="character" w:customStyle="1" w:styleId="2Char">
    <w:name w:val="제목 2 Char"/>
    <w:aliases w:val="NLC - Heading 2 Char"/>
    <w:basedOn w:val="a0"/>
    <w:uiPriority w:val="99"/>
    <w:rsid w:val="00146927"/>
    <w:rPr>
      <w:rFonts w:ascii="Arial" w:eastAsia="Times New Roman" w:hAnsi="Arial" w:cs="Arial"/>
      <w:b/>
      <w:bCs/>
      <w:sz w:val="20"/>
      <w:szCs w:val="20"/>
      <w:lang w:val="en-GB"/>
    </w:rPr>
  </w:style>
  <w:style w:type="character" w:customStyle="1" w:styleId="3Char">
    <w:name w:val="제목 3 Char"/>
    <w:aliases w:val="NLC - Heading 3 Char"/>
    <w:basedOn w:val="a0"/>
    <w:uiPriority w:val="99"/>
    <w:rsid w:val="00146927"/>
    <w:rPr>
      <w:rFonts w:ascii="Times New Roman" w:eastAsia="Times New Roman" w:hAnsi="Times New Roman" w:cs="Times New Roman"/>
      <w:i/>
      <w:iCs/>
      <w:sz w:val="20"/>
      <w:szCs w:val="20"/>
      <w:lang w:val="en-GB"/>
    </w:rPr>
  </w:style>
  <w:style w:type="paragraph" w:customStyle="1" w:styleId="NLC-FigureCaption">
    <w:name w:val="NLC - Figure Caption"/>
    <w:uiPriority w:val="99"/>
    <w:qFormat/>
    <w:rsid w:val="00146927"/>
    <w:pPr>
      <w:spacing w:before="100" w:after="200"/>
      <w:jc w:val="center"/>
    </w:pPr>
    <w:rPr>
      <w:b/>
      <w:bCs/>
    </w:rPr>
  </w:style>
  <w:style w:type="paragraph" w:customStyle="1" w:styleId="NLC-Abstracttext">
    <w:name w:val="NLC - Abstract text"/>
    <w:link w:val="NLC-AbstracttextChar"/>
    <w:uiPriority w:val="99"/>
    <w:qFormat/>
    <w:rsid w:val="00146927"/>
    <w:pPr>
      <w:spacing w:before="40"/>
      <w:ind w:left="432" w:right="432"/>
      <w:jc w:val="both"/>
    </w:pPr>
  </w:style>
  <w:style w:type="paragraph" w:customStyle="1" w:styleId="NLC-BulletedList">
    <w:name w:val="NLC - Bulleted List"/>
    <w:uiPriority w:val="99"/>
    <w:rsid w:val="00146927"/>
    <w:pPr>
      <w:numPr>
        <w:numId w:val="1"/>
      </w:numPr>
      <w:ind w:left="357" w:hanging="357"/>
    </w:pPr>
    <w:rPr>
      <w:lang w:val="en-AU"/>
    </w:rPr>
  </w:style>
  <w:style w:type="paragraph" w:customStyle="1" w:styleId="NLC-References">
    <w:name w:val="NLC - References"/>
    <w:link w:val="NLC-ReferencesChar"/>
    <w:uiPriority w:val="99"/>
    <w:qFormat/>
    <w:rsid w:val="00146927"/>
    <w:pPr>
      <w:ind w:left="284" w:hanging="284"/>
    </w:pPr>
    <w:rPr>
      <w:lang w:val="en-AU"/>
    </w:rPr>
  </w:style>
  <w:style w:type="paragraph" w:customStyle="1" w:styleId="NLC-TableCaption">
    <w:name w:val="NLC - Table Caption"/>
    <w:link w:val="NLC-TableCaptionChar"/>
    <w:uiPriority w:val="99"/>
    <w:qFormat/>
    <w:rsid w:val="00146927"/>
    <w:pPr>
      <w:jc w:val="center"/>
    </w:pPr>
    <w:rPr>
      <w:b/>
      <w:bCs/>
    </w:rPr>
  </w:style>
  <w:style w:type="character" w:customStyle="1" w:styleId="NLC-table">
    <w:name w:val="NLC - table"/>
    <w:basedOn w:val="a0"/>
    <w:uiPriority w:val="99"/>
    <w:qFormat/>
    <w:rsid w:val="00146927"/>
    <w:rPr>
      <w:rFonts w:cs="Times New Roman"/>
      <w:sz w:val="20"/>
      <w:szCs w:val="20"/>
    </w:rPr>
  </w:style>
  <w:style w:type="character" w:customStyle="1" w:styleId="Char">
    <w:name w:val="제목 Char"/>
    <w:aliases w:val="ICER - Title Char"/>
    <w:basedOn w:val="a0"/>
    <w:rsid w:val="00C73558"/>
    <w:rPr>
      <w:rFonts w:ascii="Times New Roman" w:eastAsia="Times New Roman" w:hAnsi="Times New Roman" w:cs="Times New Roman"/>
      <w:sz w:val="20"/>
      <w:szCs w:val="20"/>
      <w:lang w:val="en-GB"/>
    </w:rPr>
  </w:style>
  <w:style w:type="paragraph" w:customStyle="1" w:styleId="AuthorName">
    <w:name w:val="Author Name"/>
    <w:basedOn w:val="AuthorDetails"/>
    <w:link w:val="AuthorNameChar"/>
    <w:qFormat/>
    <w:rsid w:val="00C73558"/>
  </w:style>
  <w:style w:type="paragraph" w:customStyle="1" w:styleId="AuthorDetails">
    <w:name w:val="Author Details"/>
    <w:link w:val="AuthorDetailsChar"/>
    <w:qFormat/>
    <w:rsid w:val="00C73558"/>
  </w:style>
  <w:style w:type="character" w:customStyle="1" w:styleId="AuthorNameChar">
    <w:name w:val="Author Name Char"/>
    <w:basedOn w:val="a0"/>
    <w:link w:val="AuthorName"/>
    <w:rsid w:val="00C73558"/>
    <w:rPr>
      <w:rFonts w:ascii="Times New Roman" w:eastAsia="Times New Roman" w:hAnsi="Times New Roman" w:cs="Times New Roman"/>
      <w:sz w:val="20"/>
      <w:szCs w:val="20"/>
      <w:lang w:val="en-GB"/>
    </w:rPr>
  </w:style>
  <w:style w:type="paragraph" w:customStyle="1" w:styleId="ICER-AbstractHeading">
    <w:name w:val="ICER - Abstract Heading"/>
    <w:basedOn w:val="AuthorName"/>
    <w:link w:val="ICER-AbstractHeadingChar"/>
    <w:qFormat/>
    <w:rsid w:val="00C73558"/>
  </w:style>
  <w:style w:type="character" w:customStyle="1" w:styleId="AuthorDetailsChar">
    <w:name w:val="Author Details Char"/>
    <w:basedOn w:val="a0"/>
    <w:link w:val="AuthorDetails"/>
    <w:rsid w:val="00C73558"/>
    <w:rPr>
      <w:rFonts w:ascii="Times New Roman" w:eastAsia="Times New Roman" w:hAnsi="Times New Roman" w:cs="Times New Roman"/>
      <w:sz w:val="20"/>
      <w:szCs w:val="20"/>
      <w:lang w:val="en-GB"/>
    </w:rPr>
  </w:style>
  <w:style w:type="character" w:customStyle="1" w:styleId="ICER-AbstractHeadingChar">
    <w:name w:val="ICER - Abstract Heading Char"/>
    <w:basedOn w:val="a0"/>
    <w:link w:val="ICER-AbstractHeading"/>
    <w:rsid w:val="00C73558"/>
    <w:rPr>
      <w:rFonts w:ascii="Times New Roman" w:eastAsia="Times New Roman" w:hAnsi="Times New Roman" w:cs="Times New Roman"/>
      <w:sz w:val="20"/>
      <w:szCs w:val="20"/>
      <w:lang w:val="en-GB"/>
    </w:rPr>
  </w:style>
  <w:style w:type="paragraph" w:styleId="a4">
    <w:name w:val="Quote"/>
    <w:aliases w:val="NLC - Block Quote"/>
    <w:link w:val="Char0"/>
    <w:uiPriority w:val="29"/>
    <w:qFormat/>
    <w:rsid w:val="00146927"/>
    <w:pPr>
      <w:ind w:left="567" w:right="567"/>
    </w:pPr>
    <w:rPr>
      <w:lang w:val="en-AU"/>
    </w:rPr>
  </w:style>
  <w:style w:type="character" w:customStyle="1" w:styleId="Char0">
    <w:name w:val="인용 Char"/>
    <w:aliases w:val="NLC - Block Quote Char"/>
    <w:basedOn w:val="a0"/>
    <w:link w:val="a4"/>
    <w:uiPriority w:val="29"/>
    <w:rsid w:val="00146927"/>
    <w:rPr>
      <w:rFonts w:ascii="Times New Roman" w:eastAsia="Times New Roman" w:hAnsi="Times New Roman" w:cs="Times New Roman"/>
      <w:sz w:val="20"/>
      <w:szCs w:val="20"/>
      <w:lang w:val="en-AU"/>
    </w:rPr>
  </w:style>
  <w:style w:type="character" w:customStyle="1" w:styleId="NLC-AbstracttextChar">
    <w:name w:val="NLC - Abstract text Char"/>
    <w:basedOn w:val="a0"/>
    <w:link w:val="NLC-Abstracttext"/>
    <w:uiPriority w:val="99"/>
    <w:rsid w:val="00146927"/>
    <w:rPr>
      <w:rFonts w:ascii="Times New Roman" w:eastAsia="Times New Roman" w:hAnsi="Times New Roman" w:cs="Times New Roman"/>
      <w:sz w:val="20"/>
      <w:szCs w:val="20"/>
      <w:lang w:val="en-GB"/>
    </w:rPr>
  </w:style>
  <w:style w:type="paragraph" w:customStyle="1" w:styleId="ListBulleted">
    <w:name w:val="List Bulleted"/>
    <w:basedOn w:val="NLC-BulletedList"/>
    <w:link w:val="ListBulletedChar"/>
    <w:qFormat/>
    <w:rsid w:val="00146927"/>
  </w:style>
  <w:style w:type="paragraph" w:customStyle="1" w:styleId="ListNumbered">
    <w:name w:val="List Numbered"/>
    <w:link w:val="ListNumberedChar"/>
    <w:qFormat/>
    <w:rsid w:val="00146927"/>
    <w:pPr>
      <w:numPr>
        <w:numId w:val="2"/>
      </w:numPr>
      <w:ind w:left="284" w:hanging="284"/>
    </w:pPr>
  </w:style>
  <w:style w:type="character" w:customStyle="1" w:styleId="ListBulletedChar">
    <w:name w:val="List Bulleted Char"/>
    <w:basedOn w:val="a0"/>
    <w:link w:val="ListBulleted"/>
    <w:rsid w:val="00146927"/>
    <w:rPr>
      <w:rFonts w:ascii="Times New Roman" w:eastAsia="Times New Roman" w:hAnsi="Times New Roman" w:cs="Times New Roman"/>
      <w:sz w:val="20"/>
      <w:szCs w:val="20"/>
      <w:lang w:val="en-AU"/>
    </w:rPr>
  </w:style>
  <w:style w:type="character" w:customStyle="1" w:styleId="ListNumberedChar">
    <w:name w:val="List Numbered Char"/>
    <w:basedOn w:val="a0"/>
    <w:link w:val="ListNumbered"/>
    <w:rsid w:val="00146927"/>
    <w:rPr>
      <w:rFonts w:ascii="Times New Roman" w:eastAsia="Times New Roman" w:hAnsi="Times New Roman" w:cs="Times New Roman"/>
      <w:sz w:val="20"/>
      <w:szCs w:val="20"/>
      <w:lang w:val="en-GB"/>
    </w:rPr>
  </w:style>
  <w:style w:type="paragraph" w:customStyle="1" w:styleId="ICER-ReferenceHeader">
    <w:name w:val="ICER - Reference Header"/>
    <w:basedOn w:val="ICER-AbstractHeading"/>
    <w:link w:val="ICER-ReferenceHeaderChar"/>
    <w:qFormat/>
    <w:rsid w:val="00C73558"/>
  </w:style>
  <w:style w:type="character" w:customStyle="1" w:styleId="NLC-TableCaptionChar">
    <w:name w:val="NLC - Table Caption Char"/>
    <w:basedOn w:val="a0"/>
    <w:link w:val="NLC-TableCaption"/>
    <w:uiPriority w:val="99"/>
    <w:rsid w:val="00146927"/>
    <w:rPr>
      <w:rFonts w:ascii="Times New Roman" w:eastAsia="Times New Roman" w:hAnsi="Times New Roman" w:cs="Times New Roman"/>
      <w:b/>
      <w:bCs/>
      <w:sz w:val="20"/>
      <w:szCs w:val="20"/>
      <w:lang w:val="en-GB"/>
    </w:rPr>
  </w:style>
  <w:style w:type="character" w:customStyle="1" w:styleId="ICER-ReferenceHeaderChar">
    <w:name w:val="ICER - Reference Header Char"/>
    <w:basedOn w:val="a0"/>
    <w:link w:val="ICER-ReferenceHeader"/>
    <w:rsid w:val="00C73558"/>
    <w:rPr>
      <w:rFonts w:ascii="Times New Roman" w:eastAsia="Times New Roman" w:hAnsi="Times New Roman" w:cs="Times New Roman"/>
      <w:sz w:val="20"/>
      <w:szCs w:val="20"/>
      <w:lang w:val="en-GB"/>
    </w:rPr>
  </w:style>
  <w:style w:type="character" w:customStyle="1" w:styleId="NLC-ReferencesChar">
    <w:name w:val="NLC - References Char"/>
    <w:basedOn w:val="a0"/>
    <w:link w:val="NLC-References"/>
    <w:uiPriority w:val="99"/>
    <w:rsid w:val="00146927"/>
    <w:rPr>
      <w:rFonts w:ascii="Times New Roman" w:eastAsia="Times New Roman" w:hAnsi="Times New Roman" w:cs="Times New Roman"/>
      <w:sz w:val="20"/>
      <w:szCs w:val="20"/>
      <w:lang w:val="en-AU"/>
    </w:rPr>
  </w:style>
  <w:style w:type="paragraph" w:styleId="a5">
    <w:name w:val="header"/>
    <w:link w:val="Char1"/>
    <w:uiPriority w:val="99"/>
    <w:unhideWhenUsed/>
    <w:rsid w:val="00FF4F72"/>
    <w:pPr>
      <w:tabs>
        <w:tab w:val="center" w:pos="4819"/>
        <w:tab w:val="right" w:pos="9638"/>
      </w:tabs>
    </w:pPr>
  </w:style>
  <w:style w:type="character" w:customStyle="1" w:styleId="Char1">
    <w:name w:val="머리글 Char"/>
    <w:basedOn w:val="a0"/>
    <w:link w:val="a5"/>
    <w:uiPriority w:val="99"/>
    <w:rsid w:val="00FF4F72"/>
    <w:rPr>
      <w:rFonts w:ascii="Times New Roman" w:eastAsia="Times New Roman" w:hAnsi="Times New Roman" w:cs="Times New Roman"/>
      <w:sz w:val="20"/>
      <w:szCs w:val="20"/>
      <w:lang w:val="en-GB"/>
    </w:rPr>
  </w:style>
  <w:style w:type="paragraph" w:styleId="a6">
    <w:name w:val="footer"/>
    <w:link w:val="Char2"/>
    <w:uiPriority w:val="99"/>
    <w:unhideWhenUsed/>
    <w:rsid w:val="00FF4F72"/>
    <w:pPr>
      <w:tabs>
        <w:tab w:val="center" w:pos="4819"/>
        <w:tab w:val="right" w:pos="9638"/>
      </w:tabs>
    </w:pPr>
  </w:style>
  <w:style w:type="character" w:customStyle="1" w:styleId="Char2">
    <w:name w:val="바닥글 Char"/>
    <w:basedOn w:val="a0"/>
    <w:link w:val="a6"/>
    <w:uiPriority w:val="99"/>
    <w:rsid w:val="00FF4F72"/>
    <w:rPr>
      <w:rFonts w:ascii="Times New Roman" w:eastAsia="Times New Roman" w:hAnsi="Times New Roman" w:cs="Times New Roman"/>
      <w:sz w:val="20"/>
      <w:szCs w:val="20"/>
      <w:lang w:val="en-GB"/>
    </w:rPr>
  </w:style>
  <w:style w:type="character" w:styleId="a7">
    <w:name w:val="annotation reference"/>
    <w:basedOn w:val="a0"/>
    <w:uiPriority w:val="99"/>
    <w:semiHidden/>
    <w:unhideWhenUsed/>
    <w:rsid w:val="0025409F"/>
    <w:rPr>
      <w:sz w:val="16"/>
      <w:szCs w:val="16"/>
    </w:rPr>
  </w:style>
  <w:style w:type="paragraph" w:styleId="a8">
    <w:name w:val="annotation text"/>
    <w:link w:val="Char3"/>
    <w:uiPriority w:val="99"/>
    <w:unhideWhenUsed/>
    <w:rsid w:val="0025409F"/>
  </w:style>
  <w:style w:type="character" w:customStyle="1" w:styleId="Char3">
    <w:name w:val="메모 텍스트 Char"/>
    <w:basedOn w:val="a0"/>
    <w:link w:val="a8"/>
    <w:uiPriority w:val="99"/>
    <w:rsid w:val="0025409F"/>
    <w:rPr>
      <w:rFonts w:ascii="Times New Roman" w:eastAsia="Times New Roman" w:hAnsi="Times New Roman" w:cs="Times New Roman"/>
      <w:sz w:val="20"/>
      <w:szCs w:val="20"/>
      <w:lang w:val="en-GB"/>
    </w:rPr>
  </w:style>
  <w:style w:type="paragraph" w:styleId="a9">
    <w:name w:val="annotation subject"/>
    <w:basedOn w:val="a8"/>
    <w:next w:val="a8"/>
    <w:link w:val="Char4"/>
    <w:uiPriority w:val="99"/>
    <w:semiHidden/>
    <w:unhideWhenUsed/>
    <w:rsid w:val="0025409F"/>
    <w:rPr>
      <w:b/>
      <w:bCs/>
    </w:rPr>
  </w:style>
  <w:style w:type="character" w:customStyle="1" w:styleId="Char4">
    <w:name w:val="메모 주제 Char"/>
    <w:basedOn w:val="Char3"/>
    <w:link w:val="a9"/>
    <w:uiPriority w:val="99"/>
    <w:semiHidden/>
    <w:rsid w:val="0025409F"/>
    <w:rPr>
      <w:rFonts w:ascii="Times New Roman" w:eastAsia="Times New Roman" w:hAnsi="Times New Roman" w:cs="Times New Roman"/>
      <w:b/>
      <w:bCs/>
      <w:sz w:val="20"/>
      <w:szCs w:val="20"/>
      <w:lang w:val="en-GB"/>
    </w:rPr>
  </w:style>
  <w:style w:type="paragraph" w:styleId="aa">
    <w:name w:val="Revision"/>
    <w:hidden/>
    <w:uiPriority w:val="99"/>
    <w:semiHidden/>
    <w:rsid w:val="004333ED"/>
    <w:pPr>
      <w:spacing w:after="0"/>
    </w:pPr>
    <w:rPr>
      <w:rFonts w:eastAsia="Times New Roman"/>
      <w:lang w:val="en-GB"/>
    </w:rPr>
  </w:style>
  <w:style w:type="character" w:styleId="ab">
    <w:name w:val="Hyperlink"/>
    <w:basedOn w:val="a0"/>
    <w:uiPriority w:val="99"/>
    <w:unhideWhenUsed/>
    <w:rsid w:val="00DE68C1"/>
    <w:rPr>
      <w:color w:val="0563C1" w:themeColor="hyperlink"/>
      <w:u w:val="single"/>
    </w:rPr>
  </w:style>
  <w:style w:type="character" w:customStyle="1" w:styleId="UnresolvedMention">
    <w:name w:val="Unresolved Mention"/>
    <w:basedOn w:val="a0"/>
    <w:uiPriority w:val="99"/>
    <w:semiHidden/>
    <w:unhideWhenUsed/>
    <w:rsid w:val="00DE68C1"/>
    <w:rPr>
      <w:color w:val="605E5C"/>
      <w:shd w:val="clear" w:color="auto" w:fill="E1DFDD"/>
    </w:rPr>
  </w:style>
  <w:style w:type="character" w:styleId="ac">
    <w:name w:val="Emphasis"/>
    <w:basedOn w:val="a0"/>
    <w:uiPriority w:val="20"/>
    <w:qFormat/>
    <w:rsid w:val="0076760A"/>
    <w:rPr>
      <w:i/>
      <w:iCs/>
    </w:rPr>
  </w:style>
  <w:style w:type="paragraph" w:styleId="ad">
    <w:name w:val="List Paragraph"/>
    <w:uiPriority w:val="34"/>
    <w:qFormat/>
    <w:rsid w:val="00BF487E"/>
    <w:pPr>
      <w:ind w:leftChars="400" w:left="800"/>
    </w:pPr>
  </w:style>
  <w:style w:type="character" w:customStyle="1" w:styleId="bzpyqfadein">
    <w:name w:val="bz_pyq_fadein"/>
    <w:basedOn w:val="a0"/>
    <w:rsid w:val="00BF487E"/>
  </w:style>
  <w:style w:type="table" w:styleId="ae">
    <w:name w:val="Table Grid"/>
    <w:basedOn w:val="a1"/>
    <w:uiPriority w:val="39"/>
    <w:rsid w:val="00DD22F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uiPriority w:val="35"/>
    <w:unhideWhenUsed/>
    <w:qFormat/>
    <w:rsid w:val="00DD22F8"/>
    <w:rPr>
      <w:b/>
      <w:bCs/>
    </w:rPr>
  </w:style>
  <w:style w:type="character" w:styleId="af0">
    <w:name w:val="Strong"/>
    <w:basedOn w:val="a0"/>
    <w:uiPriority w:val="22"/>
    <w:qFormat/>
    <w:rsid w:val="00CD2B28"/>
    <w:rPr>
      <w:b/>
      <w:bCs/>
    </w:rPr>
  </w:style>
  <w:style w:type="paragraph" w:styleId="af1">
    <w:name w:val="Subtitle"/>
    <w:basedOn w:val="a"/>
    <w:next w:val="a"/>
    <w:pPr>
      <w:keepNext/>
      <w:keepLines/>
      <w:spacing w:before="360" w:after="80"/>
    </w:pPr>
    <w:rPr>
      <w:rFonts w:ascii="Georgia" w:eastAsia="Georgia" w:hAnsi="Georgia" w:cs="Georgia"/>
      <w:i/>
      <w:iCs/>
      <w:color w:val="666666"/>
      <w:sz w:val="48"/>
      <w:szCs w:val="48"/>
    </w:r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jeeheon@jnu.ac.k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CQrTBbdyQjXbhLHjWdX4tQJFA==">CgMxLjAyDmguZnZnb25paXR6bHFrOAByITFNTjd4UGtaazhRNG5UYVhTYWVfR25wYy1SZDlOMFByeQ==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7169</Words>
  <Characters>40865</Characters>
  <Application>Microsoft Office Word</Application>
  <DocSecurity>0</DocSecurity>
  <Lines>340</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KYUNGMEE LEE</dc:creator>
  <cp:lastModifiedBy>ser u</cp:lastModifiedBy>
  <cp:revision>2</cp:revision>
  <dcterms:created xsi:type="dcterms:W3CDTF">2026-04-27T11:27:00Z</dcterms:created>
  <dcterms:modified xsi:type="dcterms:W3CDTF">2026-04-27T11:27:00Z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0x0101009C3CA0F9F2A2E24586067B8781704898</vt:lpwstr>
  </property>
  <property fmtid="{D5CDD505-2E9C-101B-9397-08002B2CF9AE}" pid="3" name="GrammarlyDocumentId">
    <vt:lpwstr>1c5b1666911c86c5aac3bac68cc30149064e51513a15401f9f5f3fc4bb074ba9</vt:lpwstr>
  </property>
  <property fmtid="{D5CDD505-2E9C-101B-9397-08002B2CF9AE}" pid="4" name="MediaServiceImageTags">
    <vt:lpwstr/>
  </property>
</Properties>
</file>