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CAIR Summer 2026 — Variant-Effect Prediction Project</w:t>
      </w:r>
    </w:p>
    <w:p>
      <w:pPr>
        <w:jc w:val="center"/>
      </w:pPr>
      <w:r>
        <w:rPr>
          <w:b w:val="0"/>
          <w:i/>
        </w:rPr>
        <w:t>Progress report: storage architecture, Phase 0 feasibility spike, and Hoffman2 compute pilot</w:t>
      </w:r>
    </w:p>
    <w:p>
      <w:pPr>
        <w:jc w:val="center"/>
      </w:pPr>
      <w:r>
        <w:rPr>
          <w:b w:val="0"/>
          <w:i w:val="0"/>
          <w:sz w:val="18"/>
        </w:rPr>
        <w:t>2 September 2026</w:t>
      </w:r>
    </w:p>
    <w:p>
      <w:pPr>
        <w:pStyle w:val="Heading1"/>
      </w:pPr>
      <w:r>
        <w:t>1. Executive summary</w:t>
      </w:r>
    </w:p>
    <w:p>
      <w:r>
        <w:rPr>
          <w:b w:val="0"/>
          <w:i w:val="0"/>
        </w:rPr>
        <w:t>Three blocks of work were completed. Each is described in full below, with the numbers that support it and the caveats that limit it.</w:t>
      </w:r>
    </w:p>
    <w:p>
      <w:pPr>
        <w:pStyle w:val="ListBullet"/>
      </w:pPr>
      <w:r>
        <w:t>Storage was restructured. Local free space went from 29 GiB to 49 GiB by reclaiming 12 GB of duplicate model weights and moving a 9.5 GB archive to the LaCie.</w:t>
      </w:r>
    </w:p>
    <w:p>
      <w:pPr>
        <w:pStyle w:val="ListBullet"/>
      </w:pPr>
      <w:r>
        <w:t>The Phase 0 feasibility spike passed its gate. The reference-amino-acid assertion — the test the design review calls the single most valuable in the project — passes on 1,168 of 1,168 joined variants across five genes.</w:t>
      </w:r>
    </w:p>
    <w:p>
      <w:pPr>
        <w:pStyle w:val="ListBullet"/>
      </w:pPr>
      <w:r>
        <w:t>Compute is live on Hoffman2. An A100 pilot ran successfully on the public queue and produced a measured throughput figure that replaces the plan's unvalidated estimate.</w:t>
      </w:r>
    </w:p>
    <w:p>
      <w:r>
        <w:rPr>
          <w:b w:val="0"/>
          <w:i w:val="0"/>
        </w:rPr>
      </w:r>
    </w:p>
    <w:p>
      <w:r>
        <w:rPr>
          <w:b w:val="0"/>
          <w:i w:val="0"/>
        </w:rPr>
        <w:t>Four corrections to the design-review plan were found and are detailed in section 5. The most consequential is that ProteinGym already ships precomputed ESM-1v scores, which removes GPU work from the project's minimum publishable result entirely.</w:t>
      </w:r>
    </w:p>
    <w:p>
      <w:pPr>
        <w:pStyle w:val="Heading1"/>
      </w:pPr>
      <w:r>
        <w:t>2. Storage architecture</w:t>
      </w:r>
    </w:p>
    <w:p>
      <w:pPr>
        <w:pStyle w:val="Heading2"/>
      </w:pPr>
      <w:r>
        <w:t>2.1 The decision</w:t>
      </w:r>
    </w:p>
    <w:p>
      <w:r>
        <w:rPr>
          <w:b w:val="0"/>
          <w:i w:val="0"/>
        </w:rPr>
        <w:t>The question was whether the AlphaMissense atlas should live locally or on the LaCie. Measurement settled it differently than expected: the internal disk had 29 GiB free of 460 GB (94% full), while the LaCie had 858 GiB free on APFS.</w:t>
      </w:r>
    </w:p>
    <w:p>
      <w:r>
        <w:rPr>
          <w:b w:val="0"/>
          <w:i w:val="0"/>
        </w:rPr>
        <w:t>AlphaMissense turned out to be already present and already converted to parquet, acquired 2026-08-27. It is also 2.8 GB, not the 16 GB assumed — the full Zenodo release is 6.11 GB compressed. It stays on internal disk because am_hg38 is the join pivot for the whole project and is read constantly.</w:t>
      </w:r>
    </w:p>
    <w:p>
      <w:pPr>
        <w:pStyle w:val="Heading2"/>
      </w:pPr>
      <w:r>
        <w:t>2.2 What changed</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b/>
                <w:sz w:val="19"/>
              </w:rPr>
              <w:t>Action</w:t>
            </w:r>
          </w:p>
        </w:tc>
        <w:tc>
          <w:tcPr>
            <w:tcW w:type="dxa" w:w="1584"/>
          </w:tcPr>
          <w:p>
            <w:r/>
            <w:r>
              <w:rPr>
                <w:b/>
                <w:sz w:val="19"/>
              </w:rPr>
              <w:t>Reclaimed</w:t>
            </w:r>
          </w:p>
        </w:tc>
        <w:tc>
          <w:tcPr>
            <w:tcW w:type="dxa" w:w="3744"/>
          </w:tcPr>
          <w:p>
            <w:r/>
            <w:r>
              <w:rPr>
                <w:b/>
                <w:sz w:val="19"/>
              </w:rPr>
              <w:t>Verification</w:t>
            </w:r>
          </w:p>
        </w:tc>
      </w:tr>
      <w:tr>
        <w:tc>
          <w:tcPr>
            <w:tcW w:type="dxa" w:w="3744"/>
          </w:tcPr>
          <w:p>
            <w:r/>
            <w:r>
              <w:rPr>
                <w:sz w:val="19"/>
              </w:rPr>
              <w:t>Removed duplicate ESM-1v revisions (all 5 models)</w:t>
            </w:r>
          </w:p>
        </w:tc>
        <w:tc>
          <w:tcPr>
            <w:tcW w:type="dxa" w:w="1584"/>
          </w:tcPr>
          <w:p>
            <w:r/>
            <w:r>
              <w:rPr>
                <w:sz w:val="19"/>
              </w:rPr>
              <w:t>12 GB</w:t>
            </w:r>
          </w:p>
        </w:tc>
        <w:tc>
          <w:tcPr>
            <w:tcW w:type="dxa" w:w="3744"/>
          </w:tcPr>
          <w:p>
            <w:r/>
            <w:r>
              <w:rPr>
                <w:sz w:val="19"/>
              </w:rPr>
              <w:t>Model 1 reproduces documented ubiquitin I44V LLR of −6.27 exactly</w:t>
            </w:r>
          </w:p>
        </w:tc>
      </w:tr>
      <w:tr>
        <w:tc>
          <w:tcPr>
            <w:tcW w:type="dxa" w:w="3744"/>
          </w:tcPr>
          <w:p>
            <w:r/>
            <w:r>
              <w:rPr>
                <w:sz w:val="19"/>
              </w:rPr>
              <w:t>Moved eve_bulk.zip to LaCie, symlinked back</w:t>
            </w:r>
          </w:p>
        </w:tc>
        <w:tc>
          <w:tcPr>
            <w:tcW w:type="dxa" w:w="1584"/>
          </w:tcPr>
          <w:p>
            <w:r/>
            <w:r>
              <w:rPr>
                <w:sz w:val="19"/>
              </w:rPr>
              <w:t>9.5 GB</w:t>
            </w:r>
          </w:p>
        </w:tc>
        <w:tc>
          <w:tcPr>
            <w:tcW w:type="dxa" w:w="3744"/>
          </w:tcPr>
          <w:p>
            <w:r/>
            <w:r>
              <w:rPr>
                <w:sz w:val="19"/>
              </w:rPr>
              <w:t>md5 e012cde6… identical before original deleted; 14,940 zip entries readable through symlink</w:t>
            </w:r>
          </w:p>
        </w:tc>
      </w:tr>
      <w:tr>
        <w:tc>
          <w:tcPr>
            <w:tcW w:type="dxa" w:w="3744"/>
          </w:tcPr>
          <w:p>
            <w:r/>
            <w:r>
              <w:rPr>
                <w:sz w:val="19"/>
              </w:rPr>
              <w:t>Net local free space</w:t>
            </w:r>
          </w:p>
        </w:tc>
        <w:tc>
          <w:tcPr>
            <w:tcW w:type="dxa" w:w="1584"/>
          </w:tcPr>
          <w:p>
            <w:r/>
            <w:r>
              <w:rPr>
                <w:sz w:val="19"/>
              </w:rPr>
              <w:t>29 → 49 GiB</w:t>
            </w:r>
          </w:p>
        </w:tc>
        <w:tc>
          <w:tcPr>
            <w:tcW w:type="dxa" w:w="3744"/>
          </w:tcPr>
          <w:p>
            <w:r/>
            <w:r>
              <w:rPr>
                <w:sz w:val="19"/>
              </w:rPr>
              <w:t>df</w:t>
            </w:r>
          </w:p>
        </w:tc>
      </w:tr>
    </w:tbl>
    <w:p/>
    <w:p>
      <w:r>
        <w:rPr>
          <w:b w:val="0"/>
          <w:i w:val="0"/>
        </w:rPr>
        <w:t>On the duplicate weights: every one of the five ESM-1v models had fetched two revisions — pytorch_model.bin on main, plus a pull-request snapshot containing only model.safetensors with no config or tokenizer. refs/main pointed at the former, so from_pretrained could never have resolved to the latter. The project's own notes had recorded this as affecting model 1 only; it affected all five.</w:t>
      </w:r>
    </w:p>
    <w:p>
      <w:r>
        <w:rPr>
          <w:b w:val="0"/>
          <w:i/>
        </w:rPr>
        <w:t>Caveat: with the LaCie unplugged, data/eve/eve_bulk.zip dangles and zipfile raises FileNotFoundError. This affects MSA work only — the derived parquets are local, so the normal analysis path does not need the drive.</w:t>
      </w:r>
    </w:p>
    <w:p>
      <w:pPr>
        <w:pStyle w:val="Heading1"/>
      </w:pPr>
      <w:r>
        <w:t>3. Phase 0 feasibility spike</w:t>
      </w:r>
    </w:p>
    <w:p>
      <w:r>
        <w:rPr>
          <w:b w:val="0"/>
          <w:i w:val="0"/>
        </w:rPr>
        <w:t>Genes: TP53, BRCA1, CFTR, PTEN, MLH1. Scripts in scripts/spike/. Output: data/spike/spike_final.parquet.</w:t>
      </w:r>
    </w:p>
    <w:p>
      <w:pPr>
        <w:pStyle w:val="Heading2"/>
      </w:pPr>
      <w:r>
        <w:t>3.1 The gate: reference-amino-acid assertion</w:t>
      </w:r>
    </w:p>
    <w:p>
      <w:r>
        <w:rPr>
          <w:b w:val="0"/>
          <w:i w:val="0"/>
        </w:rPr>
        <w:t>The design review specifies one assertion as the project's most valuable test, because four ID systems must line up and they fail quietly:</w:t>
      </w:r>
    </w:p>
    <w:p>
      <w:pPr>
        <w:spacing w:after="160"/>
        <w:ind w:left="432"/>
      </w:pPr>
      <w:r>
        <w:rPr>
          <w:rFonts w:ascii="Consolas" w:hAnsi="Consolas"/>
          <w:sz w:val="18"/>
        </w:rPr>
        <w:t>assert af_seq[pos-1] == clinvar_ref_aa == am_ref_aa</w:t>
      </w:r>
    </w:p>
    <w:tbl>
      <w:tblPr>
        <w:tblStyle w:val="LightGrid-Accent1"/>
        <w:tblW w:type="auto" w:w="0"/>
        <w:jc w:val="center"/>
        <w:tblLook w:firstColumn="1" w:firstRow="1" w:lastColumn="0" w:lastRow="0" w:noHBand="0" w:noVBand="1" w:val="04A0"/>
      </w:tblPr>
      <w:tblGrid>
        <w:gridCol w:w="4320"/>
        <w:gridCol w:w="4320"/>
      </w:tblGrid>
      <w:tr>
        <w:tc>
          <w:tcPr>
            <w:tcW w:type="dxa" w:w="5760"/>
          </w:tcPr>
          <w:p>
            <w:r/>
            <w:r>
              <w:rPr>
                <w:b/>
                <w:sz w:val="19"/>
              </w:rPr>
              <w:t>Check</w:t>
            </w:r>
          </w:p>
        </w:tc>
        <w:tc>
          <w:tcPr>
            <w:tcW w:type="dxa" w:w="3312"/>
          </w:tcPr>
          <w:p>
            <w:r/>
            <w:r>
              <w:rPr>
                <w:b/>
                <w:sz w:val="19"/>
              </w:rPr>
              <w:t>Result</w:t>
            </w:r>
          </w:p>
        </w:tc>
      </w:tr>
      <w:tr>
        <w:tc>
          <w:tcPr>
            <w:tcW w:type="dxa" w:w="5760"/>
          </w:tcPr>
          <w:p>
            <w:r/>
            <w:r>
              <w:rPr>
                <w:sz w:val="19"/>
              </w:rPr>
              <w:t>AlphaMissense ref == AlphaFold ref</w:t>
            </w:r>
          </w:p>
        </w:tc>
        <w:tc>
          <w:tcPr>
            <w:tcW w:type="dxa" w:w="3312"/>
          </w:tcPr>
          <w:p>
            <w:r/>
            <w:r>
              <w:rPr>
                <w:sz w:val="19"/>
              </w:rPr>
              <w:t>1,168 / 1,168  (100.00%)</w:t>
            </w:r>
          </w:p>
        </w:tc>
      </w:tr>
      <w:tr>
        <w:tc>
          <w:tcPr>
            <w:tcW w:type="dxa" w:w="5760"/>
          </w:tcPr>
          <w:p>
            <w:r/>
            <w:r>
              <w:rPr>
                <w:sz w:val="19"/>
              </w:rPr>
              <w:t>AlphaMissense ref == ClinVar ref</w:t>
            </w:r>
          </w:p>
        </w:tc>
        <w:tc>
          <w:tcPr>
            <w:tcW w:type="dxa" w:w="3312"/>
          </w:tcPr>
          <w:p>
            <w:r/>
            <w:r>
              <w:rPr>
                <w:sz w:val="19"/>
              </w:rPr>
              <w:t>1,168 / 1,168  (100.00%)</w:t>
            </w:r>
          </w:p>
        </w:tc>
      </w:tr>
      <w:tr>
        <w:tc>
          <w:tcPr>
            <w:tcW w:type="dxa" w:w="5760"/>
          </w:tcPr>
          <w:p>
            <w:r/>
            <w:r>
              <w:rPr>
                <w:sz w:val="19"/>
              </w:rPr>
              <w:t>AlphaMissense pos == ClinVar pos</w:t>
            </w:r>
          </w:p>
        </w:tc>
        <w:tc>
          <w:tcPr>
            <w:tcW w:type="dxa" w:w="3312"/>
          </w:tcPr>
          <w:p>
            <w:r/>
            <w:r>
              <w:rPr>
                <w:sz w:val="19"/>
              </w:rPr>
              <w:t>1,168 / 1,168  (100.00%)</w:t>
            </w:r>
          </w:p>
        </w:tc>
      </w:tr>
      <w:tr>
        <w:tc>
          <w:tcPr>
            <w:tcW w:type="dxa" w:w="5760"/>
          </w:tcPr>
          <w:p>
            <w:r/>
            <w:r>
              <w:rPr>
                <w:sz w:val="19"/>
              </w:rPr>
              <w:t>AlphaMissense alt == ClinVar alt</w:t>
            </w:r>
          </w:p>
        </w:tc>
        <w:tc>
          <w:tcPr>
            <w:tcW w:type="dxa" w:w="3312"/>
          </w:tcPr>
          <w:p>
            <w:r/>
            <w:r>
              <w:rPr>
                <w:sz w:val="19"/>
              </w:rPr>
              <w:t>1,168 / 1,168  (100.00%)</w:t>
            </w:r>
          </w:p>
        </w:tc>
      </w:tr>
      <w:tr>
        <w:tc>
          <w:tcPr>
            <w:tcW w:type="dxa" w:w="5760"/>
          </w:tcPr>
          <w:p>
            <w:r/>
            <w:r>
              <w:rPr>
                <w:sz w:val="19"/>
              </w:rPr>
              <w:t>ESM-1v wt_aa == asserted ref (5,840 rows)</w:t>
            </w:r>
          </w:p>
        </w:tc>
        <w:tc>
          <w:tcPr>
            <w:tcW w:type="dxa" w:w="3312"/>
          </w:tcPr>
          <w:p>
            <w:r/>
            <w:r>
              <w:rPr>
                <w:sz w:val="19"/>
              </w:rPr>
              <w:t>100.00%</w:t>
            </w:r>
          </w:p>
        </w:tc>
      </w:tr>
    </w:tbl>
    <w:p/>
    <w:p>
      <w:r>
        <w:rPr>
          <w:b/>
          <w:i w:val="0"/>
        </w:rPr>
        <w:t>The join architecture is sound and Phase 1 can be built on it.</w:t>
      </w:r>
    </w:p>
    <w:p>
      <w:pPr>
        <w:pStyle w:val="Heading2"/>
      </w:pPr>
      <w:r>
        <w:t>3.2 A join trap that silently dropped 97% of rows</w:t>
      </w:r>
    </w:p>
    <w:p>
      <w:r>
        <w:rPr>
          <w:b w:val="0"/>
          <w:i w:val="0"/>
        </w:rPr>
        <w:t>AlphaMissense was built on an older Ensembl release than MANE v1.5. Joining the two on transcript_id returned 194 rows from a single gene, with no error: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296"/>
          </w:tcPr>
          <w:p>
            <w:r/>
            <w:r>
              <w:rPr>
                <w:b/>
                <w:sz w:val="19"/>
              </w:rPr>
              <w:t>Gene</w:t>
            </w:r>
          </w:p>
        </w:tc>
        <w:tc>
          <w:tcPr>
            <w:tcW w:type="dxa" w:w="2736"/>
          </w:tcPr>
          <w:p>
            <w:r/>
            <w:r>
              <w:rPr>
                <w:b/>
                <w:sz w:val="19"/>
              </w:rPr>
              <w:t>MANE v1.5</w:t>
            </w:r>
          </w:p>
        </w:tc>
        <w:tc>
          <w:tcPr>
            <w:tcW w:type="dxa" w:w="2736"/>
          </w:tcPr>
          <w:p>
            <w:r/>
            <w:r>
              <w:rPr>
                <w:b/>
                <w:sz w:val="19"/>
              </w:rPr>
              <w:t>AlphaMissense</w:t>
            </w:r>
          </w:p>
        </w:tc>
        <w:tc>
          <w:tcPr>
            <w:tcW w:type="dxa" w:w="2304"/>
          </w:tcPr>
          <w:p>
            <w:r/>
            <w:r>
              <w:rPr>
                <w:b/>
                <w:sz w:val="19"/>
              </w:rPr>
              <w:t>Outcome</w:t>
            </w:r>
          </w:p>
        </w:tc>
      </w:tr>
      <w:tr>
        <w:tc>
          <w:tcPr>
            <w:tcW w:type="dxa" w:w="1296"/>
          </w:tcPr>
          <w:p>
            <w:r/>
            <w:r>
              <w:rPr>
                <w:sz w:val="19"/>
              </w:rPr>
              <w:t>PTEN</w:t>
            </w:r>
          </w:p>
        </w:tc>
        <w:tc>
          <w:tcPr>
            <w:tcW w:type="dxa" w:w="2736"/>
          </w:tcPr>
          <w:p>
            <w:r/>
            <w:r>
              <w:rPr>
                <w:sz w:val="19"/>
              </w:rPr>
              <w:t>ENST00000371953.8</w:t>
            </w:r>
          </w:p>
        </w:tc>
        <w:tc>
          <w:tcPr>
            <w:tcW w:type="dxa" w:w="2736"/>
          </w:tcPr>
          <w:p>
            <w:r/>
            <w:r>
              <w:rPr>
                <w:sz w:val="19"/>
              </w:rPr>
              <w:t>ENST00000371953.8</w:t>
            </w:r>
          </w:p>
        </w:tc>
        <w:tc>
          <w:tcPr>
            <w:tcW w:type="dxa" w:w="2304"/>
          </w:tcPr>
          <w:p>
            <w:r/>
            <w:r>
              <w:rPr>
                <w:sz w:val="19"/>
              </w:rPr>
              <w:t>match</w:t>
            </w:r>
          </w:p>
        </w:tc>
      </w:tr>
      <w:tr>
        <w:tc>
          <w:tcPr>
            <w:tcW w:type="dxa" w:w="1296"/>
          </w:tcPr>
          <w:p>
            <w:r/>
            <w:r>
              <w:rPr>
                <w:sz w:val="19"/>
              </w:rPr>
              <w:t>BRCA1</w:t>
            </w:r>
          </w:p>
        </w:tc>
        <w:tc>
          <w:tcPr>
            <w:tcW w:type="dxa" w:w="2736"/>
          </w:tcPr>
          <w:p>
            <w:r/>
            <w:r>
              <w:rPr>
                <w:sz w:val="19"/>
              </w:rPr>
              <w:t>ENST00000357654.9</w:t>
            </w:r>
          </w:p>
        </w:tc>
        <w:tc>
          <w:tcPr>
            <w:tcW w:type="dxa" w:w="2736"/>
          </w:tcPr>
          <w:p>
            <w:r/>
            <w:r>
              <w:rPr>
                <w:sz w:val="19"/>
              </w:rPr>
              <w:t>ENST00000357654.8</w:t>
            </w:r>
          </w:p>
        </w:tc>
        <w:tc>
          <w:tcPr>
            <w:tcW w:type="dxa" w:w="2304"/>
          </w:tcPr>
          <w:p>
            <w:r/>
            <w:r>
              <w:rPr>
                <w:sz w:val="19"/>
              </w:rPr>
              <w:t>version drift</w:t>
            </w:r>
          </w:p>
        </w:tc>
      </w:tr>
      <w:tr>
        <w:tc>
          <w:tcPr>
            <w:tcW w:type="dxa" w:w="1296"/>
          </w:tcPr>
          <w:p>
            <w:r/>
            <w:r>
              <w:rPr>
                <w:sz w:val="19"/>
              </w:rPr>
              <w:t>CFTR</w:t>
            </w:r>
          </w:p>
        </w:tc>
        <w:tc>
          <w:tcPr>
            <w:tcW w:type="dxa" w:w="2736"/>
          </w:tcPr>
          <w:p>
            <w:r/>
            <w:r>
              <w:rPr>
                <w:sz w:val="19"/>
              </w:rPr>
              <w:t>ENST00000003084.11</w:t>
            </w:r>
          </w:p>
        </w:tc>
        <w:tc>
          <w:tcPr>
            <w:tcW w:type="dxa" w:w="2736"/>
          </w:tcPr>
          <w:p>
            <w:r/>
            <w:r>
              <w:rPr>
                <w:sz w:val="19"/>
              </w:rPr>
              <w:t>ENST00000003084.10</w:t>
            </w:r>
          </w:p>
        </w:tc>
        <w:tc>
          <w:tcPr>
            <w:tcW w:type="dxa" w:w="2304"/>
          </w:tcPr>
          <w:p>
            <w:r/>
            <w:r>
              <w:rPr>
                <w:sz w:val="19"/>
              </w:rPr>
              <w:t>version drift</w:t>
            </w:r>
          </w:p>
        </w:tc>
      </w:tr>
      <w:tr>
        <w:tc>
          <w:tcPr>
            <w:tcW w:type="dxa" w:w="1296"/>
          </w:tcPr>
          <w:p>
            <w:r/>
            <w:r>
              <w:rPr>
                <w:sz w:val="19"/>
              </w:rPr>
              <w:t>MLH1</w:t>
            </w:r>
          </w:p>
        </w:tc>
        <w:tc>
          <w:tcPr>
            <w:tcW w:type="dxa" w:w="2736"/>
          </w:tcPr>
          <w:p>
            <w:r/>
            <w:r>
              <w:rPr>
                <w:sz w:val="19"/>
              </w:rPr>
              <w:t>ENST00000231790.8</w:t>
            </w:r>
          </w:p>
        </w:tc>
        <w:tc>
          <w:tcPr>
            <w:tcW w:type="dxa" w:w="2736"/>
          </w:tcPr>
          <w:p>
            <w:r/>
            <w:r>
              <w:rPr>
                <w:sz w:val="19"/>
              </w:rPr>
              <w:t>ENST00000231790.6</w:t>
            </w:r>
          </w:p>
        </w:tc>
        <w:tc>
          <w:tcPr>
            <w:tcW w:type="dxa" w:w="2304"/>
          </w:tcPr>
          <w:p>
            <w:r/>
            <w:r>
              <w:rPr>
                <w:sz w:val="19"/>
              </w:rPr>
              <w:t>version drift</w:t>
            </w:r>
          </w:p>
        </w:tc>
      </w:tr>
      <w:tr>
        <w:tc>
          <w:tcPr>
            <w:tcW w:type="dxa" w:w="1296"/>
          </w:tcPr>
          <w:p>
            <w:r/>
            <w:r>
              <w:rPr>
                <w:sz w:val="19"/>
              </w:rPr>
              <w:t>TP53</w:t>
            </w:r>
          </w:p>
        </w:tc>
        <w:tc>
          <w:tcPr>
            <w:tcW w:type="dxa" w:w="2736"/>
          </w:tcPr>
          <w:p>
            <w:r/>
            <w:r>
              <w:rPr>
                <w:sz w:val="19"/>
              </w:rPr>
              <w:t>ENST00000269305.9</w:t>
            </w:r>
          </w:p>
        </w:tc>
        <w:tc>
          <w:tcPr>
            <w:tcW w:type="dxa" w:w="2736"/>
          </w:tcPr>
          <w:p>
            <w:r/>
            <w:r>
              <w:rPr>
                <w:sz w:val="19"/>
              </w:rPr>
              <w:t>ENST00000445888.6</w:t>
            </w:r>
          </w:p>
        </w:tc>
        <w:tc>
          <w:tcPr>
            <w:tcW w:type="dxa" w:w="2304"/>
          </w:tcPr>
          <w:p>
            <w:r/>
            <w:r>
              <w:rPr>
                <w:sz w:val="19"/>
              </w:rPr>
              <w:t>different transcript</w:t>
            </w:r>
          </w:p>
        </w:tc>
      </w:tr>
    </w:tbl>
    <w:p/>
    <w:p>
      <w:r>
        <w:rPr>
          <w:b w:val="0"/>
          <w:i w:val="0"/>
        </w:rPr>
        <w:t>The fix is architectural, not cosmetic: (chrom, pos, ref, alt) is the pivot, and MANE is used only to rank transcripts when AlphaMissense reports several at one locus. That took the join from 194 rows to 1,168 across all five genes. TP53 is not a coverage gap — AlphaMissense holds all 2,569 of its missense SNVs, under the old canonical transcript.</w:t>
      </w:r>
    </w:p>
    <w:p>
      <w:pPr>
        <w:pStyle w:val="Heading2"/>
      </w:pPr>
      <w:r>
        <w:t>3.3 Join yield is expected, not lossy</w:t>
      </w:r>
    </w:p>
    <w:p>
      <w:r>
        <w:rPr>
          <w:b w:val="0"/>
          <w:i w:val="0"/>
        </w:rPr>
        <w:t>1,168 of 6,677 ClinVar rows is 17.5%, which looks alarming and is not. Of those 6,677 two-star P/LP and B/LB SNVs, only 1,185 are missense (985 nonsense, 4,507 splice/UTR/other). Against the AlphaMissense-eligible denominator the join captures 1,168 / 1,185 = 98.6%.</w:t>
      </w:r>
    </w:p>
    <w:p>
      <w:pPr>
        <w:pStyle w:val="Heading2"/>
      </w:pPr>
      <w:r>
        <w:t>3.4 Cohort characteristics</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9"/>
              </w:rPr>
              <w:t>Property</w:t>
            </w:r>
          </w:p>
        </w:tc>
        <w:tc>
          <w:tcPr>
            <w:tcW w:type="dxa" w:w="5616"/>
          </w:tcPr>
          <w:p>
            <w:r/>
            <w:r>
              <w:rPr>
                <w:b/>
                <w:sz w:val="19"/>
              </w:rPr>
              <w:t>Value</w:t>
            </w:r>
          </w:p>
        </w:tc>
      </w:tr>
      <w:tr>
        <w:tc>
          <w:tcPr>
            <w:tcW w:type="dxa" w:w="3456"/>
          </w:tcPr>
          <w:p>
            <w:r/>
            <w:r>
              <w:rPr>
                <w:sz w:val="19"/>
              </w:rPr>
              <w:t>Variants / unique (protein, position)</w:t>
            </w:r>
          </w:p>
        </w:tc>
        <w:tc>
          <w:tcPr>
            <w:tcW w:type="dxa" w:w="5616"/>
          </w:tcPr>
          <w:p>
            <w:r/>
            <w:r>
              <w:rPr>
                <w:sz w:val="19"/>
              </w:rPr>
              <w:t>1,168 / 734 — 1.59 variants per forward pass</w:t>
            </w:r>
          </w:p>
        </w:tc>
      </w:tr>
      <w:tr>
        <w:tc>
          <w:tcPr>
            <w:tcW w:type="dxa" w:w="3456"/>
          </w:tcPr>
          <w:p>
            <w:r/>
            <w:r>
              <w:rPr>
                <w:sz w:val="19"/>
              </w:rPr>
              <w:t>Label balance</w:t>
            </w:r>
          </w:p>
        </w:tc>
        <w:tc>
          <w:tcPr>
            <w:tcW w:type="dxa" w:w="5616"/>
          </w:tcPr>
          <w:p>
            <w:r/>
            <w:r>
              <w:rPr>
                <w:sz w:val="19"/>
              </w:rPr>
              <w:t>865 P/LP vs 303 B/LB (2.9 : 1)</w:t>
            </w:r>
          </w:p>
        </w:tc>
      </w:tr>
      <w:tr>
        <w:tc>
          <w:tcPr>
            <w:tcW w:type="dxa" w:w="3456"/>
          </w:tcPr>
          <w:p>
            <w:r/>
            <w:r>
              <w:rPr>
                <w:sz w:val="19"/>
              </w:rPr>
              <w:t>Cropped (protein &gt; 1022 aa)</w:t>
            </w:r>
          </w:p>
        </w:tc>
        <w:tc>
          <w:tcPr>
            <w:tcW w:type="dxa" w:w="5616"/>
          </w:tcPr>
          <w:p>
            <w:r/>
            <w:r>
              <w:rPr>
                <w:sz w:val="19"/>
              </w:rPr>
              <w:t>522 rows — BRCA1 (1,863 aa), CFTR (1,480 aa)</w:t>
            </w:r>
          </w:p>
        </w:tc>
      </w:tr>
      <w:tr>
        <w:tc>
          <w:tcPr>
            <w:tcW w:type="dxa" w:w="3456"/>
          </w:tcPr>
          <w:p>
            <w:r/>
            <w:r>
              <w:rPr>
                <w:sz w:val="19"/>
              </w:rPr>
              <w:t>Mean pLDDT</w:t>
            </w:r>
          </w:p>
        </w:tc>
        <w:tc>
          <w:tcPr>
            <w:tcW w:type="dxa" w:w="5616"/>
          </w:tcPr>
          <w:p>
            <w:r/>
            <w:r>
              <w:rPr>
                <w:sz w:val="19"/>
              </w:rPr>
              <w:t>PTEN 83.0, MLH1 77.3, CFTR 75.6, TP53 75.1, BRCA1 41.6</w:t>
            </w:r>
          </w:p>
        </w:tc>
      </w:tr>
    </w:tbl>
    <w:p/>
    <w:p>
      <w:r>
        <w:rPr>
          <w:b/>
          <w:i w:val="0"/>
        </w:rPr>
        <w:t>BRCA1 at mean pLDDT 41.6 is largely disordered and supplies 246 of the 734 positions. A third of this cohort is one poorly-ordered protein, so structural stratification on these five genes cannot be trusted. Widen the gene set before reading anything into buried-versus-exposed contrasts.</w:t>
      </w:r>
    </w:p>
    <w:p>
      <w:pPr>
        <w:pStyle w:val="Heading2"/>
      </w:pPr>
      <w:r>
        <w:t>3.5 Discrimination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b/>
                <w:sz w:val="19"/>
              </w:rPr>
              <w:t>Predictor</w:t>
            </w:r>
          </w:p>
        </w:tc>
        <w:tc>
          <w:tcPr>
            <w:tcW w:type="dxa" w:w="2160"/>
          </w:tcPr>
          <w:p>
            <w:r/>
            <w:r>
              <w:rPr>
                <w:b/>
                <w:sz w:val="19"/>
              </w:rPr>
              <w:t>Pooled AUROC</w:t>
            </w:r>
          </w:p>
        </w:tc>
        <w:tc>
          <w:tcPr>
            <w:tcW w:type="dxa" w:w="2880"/>
          </w:tcPr>
          <w:p>
            <w:r/>
            <w:r>
              <w:rPr>
                <w:b/>
                <w:sz w:val="19"/>
              </w:rPr>
              <w:t>Macro per-gene AUROC</w:t>
            </w:r>
          </w:p>
        </w:tc>
      </w:tr>
      <w:tr>
        <w:tc>
          <w:tcPr>
            <w:tcW w:type="dxa" w:w="3744"/>
          </w:tcPr>
          <w:p>
            <w:r/>
            <w:r>
              <w:rPr>
                <w:sz w:val="19"/>
              </w:rPr>
              <w:t>AlphaMissense</w:t>
            </w:r>
          </w:p>
        </w:tc>
        <w:tc>
          <w:tcPr>
            <w:tcW w:type="dxa" w:w="2160"/>
          </w:tcPr>
          <w:p>
            <w:r/>
            <w:r>
              <w:rPr>
                <w:sz w:val="19"/>
              </w:rPr>
              <w:t>0.974</w:t>
            </w:r>
          </w:p>
        </w:tc>
        <w:tc>
          <w:tcPr>
            <w:tcW w:type="dxa" w:w="2880"/>
          </w:tcPr>
          <w:p>
            <w:r/>
            <w:r>
              <w:rPr>
                <w:sz w:val="19"/>
              </w:rPr>
              <w:t>0.972</w:t>
            </w:r>
          </w:p>
        </w:tc>
      </w:tr>
      <w:tr>
        <w:tc>
          <w:tcPr>
            <w:tcW w:type="dxa" w:w="3744"/>
          </w:tcPr>
          <w:p>
            <w:r/>
            <w:r>
              <w:rPr>
                <w:sz w:val="19"/>
              </w:rPr>
              <w:t>ESM-1v (5-model ensemble LLR)</w:t>
            </w:r>
          </w:p>
        </w:tc>
        <w:tc>
          <w:tcPr>
            <w:tcW w:type="dxa" w:w="2160"/>
          </w:tcPr>
          <w:p>
            <w:r/>
            <w:r>
              <w:rPr>
                <w:sz w:val="19"/>
              </w:rPr>
              <w:t>0.926</w:t>
            </w:r>
          </w:p>
        </w:tc>
        <w:tc>
          <w:tcPr>
            <w:tcW w:type="dxa" w:w="2880"/>
          </w:tcPr>
          <w:p>
            <w:r/>
            <w:r>
              <w:rPr>
                <w:sz w:val="19"/>
              </w:rPr>
              <w:t>0.920</w:t>
            </w:r>
          </w:p>
        </w:tc>
      </w:tr>
    </w:tbl>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r/>
            <w:r>
              <w:rPr>
                <w:b/>
                <w:sz w:val="19"/>
              </w:rPr>
              <w:t>Gene</w:t>
            </w:r>
          </w:p>
        </w:tc>
        <w:tc>
          <w:tcPr>
            <w:tcW w:type="dxa" w:w="1440"/>
          </w:tcPr>
          <w:p>
            <w:r/>
            <w:r>
              <w:rPr>
                <w:b/>
                <w:sz w:val="19"/>
              </w:rPr>
              <w:t>n</w:t>
            </w:r>
          </w:p>
        </w:tc>
        <w:tc>
          <w:tcPr>
            <w:tcW w:type="dxa" w:w="2736"/>
          </w:tcPr>
          <w:p>
            <w:r/>
            <w:r>
              <w:rPr>
                <w:b/>
                <w:sz w:val="19"/>
              </w:rPr>
              <w:t>AlphaMissense</w:t>
            </w:r>
          </w:p>
        </w:tc>
        <w:tc>
          <w:tcPr>
            <w:tcW w:type="dxa" w:w="2304"/>
          </w:tcPr>
          <w:p>
            <w:r/>
            <w:r>
              <w:rPr>
                <w:b/>
                <w:sz w:val="19"/>
              </w:rPr>
              <w:t>ESM-1v</w:t>
            </w:r>
          </w:p>
        </w:tc>
      </w:tr>
      <w:tr>
        <w:tc>
          <w:tcPr>
            <w:tcW w:type="dxa" w:w="1872"/>
          </w:tcPr>
          <w:p>
            <w:r/>
            <w:r>
              <w:rPr>
                <w:sz w:val="19"/>
              </w:rPr>
              <w:t>BRCA1</w:t>
            </w:r>
          </w:p>
        </w:tc>
        <w:tc>
          <w:tcPr>
            <w:tcW w:type="dxa" w:w="1440"/>
          </w:tcPr>
          <w:p>
            <w:r/>
            <w:r>
              <w:rPr>
                <w:sz w:val="19"/>
              </w:rPr>
              <w:t>345</w:t>
            </w:r>
          </w:p>
        </w:tc>
        <w:tc>
          <w:tcPr>
            <w:tcW w:type="dxa" w:w="2736"/>
          </w:tcPr>
          <w:p>
            <w:r/>
            <w:r>
              <w:rPr>
                <w:sz w:val="19"/>
              </w:rPr>
              <w:t>0.960</w:t>
            </w:r>
          </w:p>
        </w:tc>
        <w:tc>
          <w:tcPr>
            <w:tcW w:type="dxa" w:w="2304"/>
          </w:tcPr>
          <w:p>
            <w:r/>
            <w:r>
              <w:rPr>
                <w:sz w:val="19"/>
              </w:rPr>
              <w:t>0.914</w:t>
            </w:r>
          </w:p>
        </w:tc>
      </w:tr>
      <w:tr>
        <w:tc>
          <w:tcPr>
            <w:tcW w:type="dxa" w:w="1872"/>
          </w:tcPr>
          <w:p>
            <w:r/>
            <w:r>
              <w:rPr>
                <w:sz w:val="19"/>
              </w:rPr>
              <w:t>CFTR</w:t>
            </w:r>
          </w:p>
        </w:tc>
        <w:tc>
          <w:tcPr>
            <w:tcW w:type="dxa" w:w="1440"/>
          </w:tcPr>
          <w:p>
            <w:r/>
            <w:r>
              <w:rPr>
                <w:sz w:val="19"/>
              </w:rPr>
              <w:t>177</w:t>
            </w:r>
          </w:p>
        </w:tc>
        <w:tc>
          <w:tcPr>
            <w:tcW w:type="dxa" w:w="2736"/>
          </w:tcPr>
          <w:p>
            <w:r/>
            <w:r>
              <w:rPr>
                <w:sz w:val="19"/>
              </w:rPr>
              <w:t>0.992</w:t>
            </w:r>
          </w:p>
        </w:tc>
        <w:tc>
          <w:tcPr>
            <w:tcW w:type="dxa" w:w="2304"/>
          </w:tcPr>
          <w:p>
            <w:r/>
            <w:r>
              <w:rPr>
                <w:sz w:val="19"/>
              </w:rPr>
              <w:t>0.895</w:t>
            </w:r>
          </w:p>
        </w:tc>
      </w:tr>
      <w:tr>
        <w:tc>
          <w:tcPr>
            <w:tcW w:type="dxa" w:w="1872"/>
          </w:tcPr>
          <w:p>
            <w:r/>
            <w:r>
              <w:rPr>
                <w:sz w:val="19"/>
              </w:rPr>
              <w:t>MLH1</w:t>
            </w:r>
          </w:p>
        </w:tc>
        <w:tc>
          <w:tcPr>
            <w:tcW w:type="dxa" w:w="1440"/>
          </w:tcPr>
          <w:p>
            <w:r/>
            <w:r>
              <w:rPr>
                <w:sz w:val="19"/>
              </w:rPr>
              <w:t>168</w:t>
            </w:r>
          </w:p>
        </w:tc>
        <w:tc>
          <w:tcPr>
            <w:tcW w:type="dxa" w:w="2736"/>
          </w:tcPr>
          <w:p>
            <w:r/>
            <w:r>
              <w:rPr>
                <w:sz w:val="19"/>
              </w:rPr>
              <w:t>0.921</w:t>
            </w:r>
          </w:p>
        </w:tc>
        <w:tc>
          <w:tcPr>
            <w:tcW w:type="dxa" w:w="2304"/>
          </w:tcPr>
          <w:p>
            <w:r/>
            <w:r>
              <w:rPr>
                <w:sz w:val="19"/>
              </w:rPr>
              <w:t>0.837</w:t>
            </w:r>
          </w:p>
        </w:tc>
      </w:tr>
      <w:tr>
        <w:tc>
          <w:tcPr>
            <w:tcW w:type="dxa" w:w="1872"/>
          </w:tcPr>
          <w:p>
            <w:r/>
            <w:r>
              <w:rPr>
                <w:sz w:val="19"/>
              </w:rPr>
              <w:t>PTEN</w:t>
            </w:r>
          </w:p>
        </w:tc>
        <w:tc>
          <w:tcPr>
            <w:tcW w:type="dxa" w:w="1440"/>
          </w:tcPr>
          <w:p>
            <w:r/>
            <w:r>
              <w:rPr>
                <w:sz w:val="19"/>
              </w:rPr>
              <w:t>194</w:t>
            </w:r>
          </w:p>
        </w:tc>
        <w:tc>
          <w:tcPr>
            <w:tcW w:type="dxa" w:w="2736"/>
          </w:tcPr>
          <w:p>
            <w:r/>
            <w:r>
              <w:rPr>
                <w:sz w:val="19"/>
              </w:rPr>
              <w:t>0.997</w:t>
            </w:r>
          </w:p>
        </w:tc>
        <w:tc>
          <w:tcPr>
            <w:tcW w:type="dxa" w:w="2304"/>
          </w:tcPr>
          <w:p>
            <w:r/>
            <w:r>
              <w:rPr>
                <w:sz w:val="19"/>
              </w:rPr>
              <w:t>0.997</w:t>
            </w:r>
          </w:p>
        </w:tc>
      </w:tr>
      <w:tr>
        <w:tc>
          <w:tcPr>
            <w:tcW w:type="dxa" w:w="1872"/>
          </w:tcPr>
          <w:p>
            <w:r/>
            <w:r>
              <w:rPr>
                <w:sz w:val="19"/>
              </w:rPr>
              <w:t>TP53</w:t>
            </w:r>
          </w:p>
        </w:tc>
        <w:tc>
          <w:tcPr>
            <w:tcW w:type="dxa" w:w="1440"/>
          </w:tcPr>
          <w:p>
            <w:r/>
            <w:r>
              <w:rPr>
                <w:sz w:val="19"/>
              </w:rPr>
              <w:t>284</w:t>
            </w:r>
          </w:p>
        </w:tc>
        <w:tc>
          <w:tcPr>
            <w:tcW w:type="dxa" w:w="2736"/>
          </w:tcPr>
          <w:p>
            <w:r/>
            <w:r>
              <w:rPr>
                <w:sz w:val="19"/>
              </w:rPr>
              <w:t>0.989</w:t>
            </w:r>
          </w:p>
        </w:tc>
        <w:tc>
          <w:tcPr>
            <w:tcW w:type="dxa" w:w="2304"/>
          </w:tcPr>
          <w:p>
            <w:r/>
            <w:r>
              <w:rPr>
                <w:sz w:val="19"/>
              </w:rPr>
              <w:t>0.958</w:t>
            </w:r>
          </w:p>
        </w:tc>
      </w:tr>
    </w:tbl>
    <w:p/>
    <w:p>
      <w:r>
        <w:rPr>
          <w:b/>
          <w:i w:val="0"/>
        </w:rPr>
        <w:t>These are not generalisation estimates and must not be reported as such. Three structural reasons: five extensively-studied genes; a 2.9:1 class imbalance; and the ACMG BS1/BA1 problem, where a share of benign labels are benign because the variant is common — which is precisely the allele-frequency signal AlphaMissense was tuned on. Clean numbers require the gene-held-out, macro-averaged, gene-ID-baselined protocol of Phase 2 and the frequency-free DMS replication of Phase 3.</w:t>
      </w:r>
    </w:p>
    <w:p>
      <w:r>
        <w:rPr>
          <w:b w:val="0"/>
          <w:i w:val="0"/>
        </w:rPr>
        <w:t>Signed rank-normalised disagreement: mean −0.004, sd 0.225; 22.3% of variants exceed |0.25|. There is real disagreement to model at this cohort size.</w:t>
      </w:r>
    </w:p>
    <w:p>
      <w:r>
        <w:rPr>
          <w:b w:val="0"/>
          <w:i/>
        </w:rPr>
        <w:t>One apparent finding is not evidence. Mean |disagreement| is 0.183 on cropped rows versus 0.158 on uncropped, which resembles the crop artifact the plan predicts — but in this cohort cropped status is perfectly confounded with gene identity, since the cropped set is exactly BRCA1 plus CFTR. Testing it requires crop status varying within gene-length strata.</w:t>
      </w:r>
    </w:p>
    <w:p>
      <w:pPr>
        <w:pStyle w:val="Heading1"/>
      </w:pPr>
      <w:r>
        <w:t>4. Corrections to the design-review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19"/>
              </w:rPr>
              <w:t>Item</w:t>
            </w:r>
          </w:p>
        </w:tc>
        <w:tc>
          <w:tcPr>
            <w:tcW w:type="dxa" w:w="2592"/>
          </w:tcPr>
          <w:p>
            <w:r/>
            <w:r>
              <w:rPr>
                <w:b/>
                <w:sz w:val="19"/>
              </w:rPr>
              <w:t>Plan said</w:t>
            </w:r>
          </w:p>
        </w:tc>
        <w:tc>
          <w:tcPr>
            <w:tcW w:type="dxa" w:w="4752"/>
          </w:tcPr>
          <w:p>
            <w:r/>
            <w:r>
              <w:rPr>
                <w:b/>
                <w:sz w:val="19"/>
              </w:rPr>
              <w:t>Reality</w:t>
            </w:r>
          </w:p>
        </w:tc>
      </w:tr>
      <w:tr>
        <w:tc>
          <w:tcPr>
            <w:tcW w:type="dxa" w:w="2448"/>
          </w:tcPr>
          <w:p>
            <w:r/>
            <w:r>
              <w:rPr>
                <w:sz w:val="19"/>
              </w:rPr>
              <w:t>ProteinGym precomputed scores</w:t>
            </w:r>
          </w:p>
        </w:tc>
        <w:tc>
          <w:tcPr>
            <w:tcW w:type="dxa" w:w="2592"/>
          </w:tcPr>
          <w:p>
            <w:r/>
            <w:r>
              <w:rPr>
                <w:sz w:val="19"/>
              </w:rPr>
              <w:t>audit whether ESM-1v scores exist</w:t>
            </w:r>
          </w:p>
        </w:tc>
        <w:tc>
          <w:tcPr>
            <w:tcW w:type="dxa" w:w="4752"/>
          </w:tcPr>
          <w:p>
            <w:r/>
            <w:r>
              <w:rPr>
                <w:sz w:val="19"/>
              </w:rPr>
              <w:t>v1.3 ships them (4.4 GB zero_shot_substitutions_scores.zip); AlphaMissense is NOT included</w:t>
            </w:r>
          </w:p>
        </w:tc>
      </w:tr>
      <w:tr>
        <w:tc>
          <w:tcPr>
            <w:tcW w:type="dxa" w:w="2448"/>
          </w:tcPr>
          <w:p>
            <w:r/>
            <w:r>
              <w:rPr>
                <w:sz w:val="19"/>
              </w:rPr>
              <w:t>AlphaFold DB version</w:t>
            </w:r>
          </w:p>
        </w:tc>
        <w:tc>
          <w:tcPr>
            <w:tcW w:type="dxa" w:w="2592"/>
          </w:tcPr>
          <w:p>
            <w:r/>
            <w:r>
              <w:rPr>
                <w:sz w:val="19"/>
              </w:rPr>
              <w:t>human proteome v4</w:t>
            </w:r>
          </w:p>
        </w:tc>
        <w:tc>
          <w:tcPr>
            <w:tcW w:type="dxa" w:w="4752"/>
          </w:tcPr>
          <w:p>
            <w:r/>
            <w:r>
              <w:rPr>
                <w:sz w:val="19"/>
              </w:rPr>
              <w:t>v6 — the _v4.pdb URLs now return 404</w:t>
            </w:r>
          </w:p>
        </w:tc>
      </w:tr>
      <w:tr>
        <w:tc>
          <w:tcPr>
            <w:tcW w:type="dxa" w:w="2448"/>
          </w:tcPr>
          <w:p>
            <w:r/>
            <w:r>
              <w:rPr>
                <w:sz w:val="19"/>
              </w:rPr>
              <w:t>ClinVar variant_summary.txt.gz</w:t>
            </w:r>
          </w:p>
        </w:tc>
        <w:tc>
          <w:tcPr>
            <w:tcW w:type="dxa" w:w="2592"/>
          </w:tcPr>
          <w:p>
            <w:r/>
            <w:r>
              <w:rPr>
                <w:sz w:val="19"/>
              </w:rPr>
              <w:t>~100 MB</w:t>
            </w:r>
          </w:p>
        </w:tc>
        <w:tc>
          <w:tcPr>
            <w:tcW w:type="dxa" w:w="4752"/>
          </w:tcPr>
          <w:p>
            <w:r/>
            <w:r>
              <w:rPr>
                <w:sz w:val="19"/>
              </w:rPr>
              <w:t>422 MB</w:t>
            </w:r>
          </w:p>
        </w:tc>
      </w:tr>
      <w:tr>
        <w:tc>
          <w:tcPr>
            <w:tcW w:type="dxa" w:w="2448"/>
          </w:tcPr>
          <w:p>
            <w:r/>
            <w:r>
              <w:rPr>
                <w:sz w:val="19"/>
              </w:rPr>
              <w:t>AlphaMissense local footprint</w:t>
            </w:r>
          </w:p>
        </w:tc>
        <w:tc>
          <w:tcPr>
            <w:tcW w:type="dxa" w:w="2592"/>
          </w:tcPr>
          <w:p>
            <w:r/>
            <w:r>
              <w:rPr>
                <w:sz w:val="19"/>
              </w:rPr>
              <w:t>16 GB assumed</w:t>
            </w:r>
          </w:p>
        </w:tc>
        <w:tc>
          <w:tcPr>
            <w:tcW w:type="dxa" w:w="4752"/>
          </w:tcPr>
          <w:p>
            <w:r/>
            <w:r>
              <w:rPr>
                <w:sz w:val="19"/>
              </w:rPr>
              <w:t>2.8 GB (6.11 GB for the full Zenodo release)</w:t>
            </w:r>
          </w:p>
        </w:tc>
      </w:tr>
    </w:tbl>
    <w:p/>
    <w:p>
      <w:r>
        <w:rPr>
          <w:b/>
          <w:i w:val="0"/>
        </w:rPr>
        <w:t>The ProteinGym finding is the consequential one. Because ProteinGym supplies ESM-1v scores and the local atlas supplies AlphaMissense, Phase 3 — the DMS adjudication experiment, which the review identifies as the minimum publishable result — requires no GPU at all. It is now pure data engineering and can proceed in parallel with any cluster work.</w:t>
      </w:r>
    </w:p>
    <w:p>
      <w:r>
        <w:rPr>
          <w:b w:val="0"/>
          <w:i/>
        </w:rPr>
        <w:t>Provenance: the ProteinGym figures are metadata-only, read from the project's GitHub README rather than by downloading the archives. Verify sizes and the v1.3 URL before committing scratch quota. AlphaFold v6, ClinVar size and AlphaMissense footprint were each read directly off the source or the local filesystem.</w:t>
      </w:r>
    </w:p>
    <w:p>
      <w:pPr>
        <w:pStyle w:val="Heading1"/>
      </w:pPr>
      <w:r>
        <w:t>5. Hoffman2 compute</w:t>
      </w:r>
    </w:p>
    <w:p>
      <w:pPr>
        <w:pStyle w:val="Heading2"/>
      </w:pPr>
      <w:r>
        <w:t>5.1 Environment and queue policy</w:t>
      </w:r>
    </w:p>
    <w:p>
      <w:r>
        <w:rPr>
          <w:b w:val="0"/>
          <w:i w:val="0"/>
        </w:rPr>
        <w:t>The vep environment on the cluster was built by cloning the existing condenseq conda env, which already carries a working torch 2.6.0+cu118 — re-resolving the CUDA build is the risky part of a fresh install. Verified: torch 2.6.0+cu118, transformers 4.57.6, protobuf 3.20.3.</w:t>
      </w:r>
    </w:p>
    <w:p>
      <w:r>
        <w:rPr>
          <w:b w:val="0"/>
          <w:i w:val="0"/>
        </w:rPr>
        <w:t>All five ESM-1v checkpoints (12 GB) were pushed to $SCRATCH/hf_cache by rsync rather than downloaded on the login node, which OOMs on the downloader. Integrity was confirmed per model: refs/main matching the local originals, 5 files, 2,489 MB of blobs.</w:t>
      </w:r>
    </w:p>
    <w:p>
      <w:r>
        <w:rPr>
          <w:b/>
          <w:i w:val="0"/>
        </w:rPr>
        <w:t>Queue policy: public A100 only, no highp. The account is in the kappel group, so highp would dispatch immediately to the group-owned node g20 — but this is CAIR work, not Kappel lab work, and does not belong on that allocation.</w:t>
      </w:r>
    </w:p>
    <w:p>
      <w:pPr>
        <w:pStyle w:val="Heading2"/>
      </w:pPr>
      <w:r>
        <w:t>5.2 Pilot result — job 14625415</w:t>
      </w:r>
    </w:p>
    <w:p>
      <w:r>
        <w:rPr>
          <w:b w:val="0"/>
          <w:i w:val="0"/>
        </w:rPr>
        <w:t>734 positions × 5 models, single task, A100-SXM4-40GB on g15. Queued approximately two minutes.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9"/>
              </w:rPr>
              <w:t>Model</w:t>
            </w:r>
          </w:p>
        </w:tc>
        <w:tc>
          <w:tcPr>
            <w:tcW w:type="dxa" w:w="2304"/>
          </w:tcPr>
          <w:p>
            <w:r/>
            <w:r>
              <w:rPr>
                <w:b/>
                <w:sz w:val="19"/>
              </w:rPr>
              <w:t>Wall</w:t>
            </w:r>
          </w:p>
        </w:tc>
        <w:tc>
          <w:tcPr>
            <w:tcW w:type="dxa" w:w="3600"/>
          </w:tcPr>
          <w:p>
            <w:r/>
            <w:r>
              <w:rPr>
                <w:b/>
                <w:sz w:val="19"/>
              </w:rPr>
              <w:t>Per position</w:t>
            </w:r>
          </w:p>
        </w:tc>
      </w:tr>
      <w:tr>
        <w:tc>
          <w:tcPr>
            <w:tcW w:type="dxa" w:w="1872"/>
          </w:tcPr>
          <w:p>
            <w:r/>
            <w:r>
              <w:rPr>
                <w:sz w:val="19"/>
              </w:rPr>
              <w:t>1</w:t>
            </w:r>
          </w:p>
        </w:tc>
        <w:tc>
          <w:tcPr>
            <w:tcW w:type="dxa" w:w="2304"/>
          </w:tcPr>
          <w:p>
            <w:r/>
            <w:r>
              <w:rPr>
                <w:sz w:val="19"/>
              </w:rPr>
              <w:t>265 s</w:t>
            </w:r>
          </w:p>
        </w:tc>
        <w:tc>
          <w:tcPr>
            <w:tcW w:type="dxa" w:w="3600"/>
          </w:tcPr>
          <w:p>
            <w:r/>
            <w:r>
              <w:rPr>
                <w:sz w:val="19"/>
              </w:rPr>
              <w:t>361 ms (includes warmup)</w:t>
            </w:r>
          </w:p>
        </w:tc>
      </w:tr>
      <w:tr>
        <w:tc>
          <w:tcPr>
            <w:tcW w:type="dxa" w:w="1872"/>
          </w:tcPr>
          <w:p>
            <w:r/>
            <w:r>
              <w:rPr>
                <w:sz w:val="19"/>
              </w:rPr>
              <w:t>2</w:t>
            </w:r>
          </w:p>
        </w:tc>
        <w:tc>
          <w:tcPr>
            <w:tcW w:type="dxa" w:w="2304"/>
          </w:tcPr>
          <w:p>
            <w:r/>
            <w:r>
              <w:rPr>
                <w:sz w:val="19"/>
              </w:rPr>
              <w:t>208 s</w:t>
            </w:r>
          </w:p>
        </w:tc>
        <w:tc>
          <w:tcPr>
            <w:tcW w:type="dxa" w:w="3600"/>
          </w:tcPr>
          <w:p>
            <w:r/>
            <w:r>
              <w:rPr>
                <w:sz w:val="19"/>
              </w:rPr>
              <w:t>284 ms</w:t>
            </w:r>
          </w:p>
        </w:tc>
      </w:tr>
      <w:tr>
        <w:tc>
          <w:tcPr>
            <w:tcW w:type="dxa" w:w="1872"/>
          </w:tcPr>
          <w:p>
            <w:r/>
            <w:r>
              <w:rPr>
                <w:sz w:val="19"/>
              </w:rPr>
              <w:t>3</w:t>
            </w:r>
          </w:p>
        </w:tc>
        <w:tc>
          <w:tcPr>
            <w:tcW w:type="dxa" w:w="2304"/>
          </w:tcPr>
          <w:p>
            <w:r/>
            <w:r>
              <w:rPr>
                <w:sz w:val="19"/>
              </w:rPr>
              <w:t>266 s</w:t>
            </w:r>
          </w:p>
        </w:tc>
        <w:tc>
          <w:tcPr>
            <w:tcW w:type="dxa" w:w="3600"/>
          </w:tcPr>
          <w:p>
            <w:r/>
            <w:r>
              <w:rPr>
                <w:sz w:val="19"/>
              </w:rPr>
              <w:t>362 ms</w:t>
            </w:r>
          </w:p>
        </w:tc>
      </w:tr>
      <w:tr>
        <w:tc>
          <w:tcPr>
            <w:tcW w:type="dxa" w:w="1872"/>
          </w:tcPr>
          <w:p>
            <w:r/>
            <w:r>
              <w:rPr>
                <w:sz w:val="19"/>
              </w:rPr>
              <w:t>4</w:t>
            </w:r>
          </w:p>
        </w:tc>
        <w:tc>
          <w:tcPr>
            <w:tcW w:type="dxa" w:w="2304"/>
          </w:tcPr>
          <w:p>
            <w:r/>
            <w:r>
              <w:rPr>
                <w:sz w:val="19"/>
              </w:rPr>
              <w:t>199 s</w:t>
            </w:r>
          </w:p>
        </w:tc>
        <w:tc>
          <w:tcPr>
            <w:tcW w:type="dxa" w:w="3600"/>
          </w:tcPr>
          <w:p>
            <w:r/>
            <w:r>
              <w:rPr>
                <w:sz w:val="19"/>
              </w:rPr>
              <w:t>270 ms</w:t>
            </w:r>
          </w:p>
        </w:tc>
      </w:tr>
      <w:tr>
        <w:tc>
          <w:tcPr>
            <w:tcW w:type="dxa" w:w="1872"/>
          </w:tcPr>
          <w:p>
            <w:r/>
            <w:r>
              <w:rPr>
                <w:sz w:val="19"/>
              </w:rPr>
              <w:t>5</w:t>
            </w:r>
          </w:p>
        </w:tc>
        <w:tc>
          <w:tcPr>
            <w:tcW w:type="dxa" w:w="2304"/>
          </w:tcPr>
          <w:p>
            <w:r/>
            <w:r>
              <w:rPr>
                <w:sz w:val="19"/>
              </w:rPr>
              <w:t>229 s</w:t>
            </w:r>
          </w:p>
        </w:tc>
        <w:tc>
          <w:tcPr>
            <w:tcW w:type="dxa" w:w="3600"/>
          </w:tcPr>
          <w:p>
            <w:r/>
            <w:r>
              <w:rPr>
                <w:sz w:val="19"/>
              </w:rPr>
              <w:t>312 ms</w:t>
            </w:r>
          </w:p>
        </w:tc>
      </w:tr>
      <w:tr>
        <w:tc>
          <w:tcPr>
            <w:tcW w:type="dxa" w:w="1872"/>
          </w:tcPr>
          <w:p>
            <w:r/>
            <w:r>
              <w:rPr>
                <w:sz w:val="19"/>
              </w:rPr>
              <w:t>Ensemble</w:t>
            </w:r>
          </w:p>
        </w:tc>
        <w:tc>
          <w:tcPr>
            <w:tcW w:type="dxa" w:w="2304"/>
          </w:tcPr>
          <w:p>
            <w:r/>
            <w:r>
              <w:rPr>
                <w:sz w:val="19"/>
              </w:rPr>
              <w:t>1,167 s</w:t>
            </w:r>
          </w:p>
        </w:tc>
        <w:tc>
          <w:tcPr>
            <w:tcW w:type="dxa" w:w="3600"/>
          </w:tcPr>
          <w:p>
            <w:r/>
            <w:r>
              <w:rPr>
                <w:sz w:val="19"/>
              </w:rPr>
              <w:t>1.590 s</w:t>
            </w:r>
          </w:p>
        </w:tc>
      </w:tr>
    </w:tbl>
    <w:p/>
    <w:p>
      <w:r>
        <w:rPr>
          <w:b/>
          <w:i w:val="0"/>
        </w:rPr>
        <w:t>The A100 is only 1.62× faster than the M3 Pro laptop (1,167 s versus 1,887 s). That is well below the 3–4× the plan's 5–15 GPU-hour estimate implicitly assumed.</w:t>
      </w:r>
    </w:p>
    <w:p>
      <w:r>
        <w:rPr>
          <w:b w:val="0"/>
          <w:i w:val="0"/>
        </w:rPr>
        <w:t>Revised budget for 30–60k unique positions: 13–27 A100-hours, against the plan's 5–15 h. As a 20-way array that is 40–80 minutes of wall time, so it is not a schedule risk — but it is the honest GPU-hour cost, up to roughly 1.8× the planned figure at the high end.</w:t>
      </w:r>
    </w:p>
    <w:p>
      <w:pPr>
        <w:pStyle w:val="Heading2"/>
      </w:pPr>
      <w:r>
        <w:t>5.3 Cross-validation of the cluster stack</w:t>
      </w:r>
    </w:p>
    <w:p>
      <w:r>
        <w:rPr>
          <w:b w:val="0"/>
          <w:i w:val="0"/>
        </w:rPr>
        <w:t>The same 734 positions were scored on two different machines running two different transformers versions (4.57.6 on the cluster, 5.16.1 locally):</w:t>
      </w:r>
    </w:p>
    <w:tbl>
      <w:tblPr>
        <w:tblStyle w:val="LightGrid-Accent1"/>
        <w:tblW w:type="auto" w:w="0"/>
        <w:jc w:val="center"/>
        <w:tblLook w:firstColumn="1" w:firstRow="1" w:lastColumn="0" w:lastRow="0" w:noHBand="0" w:noVBand="1" w:val="04A0"/>
      </w:tblPr>
      <w:tblGrid>
        <w:gridCol w:w="4320"/>
        <w:gridCol w:w="4320"/>
      </w:tblGrid>
      <w:tr>
        <w:tc>
          <w:tcPr>
            <w:tcW w:type="dxa" w:w="5184"/>
          </w:tcPr>
          <w:p>
            <w:r/>
            <w:r>
              <w:rPr>
                <w:b/>
                <w:sz w:val="19"/>
              </w:rPr>
              <w:t>Metric</w:t>
            </w:r>
          </w:p>
        </w:tc>
        <w:tc>
          <w:tcPr>
            <w:tcW w:type="dxa" w:w="3888"/>
          </w:tcPr>
          <w:p>
            <w:r/>
            <w:r>
              <w:rPr>
                <w:b/>
                <w:sz w:val="19"/>
              </w:rPr>
              <w:t>Value</w:t>
            </w:r>
          </w:p>
        </w:tc>
      </w:tr>
      <w:tr>
        <w:tc>
          <w:tcPr>
            <w:tcW w:type="dxa" w:w="5184"/>
          </w:tcPr>
          <w:p>
            <w:r/>
            <w:r>
              <w:rPr>
                <w:sz w:val="19"/>
              </w:rPr>
              <w:t>Per-variant ensemble LLR, max absolute difference</w:t>
            </w:r>
          </w:p>
        </w:tc>
        <w:tc>
          <w:tcPr>
            <w:tcW w:type="dxa" w:w="3888"/>
          </w:tcPr>
          <w:p>
            <w:r/>
            <w:r>
              <w:rPr>
                <w:sz w:val="19"/>
              </w:rPr>
              <w:t>0.0092</w:t>
            </w:r>
          </w:p>
        </w:tc>
      </w:tr>
      <w:tr>
        <w:tc>
          <w:tcPr>
            <w:tcW w:type="dxa" w:w="5184"/>
          </w:tcPr>
          <w:p>
            <w:r/>
            <w:r>
              <w:rPr>
                <w:sz w:val="19"/>
              </w:rPr>
              <w:t>Mean absolute difference</w:t>
            </w:r>
          </w:p>
        </w:tc>
        <w:tc>
          <w:tcPr>
            <w:tcW w:type="dxa" w:w="3888"/>
          </w:tcPr>
          <w:p>
            <w:r/>
            <w:r>
              <w:rPr>
                <w:sz w:val="19"/>
              </w:rPr>
              <w:t>0.00168</w:t>
            </w:r>
          </w:p>
        </w:tc>
      </w:tr>
      <w:tr>
        <w:tc>
          <w:tcPr>
            <w:tcW w:type="dxa" w:w="5184"/>
          </w:tcPr>
          <w:p>
            <w:r/>
            <w:r>
              <w:rPr>
                <w:sz w:val="19"/>
              </w:rPr>
              <w:t>Spearman rho</w:t>
            </w:r>
          </w:p>
        </w:tc>
        <w:tc>
          <w:tcPr>
            <w:tcW w:type="dxa" w:w="3888"/>
          </w:tcPr>
          <w:p>
            <w:r/>
            <w:r>
              <w:rPr>
                <w:sz w:val="19"/>
              </w:rPr>
              <w:t>0.99999926</w:t>
            </w:r>
          </w:p>
        </w:tc>
      </w:tr>
      <w:tr>
        <w:tc>
          <w:tcPr>
            <w:tcW w:type="dxa" w:w="5184"/>
          </w:tcPr>
          <w:p>
            <w:r/>
            <w:r>
              <w:rPr>
                <w:sz w:val="19"/>
              </w:rPr>
              <w:t>Max percentile-rank shift</w:t>
            </w:r>
          </w:p>
        </w:tc>
        <w:tc>
          <w:tcPr>
            <w:tcW w:type="dxa" w:w="3888"/>
          </w:tcPr>
          <w:p>
            <w:r/>
            <w:r>
              <w:rPr>
                <w:sz w:val="19"/>
              </w:rPr>
              <w:t>0.0034</w:t>
            </w:r>
          </w:p>
        </w:tc>
      </w:tr>
    </w:tbl>
    <w:p/>
    <w:p>
      <w:r>
        <w:rPr>
          <w:b w:val="0"/>
          <w:i w:val="0"/>
        </w:rPr>
        <w:t>This is float32 kernel nondeterminism only. Scores from either machine are interchangeable for ranking, which is what the disagreement analysis consumes.</w:t>
      </w:r>
    </w:p>
    <w:p>
      <w:pPr>
        <w:pStyle w:val="Heading2"/>
      </w:pPr>
      <w:r>
        <w:t>5.4 Cluster traps documented</w:t>
      </w:r>
    </w:p>
    <w:p>
      <w:r>
        <w:rPr>
          <w:b w:val="0"/>
          <w:i w:val="0"/>
        </w:rPr>
        <w:t>Four failure modes were encountered and are recorded in hoffman2/README.md so they are not rediscovered:</w:t>
      </w:r>
    </w:p>
    <w:p>
      <w:pPr>
        <w:pStyle w:val="ListNumber"/>
      </w:pPr>
      <w:r>
        <w:t>Never pass -q on a GPU job. A queue list combined with a generic -l gpu is a conflicting request; the job waits in qw indefinitely with no error. (Inherited from the condenseq playbook, IDRE ticket #100868426.)</w:t>
      </w:r>
    </w:p>
    <w:p>
      <w:pPr>
        <w:pStyle w:val="ListNumber"/>
      </w:pPr>
      <w:r>
        <w:t>conda create --clone leaves a broken pip — both bin/pip and python -m pip fail with ImportError: cannot import name 'get_runnable_pip'. Install via conda instead.</w:t>
      </w:r>
    </w:p>
    <w:p>
      <w:pPr>
        <w:pStyle w:val="ListNumber"/>
      </w:pPr>
      <w:r>
        <w:t>protobuf is required by EsmTokenizer.from_pretrained and the error message does not say so. Do not install sentencepiece; no wheel builds on this cluster.</w:t>
      </w:r>
    </w:p>
    <w:p>
      <w:pPr>
        <w:pStyle w:val="ListNumber"/>
      </w:pPr>
      <w:r>
        <w:t>SGE sets SGE_TASK_ID to the literal string "undefined" on non-array jobs, so ${SGE_TASK_ID:-1} does not fall back. This killed the first submission (job 14625404). It bites only the single-task pilot form, so it survives any testing done with -t.</w:t>
      </w:r>
    </w:p>
    <w:p>
      <w:pPr>
        <w:pStyle w:val="Heading1"/>
      </w:pPr>
      <w:r>
        <w:t>6. Open items and recommended sequence</w:t>
      </w:r>
    </w:p>
    <w:p>
      <w:pPr>
        <w:pStyle w:val="Heading2"/>
      </w:pPr>
      <w:r>
        <w:t>6.1 Blocked on a person, not on code</w:t>
      </w:r>
    </w:p>
    <w:p>
      <w:pPr>
        <w:pStyle w:val="ListBullet"/>
      </w:pPr>
      <w:r>
        <w:t>Run bash hoffman2/check_gpu_availability.sh from the condenseq scaffold to record which GPU models are reachable and whether highp applies to each team member. Teammates on their own accounts are almost certainly not in the kappel ACL, and a non-member's highp job waits forever with no error.</w:t>
      </w:r>
    </w:p>
    <w:p>
      <w:pPr>
        <w:pStyle w:val="Heading2"/>
      </w:pPr>
      <w:r>
        <w:t>6.2 Highest-value next actions</w:t>
      </w:r>
    </w:p>
    <w:p>
      <w:pPr>
        <w:pStyle w:val="ListNumber"/>
      </w:pPr>
      <w:r>
        <w:t>Run Phase 3 (DMS adjudication) first. It needs no GPU, it is the minimum publishable result, and ProteinGym supplies both the labels and the ESM-1v scores.</w:t>
      </w:r>
    </w:p>
    <w:p>
      <w:pPr>
        <w:pStyle w:val="ListNumber"/>
      </w:pPr>
      <w:r>
        <w:t>Test the TF32 hypothesis before committing the full array. PyTorch defaults allow_tf32=False for matmul, which runs an A100 at roughly 19.5 TFLOPS instead of ~156. This is a hypothesis, not a measurement — benchmark it on the same 734 positions, and re-run the cross-validation of section 5.3 if precision changes, since TF32 will move log-probs more than the 1e-3 observed there.</w:t>
      </w:r>
    </w:p>
    <w:p>
      <w:pPr>
        <w:pStyle w:val="ListNumber"/>
      </w:pPr>
      <w:r>
        <w:t>Widen the gene set to 300–500 genes before any structural claim, for the BRCA1 reason in section 3.4 and the confidence-interval reason in the design review.</w:t>
      </w:r>
    </w:p>
    <w:p>
      <w:pPr>
        <w:pStyle w:val="ListNumber"/>
      </w:pPr>
      <w:r>
        <w:t>Decide whether dbNSFP 5.x still earns its 30–60 GB now that EVE has been acquired standalone.</w:t>
      </w:r>
    </w:p>
    <w:p>
      <w:pPr>
        <w:pStyle w:val="Heading1"/>
      </w:pPr>
      <w:r>
        <w:t>7. Artifacts</w:t>
      </w:r>
    </w:p>
    <w:tbl>
      <w:tblPr>
        <w:tblStyle w:val="LightGrid-Accent1"/>
        <w:tblW w:type="auto" w:w="0"/>
        <w:jc w:val="center"/>
        <w:tblLook w:firstColumn="1" w:firstRow="1" w:lastColumn="0" w:lastRow="0" w:noHBand="0" w:noVBand="1" w:val="04A0"/>
      </w:tblPr>
      <w:tblGrid>
        <w:gridCol w:w="4320"/>
        <w:gridCol w:w="4320"/>
      </w:tblGrid>
      <w:tr>
        <w:tc>
          <w:tcPr>
            <w:tcW w:type="dxa" w:w="3888"/>
          </w:tcPr>
          <w:p>
            <w:r/>
            <w:r>
              <w:rPr>
                <w:b/>
                <w:sz w:val="19"/>
              </w:rPr>
              <w:t>Path</w:t>
            </w:r>
          </w:p>
        </w:tc>
        <w:tc>
          <w:tcPr>
            <w:tcW w:type="dxa" w:w="5184"/>
          </w:tcPr>
          <w:p>
            <w:r/>
            <w:r>
              <w:rPr>
                <w:b/>
                <w:sz w:val="19"/>
              </w:rPr>
              <w:t>Contents</w:t>
            </w:r>
          </w:p>
        </w:tc>
      </w:tr>
      <w:tr>
        <w:tc>
          <w:tcPr>
            <w:tcW w:type="dxa" w:w="3888"/>
          </w:tcPr>
          <w:p>
            <w:r/>
            <w:r>
              <w:rPr>
                <w:sz w:val="19"/>
              </w:rPr>
              <w:t>scripts/spike/phase0_join.py</w:t>
            </w:r>
          </w:p>
        </w:tc>
        <w:tc>
          <w:tcPr>
            <w:tcW w:type="dxa" w:w="5184"/>
          </w:tcPr>
          <w:p>
            <w:r/>
            <w:r>
              <w:rPr>
                <w:sz w:val="19"/>
              </w:rPr>
              <w:t>ClinVar → AlphaMissense coordinate join</w:t>
            </w:r>
          </w:p>
        </w:tc>
      </w:tr>
      <w:tr>
        <w:tc>
          <w:tcPr>
            <w:tcW w:type="dxa" w:w="3888"/>
          </w:tcPr>
          <w:p>
            <w:r/>
            <w:r>
              <w:rPr>
                <w:sz w:val="19"/>
              </w:rPr>
              <w:t>scripts/spike/phase0_assert.py</w:t>
            </w:r>
          </w:p>
        </w:tc>
        <w:tc>
          <w:tcPr>
            <w:tcW w:type="dxa" w:w="5184"/>
          </w:tcPr>
          <w:p>
            <w:r/>
            <w:r>
              <w:rPr>
                <w:sz w:val="19"/>
              </w:rPr>
              <w:t>Reference-AA assertion, pLDDT and RSA features</w:t>
            </w:r>
          </w:p>
        </w:tc>
      </w:tr>
      <w:tr>
        <w:tc>
          <w:tcPr>
            <w:tcW w:type="dxa" w:w="3888"/>
          </w:tcPr>
          <w:p>
            <w:r/>
            <w:r>
              <w:rPr>
                <w:sz w:val="19"/>
              </w:rPr>
              <w:t>scripts/spike/phase0_finalize.py</w:t>
            </w:r>
          </w:p>
        </w:tc>
        <w:tc>
          <w:tcPr>
            <w:tcW w:type="dxa" w:w="5184"/>
          </w:tcPr>
          <w:p>
            <w:r/>
            <w:r>
              <w:rPr>
                <w:sz w:val="19"/>
              </w:rPr>
              <w:t>ESM-1v attachment, rank normalisation, disagreement</w:t>
            </w:r>
          </w:p>
        </w:tc>
      </w:tr>
      <w:tr>
        <w:tc>
          <w:tcPr>
            <w:tcW w:type="dxa" w:w="3888"/>
          </w:tcPr>
          <w:p>
            <w:r/>
            <w:r>
              <w:rPr>
                <w:sz w:val="19"/>
              </w:rPr>
              <w:t>hoffman2/esm1v_score.qsub</w:t>
            </w:r>
          </w:p>
        </w:tc>
        <w:tc>
          <w:tcPr>
            <w:tcW w:type="dxa" w:w="5184"/>
          </w:tcPr>
          <w:p>
            <w:r/>
            <w:r>
              <w:rPr>
                <w:sz w:val="19"/>
              </w:rPr>
              <w:t>GPU job script, public-queue submit lines</w:t>
            </w:r>
          </w:p>
        </w:tc>
      </w:tr>
      <w:tr>
        <w:tc>
          <w:tcPr>
            <w:tcW w:type="dxa" w:w="3888"/>
          </w:tcPr>
          <w:p>
            <w:r/>
            <w:r>
              <w:rPr>
                <w:sz w:val="19"/>
              </w:rPr>
              <w:t>hoffman2/setup_vep_env.sh, fix_vep_env.sh</w:t>
            </w:r>
          </w:p>
        </w:tc>
        <w:tc>
          <w:tcPr>
            <w:tcW w:type="dxa" w:w="5184"/>
          </w:tcPr>
          <w:p>
            <w:r/>
            <w:r>
              <w:rPr>
                <w:sz w:val="19"/>
              </w:rPr>
              <w:t>Cluster environment build and repair</w:t>
            </w:r>
          </w:p>
        </w:tc>
      </w:tr>
      <w:tr>
        <w:tc>
          <w:tcPr>
            <w:tcW w:type="dxa" w:w="3888"/>
          </w:tcPr>
          <w:p>
            <w:r/>
            <w:r>
              <w:rPr>
                <w:sz w:val="19"/>
              </w:rPr>
              <w:t>hoffman2/README.md</w:t>
            </w:r>
          </w:p>
        </w:tc>
        <w:tc>
          <w:tcPr>
            <w:tcW w:type="dxa" w:w="5184"/>
          </w:tcPr>
          <w:p>
            <w:r/>
            <w:r>
              <w:rPr>
                <w:sz w:val="19"/>
              </w:rPr>
              <w:t>Queue policy, pilot results, the four traps</w:t>
            </w:r>
          </w:p>
        </w:tc>
      </w:tr>
      <w:tr>
        <w:tc>
          <w:tcPr>
            <w:tcW w:type="dxa" w:w="3888"/>
          </w:tcPr>
          <w:p>
            <w:r/>
            <w:r>
              <w:rPr>
                <w:sz w:val="19"/>
              </w:rPr>
              <w:t>data/spike/spike_final.parquet</w:t>
            </w:r>
          </w:p>
        </w:tc>
        <w:tc>
          <w:tcPr>
            <w:tcW w:type="dxa" w:w="5184"/>
          </w:tcPr>
          <w:p>
            <w:r/>
            <w:r>
              <w:rPr>
                <w:sz w:val="19"/>
              </w:rPr>
              <w:t>1,168 variants × 36 columns, fully joined</w:t>
            </w:r>
          </w:p>
        </w:tc>
      </w:tr>
      <w:tr>
        <w:tc>
          <w:tcPr>
            <w:tcW w:type="dxa" w:w="3888"/>
          </w:tcPr>
          <w:p>
            <w:r/>
            <w:r>
              <w:rPr>
                <w:sz w:val="19"/>
              </w:rPr>
              <w:t>data/spike/hoffman2/esm1v_a100.parquet</w:t>
            </w:r>
          </w:p>
        </w:tc>
        <w:tc>
          <w:tcPr>
            <w:tcW w:type="dxa" w:w="5184"/>
          </w:tcPr>
          <w:p>
            <w:r/>
            <w:r>
              <w:rPr>
                <w:sz w:val="19"/>
              </w:rPr>
              <w:t>A100 pilot scores, 3,670 rows</w:t>
            </w:r>
          </w:p>
        </w:tc>
      </w:tr>
      <w:tr>
        <w:tc>
          <w:tcPr>
            <w:tcW w:type="dxa" w:w="3888"/>
          </w:tcPr>
          <w:p>
            <w:r/>
            <w:r>
              <w:rPr>
                <w:sz w:val="19"/>
              </w:rPr>
              <w:t>data/README.md</w:t>
            </w:r>
          </w:p>
        </w:tc>
        <w:tc>
          <w:tcPr>
            <w:tcW w:type="dxa" w:w="5184"/>
          </w:tcPr>
          <w:p>
            <w:r/>
            <w:r>
              <w:rPr>
                <w:sz w:val="19"/>
              </w:rPr>
              <w:t>Acquisition log, storage layout, all spike findings</w:t>
            </w:r>
          </w:p>
        </w:tc>
      </w:tr>
    </w:tbl>
    <w:p/>
    <w:p>
      <w:r>
        <w:br w:type="page"/>
      </w:r>
    </w:p>
    <w:p>
      <w:pPr>
        <w:pStyle w:val="Heading1"/>
      </w:pPr>
      <w:r>
        <w:t>Appendix. Provenance of claims</w:t>
      </w:r>
    </w:p>
    <w:p>
      <w:r>
        <w:rPr>
          <w:b w:val="0"/>
          <w:i w:val="0"/>
        </w:rPr>
        <w:t>Per project convention, sources are labelled.</w:t>
      </w:r>
    </w:p>
    <w:p>
      <w:pPr>
        <w:pStyle w:val="ListBullet"/>
      </w:pPr>
      <w:r>
        <w:t>Read directly off this machine or the cluster this session: all disk measurements, the duplicate-revision audit, every join and assertion count, both throughput benchmarks, the cross-validation statistics, cluster environment versions, and job outcomes.</w:t>
      </w:r>
    </w:p>
    <w:p>
      <w:pPr>
        <w:pStyle w:val="ListBullet"/>
      </w:pPr>
      <w:r>
        <w:t>Read from source this session: AlphaMissense file listing and sizes (Zenodo API), AlphaFold version 6 and sequences (AFDB API), ClinVar and MANE releases (NCBI FTP).</w:t>
      </w:r>
    </w:p>
    <w:p>
      <w:pPr>
        <w:pStyle w:val="ListBullet"/>
      </w:pPr>
      <w:r>
        <w:t>Metadata-only: ProteinGym v1.3 contents and archive sizes, read from the project's GitHub README rather than by downloading.</w:t>
      </w:r>
    </w:p>
    <w:p>
      <w:pPr>
        <w:pStyle w:val="ListBullet"/>
      </w:pPr>
      <w:r>
        <w:t>Background knowledge, not verified against sources: the characterisation of ACMG BS1/BA1 as allele-frequency criteria, and Tien et al. (2013) maximum-ASA normalisation values used for RSA. Both should be confirmed by whoever owns the relevant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