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膜林 MXC 晶控仪手册工程经验评估</w:t>
      </w:r>
    </w:p>
    <w:p>
      <w:r>
        <w:t>报告日期 2026年10月2日</w:t>
      </w:r>
    </w:p>
    <w:p>
      <w:pPr>
        <w:pStyle w:val="Heading1"/>
      </w:pPr>
      <w:r>
        <w:t>结论与引入顺序</w:t>
      </w:r>
    </w:p>
    <w:p>
      <w:r>
        <w:t>这份手册最值得引入的是仪器状态、显示口径与真实沉积之间的区别。现有研究已经覆盖频率到面质量、密度与 Z 因子的分离、tooling 的条件性以及薄膜光学可辨识性；手册补足了把这些理论接到真实设备数据之前容易漏掉的操作语义。</w:t>
      </w:r>
    </w:p>
    <w:p>
      <w:r>
        <w:t>建议首先补读数可信度和参数事件记录，其次补校准适用域及离线反例，最后再研究控制时序与多层声学。优先级最高的五项如下。</w:t>
      </w:r>
    </w:p>
    <w:p>
      <w:pPr>
        <w:ind w:left="170"/>
      </w:pPr>
      <w:r>
        <w:t>1. 晶振失效后，时间功率模式仍可能输出设定速率并累积厚度。这是外推值，不能当实测量进入校准或反演。</w:t>
      </w:r>
    </w:p>
    <w:p>
      <w:pPr>
        <w:ind w:left="170"/>
      </w:pPr>
      <w:r>
        <w:t>2. 修改 tooling 可能同时改变反馈目标所对应的真实晶体沉积速率，继而改变功率、源状态和均匀性。厚度校正和速率控制应分别定义坐标。</w:t>
      </w:r>
    </w:p>
    <w:p>
      <w:pPr>
        <w:ind w:left="170"/>
      </w:pPr>
      <w:r>
        <w:t>3. 关挡板后的正速率峰可来自晶体冷却、下一层密度参数切换和显示平均延迟。必须保留材料参数快照与时序，不能仅凭一条速率曲线判断源拖尾。</w:t>
      </w:r>
    </w:p>
    <w:p>
      <w:pPr>
        <w:ind w:left="170"/>
      </w:pPr>
      <w:r>
        <w:t>4. 初始负厚度舍弃只改变显示或累计规则，不等于恢复被热漂移掩盖的真实沉积量。原始负数据仍应保留。</w:t>
      </w:r>
    </w:p>
    <w:p>
      <w:pPr>
        <w:ind w:left="170"/>
      </w:pPr>
      <w:r>
        <w:t>5. 晶体频率、频率锁定状态和厂家损耗指标应分别记录。厂家损耗百分比既不是剩余寿命，也不是已标定的动态电阻值。</w:t>
      </w:r>
    </w:p>
    <w:p>
      <w:pPr>
        <w:pStyle w:val="Heading1"/>
      </w:pPr>
      <w:r>
        <w:t>来源与评估边界</w:t>
      </w:r>
    </w:p>
    <w:p>
      <w:r>
        <w:t>主资料为上海膜林科技有限公司《石英晶体膜厚控制仪 MXC 用户手册》。封面和页眉确认系列名称；版本履历最新项为 Ver3.1.0，发布日期 2020年6月26日。正文涉及 MXC-3、MXC-3K、MXC-3B，并提及 XDM-3K、MXC-3BE 及选装功能；不能由这一本合订手册推断某台设备实际具备全部功能。</w:t>
      </w:r>
    </w:p>
    <w:p>
      <w:r>
        <w:t>文件共104个PDF页。封面无印刷页码，之后印刷页码为PDF页码减1。以下证据统一写成“印刷页／PDF页”，例如39／40。已通读全文文本，并查看型号功能表、原始速率选项、Z因子对比、功率时序、PID图示及停止后速率曲线等关键页图像。44号PDF页仅有章节标题，所引用的流程图在该文件中并未提供可读内容，不据此补写流程。</w:t>
      </w:r>
    </w:p>
    <w:p>
      <w:r>
        <w:t>比对对象为 coating-research-library 的04、05、06、07专题第二轮合同，以及必要的01、03、05首轮资料。此次只读检查，未修改冻结研究、未执行生产控制、未审查实际产品通信与控制代码。因此，下文所说“未覆盖”指研究合同或模型尚未明确表达，不是已经证实的产品缺陷。</w:t>
      </w:r>
    </w:p>
    <w:p>
      <w:r>
        <w:t>手册含厂家版权限制。本报告提供独立整理、适用边界与建议，不收录厂家原文、页面截图或整张材料参数表，也不把手册原件上传代码仓库。</w:t>
      </w:r>
    </w:p>
    <w:p>
      <w:pPr>
        <w:pStyle w:val="Heading1"/>
      </w:pPr>
      <w:r>
        <w:t>一 先确认数字是不是观测值</w:t>
      </w:r>
    </w:p>
    <w:p>
      <w:pPr>
        <w:pStyle w:val="Heading2"/>
      </w:pPr>
      <w:r>
        <w:t>1 失效后的设定速率会看起来很正常</w:t>
      </w:r>
    </w:p>
    <w:p>
      <w:r>
        <w:t>手册印刷45页／PDF46页说明：启用时间功率后，晶振失效时按此前平均功率继续镀制，输出速率使用设定值，并据此累计厚度；真实速率未知。由此可能得到一条很平的曲线，却没有新的速率测量。</w:t>
      </w:r>
    </w:p>
    <w:p>
      <w:r>
        <w:t>建议把读数来源分为 measured、substituted_setpoint、held、derived 等类别，并另外记录频率是否锁定、控制模式、累计开关及替代开始时间。替代值可用于明确标识的过程估计，不应混入参数辨识、统计精度或独立验证样本。现有T05研究拒绝未知物理量，但尚没有这一设备替代值语义。</w:t>
      </w:r>
    </w:p>
    <w:p>
      <w:pPr>
        <w:pStyle w:val="Heading2"/>
      </w:pPr>
      <w:r>
        <w:t>2 厚度累计与实际挡板状态不是同一个状态量</w:t>
      </w:r>
    </w:p>
    <w:p>
      <w:r>
        <w:t>手册69–70／70–71页说明：非成膜状态不累计厚度，即使只做手动监测，也要使仪器进入相应运行过程。Continue会保留此前累计厚度。92／93页进一步说明，停止后显示速率仍可更新，但厚度和本机速率曲线停止记录。</w:t>
      </w:r>
    </w:p>
    <w:p>
      <w:r>
        <w:t>建议分别记录控制器阶段、实际挡板位置或其已知程度、厚度累计开关、清零事件和续镀起点。手工打开挡板不能自动证明仪器正在正确计厚；发出关挡板命令也不等于已经验证机械关闭。手册47–48／48–49页明确某些电机脉冲挡板仅模拟按键动作，仪器并不知道实际位置。</w:t>
      </w:r>
    </w:p>
    <w:p>
      <w:pPr>
        <w:pStyle w:val="Heading2"/>
      </w:pPr>
      <w:r>
        <w:t>3 下一层参数可能正在解释上一层的冷却频移</w:t>
      </w:r>
    </w:p>
    <w:p>
      <w:r>
        <w:t>手册80–81／81–82、92／93页把停止后的正速率与晶体降温联系起来；高密度材料结束后马上载入低密度材料参数，会把相同频率变化换算成更大的厚度速率。平均滤波又可能把峰值向后挪动。</w:t>
      </w:r>
    </w:p>
    <w:p>
      <w:r>
        <w:t>建议保留原始频率及其时间戳、计算时采用的材料ID、密度、Z、tooling、参数版本与有效时刻；显示值另存，不从显示峰直接拟合真实质量脉冲。参数切换处、开关挡板处及清零处应作为时间窗分界。若协议按顺序轮询多个量，需保留各量的采样时刻或最大时差，避免拼成不存在的同一时刻状态。</w:t>
      </w:r>
    </w:p>
    <w:p>
      <w:pPr>
        <w:pStyle w:val="Heading2"/>
      </w:pPr>
      <w:r>
        <w:t>4 负号与负质量需要先分清</w:t>
      </w:r>
    </w:p>
    <w:p>
      <w:r>
        <w:t>手册41／42页规定，未锁定时频率显示和串口频率值可带负号。这是状态编码，不是物理上的负频率。另一方面，真实净失重、离子刻蚀和热漂移也能造成负速率，不能简单取绝对值或全部丢弃。</w:t>
      </w:r>
    </w:p>
    <w:p>
      <w:r>
        <w:t>建议先由机型适配层解释状态，再交给物理模型。未知锁定状态不应静默转为正常测量。不要把负频率状态码和正频率随时间上升混为同一种故障。</w:t>
      </w:r>
    </w:p>
    <w:p>
      <w:pPr>
        <w:pStyle w:val="Heading2"/>
      </w:pPr>
      <w:r>
        <w:t>5 采样规格不能替代日志带宽</w:t>
      </w:r>
    </w:p>
    <w:p>
      <w:r>
        <w:t>手册6–7／7–8页区分100ms取样和每秒一组的免费监测日志；51／52页要求串口收到应答后才能发下一命令。仪器内部更新、上位机轮询、日志保存和显示平滑不一定同频。</w:t>
      </w:r>
    </w:p>
    <w:p>
      <w:r>
        <w:t>因此，1Hz日志通常不足以单独证明100ms级启动细节。应记录实际时标、缺样、保持、滤波和通信延迟，而不是用名义规格补出未观测的数据。协议命令另附，本附件本身不足以实现或验证完整设备适配。</w:t>
      </w:r>
    </w:p>
    <w:p>
      <w:pPr>
        <w:pStyle w:val="Heading1"/>
      </w:pPr>
      <w:r>
        <w:t>二 Tooling 与校准不能只存一个数</w:t>
      </w:r>
    </w:p>
    <w:p>
      <w:pPr>
        <w:pStyle w:val="Heading2"/>
      </w:pPr>
      <w:r>
        <w:t>6 厚度校准可能悄悄改变生产过程</w:t>
      </w:r>
    </w:p>
    <w:p>
      <w:r>
        <w:t>手册39／40页给出很有价值的例子：默认若闭环控制的是乘过tooling的显示速率，调tooling会改变晶体上的原始速率。厂家因此增加使用晶振片原始速率控制的选项，以减弱厚度校正对工艺的联动。</w:t>
      </w:r>
    </w:p>
    <w:p>
      <w:r>
        <w:t>用小数形式的tooling系数c表示，在显示速率闭环达到设定值r_set时，晶体侧计算速率约为r_set/c。作为代数示例，c从1.00改为1.10、设定速率不变，晶体侧目标就降至原来的约90.9%。这不是本机试验结果，只是手册定义的直接推论。</w:t>
      </w:r>
    </w:p>
    <w:p>
      <w:r>
        <w:t>建议新增feedback_coordinate与display_coordinate，明确目标指的是晶体侧还是估算样品侧，并把tooling变更当作工艺配置事件。尤其要注意：厂家所谓原始速率仍是经频率、材料参数转换的速率，并非未经模型处理的原始频率，也不自动消除温漂或捕集差异。</w:t>
      </w:r>
    </w:p>
    <w:p>
      <w:pPr>
        <w:pStyle w:val="Heading2"/>
      </w:pPr>
      <w:r>
        <w:t>7 经验修正可用 但不能反推唯一物理原因</w:t>
      </w:r>
    </w:p>
    <w:p>
      <w:r>
        <w:t>手册61–62／62–63页给出tooling更新关系：新tooling等于旧tooling乘以样品实测厚度与原目标或对应显示厚度之比；已乘tooling的显示值不能再重复乘。手册也承认膜密度与体密度不同，密度误差可能混入经验tooling。</w:t>
      </w:r>
    </w:p>
    <w:p>
      <w:r>
        <w:t>这支持实用校正，却不意味着密度、几何、捕集率、温漂和源状态已经分别识别。现有T05合同把这些量分开，方向应保留。若采用复合经验标尺，需明确标为经验标定，不能包装成纯几何系数或真实薄膜密度。</w:t>
      </w:r>
    </w:p>
    <w:p>
      <w:r>
        <w:t>建议沿用现有分项校准思路：先核对频率、锁定与漂移证据；密度校准使用晶体邻近独立见证片以减弱空间差异；tooling再用目标工位见证片建立传递；Z因子在足够负载覆盖与适当声学模型下单独核查；用留出批次和工位验证，而不是把同一片既作为拟合输入又作为验收真值。具体沉积量与阈值须由材料和设备批准条件决定。</w:t>
      </w:r>
    </w:p>
    <w:p>
      <w:pPr>
        <w:pStyle w:val="Heading2"/>
      </w:pPr>
      <w:r>
        <w:t>8 校准应有适用域和失效原因</w:t>
      </w:r>
    </w:p>
    <w:p>
      <w:r>
        <w:t>手册62／63页直言tooling可能层间甚至实时变化，仪器不能自行察觉；66／67页指出水冷晶体与加热工件的成膜状态不同；78／79页提醒料耗与坩埚复用会改变蒸发状态。</w:t>
      </w:r>
    </w:p>
    <w:p>
      <w:r>
        <w:t>建议每条校准关联源料批次、料位或累计使用量、源与坩埚身份、束斑或功率范围、冷却与工件温度、压力、几何与mask版本、晶体负载范围。配置变化并不必然要全量重标，但应触发“仍在原适用域内吗”的显式检查。不要用一个自由变化的动态tooling把所有未知原因吸收掉。</w:t>
      </w:r>
    </w:p>
    <w:p>
      <w:pPr>
        <w:pStyle w:val="Heading2"/>
      </w:pPr>
      <w:r>
        <w:t>9 旧晶体上的多层历史是另一项模型误差</w:t>
      </w:r>
    </w:p>
    <w:p>
      <w:r>
        <w:t>手册57–58／58–59页指出，单层Z公式以当前材料参数解释先前累计负载时，会产生与多层组成相关的偏差。其TiO₂/SiO₂例中，6MHz晶体用到5.5MHz时给出约3.2%与2.3%的模拟误差，但厂家也强调不同膜系不同；这些数字不能作为所有材料的通用误差表。</w:t>
      </w:r>
    </w:p>
    <w:p>
      <w:r>
        <w:t>现有T05已保留裸晶频率与加载起点，明确未实现多层声学反演。值得补的是每片晶体的材料顺序、负载历史、换片事件与历史完整性。36／37页承认没有旧镀层信息时，多层算法准确度不明。手册没有公开足够细节重现其专有多层算法，不能据此宣称已获得可直接移植的实现。</w:t>
      </w:r>
    </w:p>
    <w:p>
      <w:r>
        <w:t>附录中大量带星号的1.000值不应自动成为已知材料常数。MXC正文允许未知Z在小频移时暂设1；独立核查的INFICON官方表明确星号表示Z尚未建立。引入参数库时应保留原始标记、来源版本与未知状态，而非只导入数值。</w:t>
      </w:r>
    </w:p>
    <w:p>
      <w:pPr>
        <w:pStyle w:val="Heading1"/>
      </w:pPr>
      <w:r>
        <w:t>三 把控制时序与设备健康分开建模</w:t>
      </w:r>
    </w:p>
    <w:p>
      <w:pPr>
        <w:pStyle w:val="Heading2"/>
      </w:pPr>
      <w:r>
        <w:t>10 控制延迟和功率上限放宽解决不同问题</w:t>
      </w:r>
    </w:p>
    <w:p>
      <w:r>
        <w:t>手册66–68／67–69页的实用经验是：开挡板初期的热扰动使读数偏低，立即追设定值可能把功率推高，造成过冲、喷溅与分布变化。控制延迟保持源功率暂不闭环；其后最大功率延迟逐步放宽允许上限，实际输出仍受PID计算和限制共同决定。</w:t>
      </w:r>
    </w:p>
    <w:p>
      <w:r>
        <w:t>建议将保持功率、闭环接管时刻、允许功率包络、实际指令、源端实测功率和饱和状态分别记录。原始保持功率过高时，后续限幅也未必能避免过冲。良好的目标不是显示曲线最快贴住设定值，而是独立验证真实沉积与膜质的稳定性。</w:t>
      </w:r>
    </w:p>
    <w:p>
      <w:r>
        <w:t>手册对最大功率延迟起算点有“进入成膜”与“控制延迟结束”两种措辞；68页图更支持后者。不同机型/固件需用事件日志确认，不能只凭通用参数名移植时序。未公开的可选专利厚度补偿也不能视为已获得的提前截止公式。</w:t>
      </w:r>
    </w:p>
    <w:p>
      <w:pPr>
        <w:pStyle w:val="Heading2"/>
      </w:pPr>
      <w:r>
        <w:t>11 不直接照抄PID口诀</w:t>
      </w:r>
    </w:p>
    <w:p>
      <w:r>
        <w:t>手册63–65／64–66页有用地指出，ITAE兼容模式的Gain、Time Constant、Dead Time是受控对象参数，不等于直接PID参数；调大Gain与调大P的效果甚至方向不同。PI、PID、参数单位、采样周期和转换方式都应随版本保存。</w:t>
      </w:r>
    </w:p>
    <w:p>
      <w:r>
        <w:t>同一部分也有需谨慎之处：图示针对过冲提出减小I以增强积分，以及某些振荡时增大P；这些不是对任意源对象都可靠的规则。另有“PI初始值”却列非零第三参数的表述。可保留为设备经验待验证，不应转换成自动调参规则。当前研究未实现真实闭环PID，本报告也未验证这些经验在用户设备上的适用性。</w:t>
      </w:r>
    </w:p>
    <w:p>
      <w:pPr>
        <w:pStyle w:val="Heading2"/>
      </w:pPr>
      <w:r>
        <w:t>12 损耗值用于诊断 不是新的精度保证</w:t>
      </w:r>
    </w:p>
    <w:p>
      <w:r>
        <w:t>手册52–53／53–54、60／61、71／72、93–94／94–95页提供了比“剩余晶体寿命”更实用的诊断视角：损耗指标覆盖振荡包至探头的连接链；接触污染、夹具变形、弹簧压力不足、冷热循环及冷水凝露导致的接头问题，都可能使频率不稳。</w:t>
      </w:r>
    </w:p>
    <w:p>
      <w:r>
        <w:t>建议把频率负载历史、锁定状态、厂家损耗指标、冷却状态、安装/清洁记录及换片结果组合成健康记录。万用表导通正常不足以证明装入晶体后的振荡接触正常；自检也受外部短路影响。手册中的约100%、低于约10%、小于3Ω、大于2MΩ等值只能作为此系列的诊断参照，不能移植成跨设备验收阈值。</w:t>
      </w:r>
    </w:p>
    <w:p>
      <w:r>
        <w:t>这里的损耗是厂家定性百分比，不可直接等同于以Ω测得的motional resistance，亦不可直接换算剩余精度或剩余可镀厚度。异常排查应按原厂程序由受训人员进行，本报告不提供带电拆装或保护旁路操作。</w:t>
      </w:r>
    </w:p>
    <w:p>
      <w:pPr>
        <w:pStyle w:val="Heading2"/>
      </w:pPr>
      <w:r>
        <w:t>13 真实的跨层残余沉积也不能漏掉</w:t>
      </w:r>
    </w:p>
    <w:p>
      <w:r>
        <w:t>手册72–73／73–74页讨论两个源共用一块挡板：换到下一源预熔时，原源可能被重新露出；若阻蒸源尚未冷却，仍会继续蒸发。厂家用零功率、零目标厚度、带等待时间的空层保持遮挡，给原源冷却时间。</w:t>
      </w:r>
    </w:p>
    <w:p>
      <w:r>
        <w:t>这是值得引入的状态机反例。不能因为某些停止后速率峰是温漂，就假定所有关挡板后的材料贡献都为零。建议把每个源到晶体及工件的可见性、源热历史和挡板拓扑共同记录；空层应表达为工艺等待动作，不应冒充一个物理零厚度光学膜层。等待时长与重新露出条件需要实测验证，不能照搬。</w:t>
      </w:r>
    </w:p>
    <w:p>
      <w:r>
        <w:t>提前预熔（90／91页）还可能扰动正在沉积的当前层，需要先核对独立功率通道、机械联锁及热串扰。停电后保存厚度并可续镀（80／81页）只说明数据恢复能力，不证明真空、温度、氧化状态和最终膜质已经恢复。</w:t>
      </w:r>
    </w:p>
    <w:p>
      <w:pPr>
        <w:pStyle w:val="Heading1"/>
      </w:pPr>
      <w:r>
        <w:t>四 光学与修正板部分怎样使用</w:t>
      </w:r>
    </w:p>
    <w:p>
      <w:pPr>
        <w:pStyle w:val="Heading2"/>
      </w:pPr>
      <w:r>
        <w:t>14 光谱反推厚度可作为校准入口 不能作为无条件真值</w:t>
      </w:r>
    </w:p>
    <w:p>
      <w:r>
        <w:t>手册82–88／83–89页给出利用平片透射率、背面反射及极值推算折射率与厚度的实用示例。作为理想单层、透明基片、损耗可忽略、入射和背面条件已知时的交叉检查，这些方法有价值。实际薄膜色散、吸收、散射、测量偏振/角度、带宽和极次误判会改变结论。</w:t>
      </w:r>
    </w:p>
    <w:p>
      <w:r>
        <w:t>现有T06/T07对测量算子、背面路径、n与d的可辨识性已有更完整约束。应将手册例子作为受限条件的验算案例，不另立一条忽略条件的“透过率直接换厚度”通道。特别是在低残余反射场景，绝对透射误差可能与目标反射率本身相当。</w:t>
      </w:r>
    </w:p>
    <w:p>
      <w:r>
        <w:t>手册76／77页把半波相位厚度对应的特征矩阵写作单位矩阵；按常用定义，δ=π时应为−I，δ=2π时才为I。孤立整体符号不改变该情形的R/T，所以直观强度结论可仍成立，但涉及复振幅、相位或群时延时不可照搬该等式。应保留现有T07统一相位约定。</w:t>
      </w:r>
    </w:p>
    <w:p>
      <w:pPr>
        <w:pStyle w:val="Heading2"/>
      </w:pPr>
      <w:r>
        <w:t>15 双实验修mask值得作为现场验证方案</w:t>
      </w:r>
    </w:p>
    <w:p>
      <w:r>
        <w:t>手册88–89／89–90页提出常规公转、单材料条件下先不放mask测分布，再放试验mask测分布；两次保持监控片沉积相同厚度，以差值辅助修整。现有T03已设计无板与已知简单板的对比，T05也已有分阶段标定。此处新增的具体经验是以相同监控片沉积厚度归一，而非重新发明双实验主体。</w:t>
      </w:r>
    </w:p>
    <w:p>
      <w:r>
        <w:t>限制在于，两次相同显示厚度并不自动保证相同真实源状态：tooling反馈坐标、料耗、束斑、源分布和晶体漂移都可能变。建议重复无mask基线或采用交错试验，记录同一控制坐标与校准版本；用新工位或新批次留出验证。手册按遮挡弧长比例修整的近似，不可替代现有有限源、运动覆盖与非均匀入射权重的模型，也不能推广为任意拓扑的最优解。</w:t>
      </w:r>
    </w:p>
    <w:p>
      <w:pPr>
        <w:pStyle w:val="Heading1"/>
      </w:pPr>
      <w:r>
        <w:t>五 与现有研究的具体对照</w:t>
      </w:r>
    </w:p>
    <w:p>
      <w:r>
        <w:t>以下路径均相对 coating-research-library。T04R2、T05R2、T06R2、T07R2对应各专题当前第二轮目录；完整目录名见本节末。</w:t>
      </w:r>
    </w:p>
    <w:tbl>
      <w:tblPr>
        <w:tblW w:type="auto" w:w="0"/>
        <w:jc w:val="center"/>
        <w:tblLayout w:type="fixed"/>
        <w:tblLook w:firstColumn="1" w:firstRow="1" w:lastColumn="0" w:lastRow="0" w:noHBand="0" w:noVBand="1" w:val="04A0"/>
      </w:tblPr>
      <w:tblGrid>
        <w:gridCol w:w="1814"/>
        <w:gridCol w:w="4649"/>
        <w:gridCol w:w="3175"/>
      </w:tblGrid>
      <w:tr>
        <w:trPr>
          <w:tblHeade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E7EBEF"/>
          </w:tcPr>
          <w:p>
            <w:pPr>
              <w:spacing w:after="20" w:line="269" w:lineRule="auto"/>
            </w:pPr>
            <w:r>
              <w:rPr>
                <w:b/>
                <w:sz w:val="17"/>
              </w:rPr>
              <w:t>主题</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E7EBEF"/>
          </w:tcPr>
          <w:p>
            <w:pPr>
              <w:spacing w:after="20" w:line="269" w:lineRule="auto"/>
            </w:pPr>
            <w:r>
              <w:rPr>
                <w:b/>
                <w:sz w:val="17"/>
              </w:rPr>
              <w:t>已有覆盖证据</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E7EBEF"/>
          </w:tcPr>
          <w:p>
            <w:pPr>
              <w:spacing w:after="20" w:line="269" w:lineRule="auto"/>
            </w:pPr>
            <w:r>
              <w:rPr>
                <w:b/>
                <w:sz w:val="17"/>
              </w:rPr>
              <w:t>此次真正增量</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频率到面质量与有限负载</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T05R2/reports/01_qcm_acoustics_and_units.md；models/qcm_flux.py</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晶体历史完整性与设备算法模式记录</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密度 Z tooling分离</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T05R2/reports/01_qcm_acoustics_and_units.md §5；02_geometry_species_and_contract.md §3</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经验标尺适用域与反馈坐标变更合同</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校准步骤</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T05R2/sources/summaries/T05-R2-S01.md、T05-R2-S02.md</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机型绑定的执行记录、验收和失效条件</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热漂移与负净率</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T05R2/reports/01_qcm_acoustics_and_units.md §4；04_results_reproduction_and_limits.md</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负厚舍弃、参数切换反冲与设备显示变换</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源迟滞与控制盲区</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05_evaporation_sources/reports/02_resistance_sources_and_thermal_history.md §§3–4</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控制阶段、允许功率与实际指令的事件语义</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读数与健康</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T05R2/data/measurement_columns.csv、qcm_flux.schema.json含部分元数据</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失锁替代、累计开关、损耗、清零和续镀语义</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共享挡板与跨层热尾</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01_machine_structures/chapters/02_subsystems.md；T05首轮热历史报告</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新增双位置挡板重新暴露旧源及冷却等待案例</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无板与试验板标定</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03_correction_plate_optimization/reports/04_robustness_and_calibration.md §1</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补相同QCM厚度归一及反馈坐标核对</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净库存到膜层性质</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T04R2/reports/01_material_response_contract.md</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接入前先过滤或降级非实测仪器数据</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几何厚度与光学状态</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T06R2/reports/01_process_to_conditioned_film.md；models/process_optics.py</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保持sample/state绑定，增加仪器来源链</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条件测量与反演</w:t>
            </w:r>
          </w:p>
        </w:tc>
        <w:tc>
          <w:tcPr>
            <w:tcW w:type="dxa" w:w="4649"/>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T07R2/reports/01_conditional_measurement_operator.md；03_jacobian_scaling_and_nuisance.md</w:t>
            </w:r>
          </w:p>
        </w:tc>
        <w:tc>
          <w:tcPr>
            <w:tcW w:type="dxa" w:w="317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7"/>
              </w:rPr>
              <w:t>传播仪器失效、参数错配及厚度偏置来源</w:t>
            </w:r>
          </w:p>
        </w:tc>
      </w:tr>
    </w:tbl>
    <w:p>
      <w:pPr>
        <w:spacing w:after="0"/>
      </w:pPr>
    </w:p>
    <w:p>
      <w:r>
        <w:t>现有T05的原始频率离线路径与厂家“原始速率闭环”不同：前者避免显示密度/tooling重复进入反演，后者改变仪器实际反馈坐标。已有离线分离测试不能证明设备端的工艺解耦已经实现。</w:t>
      </w:r>
    </w:p>
    <w:p>
      <w:r>
        <w:t>目录映射：</w:t>
      </w:r>
    </w:p>
    <w:p>
      <w:pPr>
        <w:pStyle w:val="ListBullet"/>
      </w:pPr>
      <w:r>
        <w:t>T04R2：04_coating_and_substrate_materials/round2_material_response_contract</w:t>
      </w:r>
    </w:p>
    <w:p>
      <w:pPr>
        <w:pStyle w:val="ListBullet"/>
      </w:pPr>
      <w:r>
        <w:t>T05R2：05_evaporation_sources/round2_qcm_flux_transfer</w:t>
      </w:r>
    </w:p>
    <w:p>
      <w:pPr>
        <w:pStyle w:val="ListBullet"/>
      </w:pPr>
      <w:r>
        <w:t>T06R2：06_optical_coating_families/round2_process_optical_observables</w:t>
      </w:r>
    </w:p>
    <w:p>
      <w:pPr>
        <w:pStyle w:val="ListBullet"/>
      </w:pPr>
      <w:r>
        <w:t>T07R2：07_thin_film_design_theory/round2_measurement_identifiability</w:t>
      </w:r>
    </w:p>
    <w:p>
      <w:r>
        <w:t>本次查看了研究代码和测试定义以确认实现边界，没有重跑这些冻结包的全部测试，也没有据此重发其验收结论。</w:t>
      </w:r>
    </w:p>
    <w:p>
      <w:pPr>
        <w:pStyle w:val="Heading1"/>
      </w:pPr>
      <w:r>
        <w:t>六 建议建立一个独立研究增量</w:t>
      </w:r>
    </w:p>
    <w:p>
      <w:pPr>
        <w:pStyle w:val="Heading2"/>
      </w:pPr>
      <w:r>
        <w:t>第一优先级 设备读数来源与事件合同</w:t>
      </w:r>
    </w:p>
    <w:p>
      <w:r>
        <w:t>先建立独立适配合同，不把新字段硬塞进现有严格schema。最少保存：仪器型号/固件/序列身份；读数来源与锁定状态；原始频率；控制阶段与累计状态；材料参数快照；晶体ID与历史；反馈/显示坐标；控制指令与实际反馈；各字段采样时间、滤波与缺样；清零、换片、参数变更、挡板和续镀事件。</w:t>
      </w:r>
    </w:p>
    <w:p>
      <w:r>
        <w:t>验收重点是可拒绝错误数据：失锁时仍有数值的速率不能被标成独立实测；未知实际挡板位置不能自动变成已关闭；未带参数版本的跨层显示量不能连续积分成单一材料的厚度。</w:t>
      </w:r>
    </w:p>
    <w:p>
      <w:pPr>
        <w:pStyle w:val="Heading2"/>
      </w:pPr>
      <w:r>
        <w:t>第一优先级 离线反例与回放</w:t>
      </w:r>
    </w:p>
    <w:p>
      <w:r>
        <w:t>先用合成数据或已有获准日志建立以下反例，不操纵设备。</w:t>
      </w:r>
    </w:p>
    <w:tbl>
      <w:tblPr>
        <w:tblW w:type="auto" w:w="0"/>
        <w:jc w:val="center"/>
        <w:tblLayout w:type="fixed"/>
        <w:tblLook w:firstColumn="1" w:firstRow="1" w:lastColumn="0" w:lastRow="0" w:noHBand="0" w:noVBand="1" w:val="04A0"/>
      </w:tblPr>
      <w:tblGrid>
        <w:gridCol w:w="5386"/>
        <w:gridCol w:w="4252"/>
      </w:tblGrid>
      <w:tr>
        <w:trPr>
          <w:tblHeader/>
          <w:cantSplit/>
        </w:trPr>
        <w:tc>
          <w:tcPr>
            <w:tcW w:type="dxa" w:w="538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E7EBEF"/>
          </w:tcPr>
          <w:p>
            <w:pPr>
              <w:spacing w:after="20" w:line="269" w:lineRule="auto"/>
            </w:pPr>
            <w:r>
              <w:rPr>
                <w:b/>
                <w:sz w:val="18"/>
              </w:rPr>
              <w:t>用例</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E7EBEF"/>
          </w:tcPr>
          <w:p>
            <w:pPr>
              <w:spacing w:after="20" w:line="269" w:lineRule="auto"/>
            </w:pPr>
            <w:r>
              <w:rPr>
                <w:b/>
                <w:sz w:val="18"/>
              </w:rPr>
              <w:t>期望行为</w:t>
            </w:r>
          </w:p>
        </w:tc>
      </w:tr>
      <w:tr>
        <w:trPr>
          <w:cantSplit/>
        </w:trPr>
        <w:tc>
          <w:tcPr>
            <w:tcW w:type="dxa" w:w="538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晶振失效但输出设定速率</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标记为替代/外推，退出实测校准集</w:t>
            </w:r>
          </w:p>
        </w:tc>
      </w:tr>
      <w:tr>
        <w:trPr>
          <w:cantSplit/>
        </w:trPr>
        <w:tc>
          <w:tcPr>
            <w:tcW w:type="dxa" w:w="538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停止后密度切换产生正峰</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关联新参数与冷却事件，不归因于质量脉冲</w:t>
            </w:r>
          </w:p>
        </w:tc>
      </w:tr>
      <w:tr>
        <w:trPr>
          <w:cantSplit/>
        </w:trPr>
        <w:tc>
          <w:tcPr>
            <w:tcW w:type="dxa" w:w="538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相同频率轨迹但负厚舍弃开关不同</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原始数据一致，显示/累计差异可解释</w:t>
            </w:r>
          </w:p>
        </w:tc>
      </w:tr>
      <w:tr>
        <w:trPr>
          <w:cantSplit/>
        </w:trPr>
        <w:tc>
          <w:tcPr>
            <w:tcW w:type="dxa" w:w="538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tooling变更且显示速率目标不变</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明确晶体侧目标改变，不误称纯厚度校正</w:t>
            </w:r>
          </w:p>
        </w:tc>
      </w:tr>
      <w:tr>
        <w:trPr>
          <w:cantSplit/>
        </w:trPr>
        <w:tc>
          <w:tcPr>
            <w:tcW w:type="dxa" w:w="538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手动开挡板而累计关闭</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报告观测覆盖缺口，不自动补零厚度</w:t>
            </w:r>
          </w:p>
        </w:tc>
      </w:tr>
      <w:tr>
        <w:trPr>
          <w:cantSplit/>
        </w:trPr>
        <w:tc>
          <w:tcPr>
            <w:tcW w:type="dxa" w:w="538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清零 续镀 换片或重启</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保留分段基线及晶体历史，不把显示清零当裸晶</w:t>
            </w:r>
          </w:p>
        </w:tc>
      </w:tr>
      <w:tr>
        <w:trPr>
          <w:cantSplit/>
        </w:trPr>
        <w:tc>
          <w:tcPr>
            <w:tcW w:type="dxa" w:w="538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共享挡板换源时旧源仍热</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允许真实跨层通量，不能统一归零</w:t>
            </w:r>
          </w:p>
        </w:tc>
      </w:tr>
      <w:tr>
        <w:trPr>
          <w:cantSplit/>
        </w:trPr>
        <w:tc>
          <w:tcPr>
            <w:tcW w:type="dxa" w:w="538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1Hz日志与100ms内部更新</w:t>
            </w:r>
          </w:p>
        </w:tc>
        <w:tc>
          <w:tcPr>
            <w:tcW w:type="dxa" w:w="42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保留时间分辨率限制，不输出未观测瞬态精度</w:t>
            </w:r>
          </w:p>
        </w:tc>
      </w:tr>
    </w:tbl>
    <w:p>
      <w:pPr>
        <w:spacing w:after="0"/>
      </w:pPr>
    </w:p>
    <w:p>
      <w:r>
        <w:t>这些是建议的验收用例，尚未实现或跑通，不能视作现有代码测试结果。</w:t>
      </w:r>
    </w:p>
    <w:p>
      <w:pPr>
        <w:pStyle w:val="Heading2"/>
      </w:pPr>
      <w:r>
        <w:t>第二优先级 校准适用域与数据质量闭环</w:t>
      </w:r>
    </w:p>
    <w:p>
      <w:r>
        <w:t>把每次密度、Z、tooling校准的原设置、独立测量、设备状态、重复性、留出验证与失效原因组织成记录。校准来源分为厂家表值、经验拟合、独立实测和未知。若只有显示厚度与一片终点样品，保留复合尺度不可辨识的结论。</w:t>
      </w:r>
    </w:p>
    <w:p>
      <w:r>
        <w:t>晶体健康另建记录，区分加载接近量程、阻尼/接触恶化与实际频率失锁。对受污染、受热、重装、换片和通气后的变化，优先收集时间对齐的证据；不根据单一损耗百分比自动承诺精度。</w:t>
      </w:r>
    </w:p>
    <w:p>
      <w:pPr>
        <w:pStyle w:val="Heading2"/>
      </w:pPr>
      <w:r>
        <w:t>第三优先级 受限控制与声学研究</w:t>
      </w:r>
    </w:p>
    <w:p>
      <w:r>
        <w:t>在可信日志建立后，再研究源迟滞、闭环接管、功率饱和/积分状态、终点剩余沉积量和多层声学。手册提供了问题结构，未提供专利补偿的完整算法；任何提前截止或自动调参都需要新的模型、独立验证和设备授权。</w:t>
      </w:r>
    </w:p>
    <w:p>
      <w:r>
        <w:t>如果进入实际设备阶段，先确认两类信息即可：正在使用的准确型号/固件及启用选项；一组带原始频率、速率、厚度、源指令、阶段/挡板、当前材料参数的完整日志和对应见证片测量。没有这些，也仍可先完成上述合同与合成反例。</w:t>
      </w:r>
    </w:p>
    <w:p>
      <w:pPr>
        <w:pStyle w:val="Heading1"/>
      </w:pPr>
      <w:r>
        <w:t>七 不应直接照搬的内容</w:t>
      </w:r>
    </w:p>
    <w:p>
      <w:pPr>
        <w:ind w:left="170"/>
      </w:pPr>
      <w:r>
        <w:t>1. 0.5%厚度准确率、0.005Hz分辨率及厂家模拟百分比不能直接变成工件最终厚度或光谱的精度保证。分辨率、算法误差、传递误差和工艺重复性须分开。</w:t>
      </w:r>
    </w:p>
    <w:p>
      <w:pPr>
        <w:ind w:left="170"/>
      </w:pPr>
      <w:r>
        <w:t>2. 温度升高导致频率上升是手册所解释工况的一种表现；本机晶体、温区、应力、热梯度和膜负载仍须验证，不能据此指定通用温度系数。</w:t>
      </w:r>
    </w:p>
    <w:p>
      <w:pPr>
        <w:ind w:left="170"/>
      </w:pPr>
      <w:r>
        <w:t>3. 原始速率选项、损耗尺度、自检数值、失锁动作、层容量及多层算法可用性均与型号/固件相关。手册内部分功能归属存在不一致，必须保留版本证据。</w:t>
      </w:r>
    </w:p>
    <w:p>
      <w:pPr>
        <w:ind w:left="170"/>
      </w:pPr>
      <w:r>
        <w:t>4. PDF26与55页对坩埚到位延迟有效驱动类型的描述相冲突；PDF41与94页自检显示的数值形式也不同。不要直接据此自动配置接口或判故障。</w:t>
      </w:r>
    </w:p>
    <w:p>
      <w:pPr>
        <w:ind w:left="170"/>
      </w:pPr>
      <w:r>
        <w:t>5. 手册65页的PID口诀、84–88页的光学简化、附录的批量材料表值只能在其条件下使用。尤其不能把未知Z=1变成已标定值。</w:t>
      </w:r>
    </w:p>
    <w:p>
      <w:pPr>
        <w:ind w:left="170"/>
      </w:pPr>
      <w:r>
        <w:t>6. 停电续镀、晶振失效继续镀膜、提前预熔和零厚空层是设备流程功能，不等于质量验收或安全批准。应由现行设备程序和工艺验证决定是否使用。</w:t>
      </w:r>
    </w:p>
    <w:p>
      <w:pPr>
        <w:pStyle w:val="Heading1"/>
      </w:pPr>
      <w:r>
        <w:t>八 页码证据索引</w:t>
      </w:r>
    </w:p>
    <w:tbl>
      <w:tblPr>
        <w:tblW w:type="auto" w:w="0"/>
        <w:jc w:val="center"/>
        <w:tblLayout w:type="fixed"/>
        <w:tblLook w:firstColumn="1" w:firstRow="1" w:lastColumn="0" w:lastRow="0" w:noHBand="0" w:noVBand="1" w:val="04A0"/>
      </w:tblPr>
      <w:tblGrid>
        <w:gridCol w:w="6576"/>
        <w:gridCol w:w="1531"/>
        <w:gridCol w:w="1531"/>
      </w:tblGrid>
      <w:tr>
        <w:trPr>
          <w:tblHeade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E7EBEF"/>
          </w:tcPr>
          <w:p>
            <w:pPr>
              <w:spacing w:after="20" w:line="269" w:lineRule="auto"/>
            </w:pPr>
            <w:r>
              <w:rPr>
                <w:b/>
                <w:sz w:val="18"/>
              </w:rPr>
              <w:t>证据主题</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E7EBEF"/>
          </w:tcPr>
          <w:p>
            <w:pPr>
              <w:spacing w:after="20" w:line="269" w:lineRule="auto"/>
              <w:jc w:val="center"/>
            </w:pPr>
            <w:r>
              <w:rPr>
                <w:b/>
                <w:sz w:val="18"/>
              </w:rPr>
              <w:t>印刷页</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E7EBEF"/>
          </w:tcPr>
          <w:p>
            <w:pPr>
              <w:spacing w:after="20" w:line="269" w:lineRule="auto"/>
              <w:jc w:val="center"/>
            </w:pPr>
            <w:r>
              <w:rPr>
                <w:b/>
                <w:sz w:val="18"/>
              </w:rPr>
              <w:t>PDF页</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版本履历与版权</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5</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取样与日志规格</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6–7</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7–8</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型号和选装功能表</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10</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11</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未配置输入可被略过</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19–20、24</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20–21、25</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多层算法历史设置</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36</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37</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原始速率控制与tooling联动</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39</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40</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自检和频率锁定状态</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40–41</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41–42</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运行期参数和阶段</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42</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43</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失效时间功率替代值</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45</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46</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控制阶段与脉冲挡板</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47–48</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48–49</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串口应答次序及另附协议</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51</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52</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接触 凝露及故障排查</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52–53</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53–54</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多层声学误差示例</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57–59</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58–60</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损耗指标的定义</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60</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61</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密度 Z与tooling</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61–62</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62–63</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PID和ITAE参数语义</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63–65</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64–66</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控制延迟和功率上限</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66–68</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67–69</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监测模式和累计条件</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69–70</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70–71</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寿命口径与共享挡板</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71–73</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72–74</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光学单位与半波矩阵表述</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73–76</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74–77</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料耗 坩埚与物理厚度输入</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78</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79</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断电 负速率和停止反冲</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80–81</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81–82</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背面反射与透射反演</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82–88</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83–89</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配对修mask试验</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88–89</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89–90</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提前预熔</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90</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91</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负厚舍弃与停止后参数切换</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91–92</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92–93</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失效检查与预熔保持协调</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93–94</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94–95</w:t>
            </w:r>
          </w:p>
        </w:tc>
      </w:tr>
      <w:tr>
        <w:trPr>
          <w:cantSplit/>
        </w:trPr>
        <w:tc>
          <w:tcPr>
            <w:tcW w:type="dxa" w:w="65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pPr>
            <w:r>
              <w:rPr>
                <w:b w:val="0"/>
                <w:sz w:val="18"/>
              </w:rPr>
              <w:t>密度和Z参数附录</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97–103</w:t>
            </w:r>
          </w:p>
        </w:tc>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90" w:type="dxa"/>
              <w:right w:w="90" w:type="dxa"/>
            </w:tcMar>
            <w:shd w:fill="FFFFFF"/>
          </w:tcPr>
          <w:p>
            <w:pPr>
              <w:spacing w:after="20" w:line="269" w:lineRule="auto"/>
              <w:jc w:val="center"/>
            </w:pPr>
            <w:r>
              <w:rPr>
                <w:b w:val="0"/>
                <w:sz w:val="18"/>
              </w:rPr>
              <w:t>98–104</w:t>
            </w:r>
          </w:p>
        </w:tc>
      </w:tr>
    </w:tbl>
    <w:p>
      <w:pPr>
        <w:spacing w:after="0"/>
      </w:pPr>
    </w:p>
    <w:p>
      <w:r>
        <w:t>外部交叉核查只使用以下厂家一手资料，访问日期为2026年10月2日：</w:t>
      </w:r>
    </w:p>
    <w:p>
      <w:r>
        <w:t>INFICON SQM-160 Operating Manual 074-511-P1-G，§10与附录A：核对分项校准思路和星号Z值的含义。另核对§9的热负荷、应力、冷却与接触故障背景。这些支持适用边界，不替代MXC本机标定。</w:t>
      </w:r>
    </w:p>
    <w:p>
      <w:pPr>
        <w:pStyle w:val="ReferencePath"/>
      </w:pPr>
      <w:r>
        <w:rPr>
          <w:sz w:val="16"/>
        </w:rPr>
        <w:t>https://www.inficon.com/media/4271/download/SQM-160-Multi-Film-Rate---Thickness-Monitor-Operating-Manual-(English).pdf?language=de&amp;v=4</w:t>
      </w:r>
    </w:p>
    <w:p>
      <w:r>
        <w:t>INFICON SQC-310 Operating Manual 074-550-P1-H，§10.5与§11.2：核对控制参数受源状态影响，以及温度/应力频移不能仅凭单频记录与质量贡献分离的边界。</w:t>
      </w:r>
    </w:p>
    <w:p>
      <w:pPr>
        <w:pStyle w:val="ReferencePath"/>
      </w:pPr>
      <w:r>
        <w:rPr>
          <w:sz w:val="16"/>
        </w:rPr>
        <w:t>https://www.inficon.com/media/11922/download/SQC-310-Operating-Manual-.pdf%3Fv=2&amp;inline=true&amp;language=en</w:t>
      </w:r>
    </w:p>
    <w:p>
      <w:r>
        <w:t>最终建议：把这份手册作为设备语义与失败案例的高价值来源，先补可信数据入口和可复现的离线反例，再决定是否扩展控制或声学模型。不要用新增参数掩盖本来尚未被观测到的物理量。</w:t>
      </w:r>
    </w:p>
    <w:sectPr w:rsidR="00FC693F" w:rsidRPr="0006063C" w:rsidSect="00034616">
      <w:footerReference w:type="default" r:id="rId9"/>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3" w:lineRule="auto"/>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93" w:lineRule="auto"/>
      <w:outlineLvl w:val="0"/>
    </w:pPr>
    <w:rPr>
      <w:rFonts w:asciiTheme="majorHAnsi" w:eastAsiaTheme="majorEastAsia" w:hAnsiTheme="majorHAnsi" w:cstheme="majorBidi"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line="293" w:lineRule="auto"/>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line="293" w:lineRule="auto"/>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93"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93" w:lineRule="auto"/>
      <w:contextualSpacing/>
    </w:pPr>
    <w:rPr>
      <w:rFonts w:ascii="Noto Sans CJK SC" w:hAnsi="Noto Sans CJK SC" w:eastAsia="Noto Sans CJK S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93" w:lineRule="auto"/>
      <w:contextualSpacing/>
    </w:pPr>
    <w:rPr>
      <w:rFonts w:ascii="Noto Sans CJK SC" w:hAnsi="Noto Sans CJK SC" w:eastAsia="Noto Sans CJK SC"/>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Path">
    <w:name w:val="Reference Path"/>
    <w:basedOn w:val="Normal"/>
    <w:pPr>
      <w:spacing w:line="269" w:lineRule="auto"/>
    </w:pPr>
    <w:rPr>
      <w:rFonts w:ascii="Noto Sans CJK SC" w:hAnsi="Noto Sans CJK S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膜林 MXC 晶控仪手册工程经验评估</dc:title>
  <dc:subject>读数可信度 校准控制语义与研究引入建议</dc:subject>
  <dc:creator>dot</dc:creator>
  <cp:keywords>MXC,QCM,tooling,工程经验,研究评估</cp:keywords>
  <dc:description>generated by python-docx</dc:description>
  <cp:lastModifiedBy/>
  <cp:revision>1</cp:revision>
  <dcterms:created xsi:type="dcterms:W3CDTF">2013-12-23T23:15:00Z</dcterms:created>
  <dcterms:modified xsi:type="dcterms:W3CDTF">2013-12-23T23:15:00Z</dcterms:modified>
  <cp:category/>
</cp:coreProperties>
</file>