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rtl w:val="true"/>
        </w:rPr>
        <w:t>أثرُ العلم في بناء الإنسان</w:t>
      </w:r>
    </w:p>
    <w:p>
      <w:pPr>
        <w:pStyle w:val="Body"/>
        <w:rPr/>
      </w:pPr>
      <w:r>
        <w:rPr>
          <w:rtl w:val="true"/>
        </w:rPr>
        <w:t>(</w:t>
      </w:r>
      <w:r>
        <w:rPr>
          <w:rtl w:val="true"/>
        </w:rPr>
        <w:t>مقالٌ تجريبي لاختبار صفّاف</w:t>
      </w:r>
      <w:r>
        <w:rPr>
          <w:rtl w:val="true"/>
        </w:rPr>
        <w:t>)</w:t>
      </w:r>
    </w:p>
    <w:p>
      <w:pPr>
        <w:pStyle w:val="Body"/>
        <w:rPr/>
      </w:pPr>
      <w:r>
        <w:rPr>
          <w:rtl w:val="true"/>
        </w:rPr>
        <w:t>إعداد</w:t>
      </w:r>
      <w:r>
        <w:rPr>
          <w:rtl w:val="true"/>
        </w:rPr>
        <w:t xml:space="preserve">: </w:t>
      </w:r>
      <w:r>
        <w:rPr>
          <w:rtl w:val="true"/>
        </w:rPr>
        <w:t>عمّار بن دعجم</w:t>
      </w:r>
    </w:p>
    <w:p>
      <w:pPr>
        <w:pStyle w:val="Heading1"/>
        <w:ind w:hanging="0" w:left="0"/>
        <w:rPr/>
      </w:pPr>
      <w:r>
        <w:rPr>
          <w:rtl w:val="true"/>
        </w:rPr>
        <w:t>المقدمة</w:t>
      </w:r>
    </w:p>
    <w:p>
      <w:pPr>
        <w:pStyle w:val="Body"/>
        <w:rPr/>
      </w:pPr>
      <w:r>
        <w:rPr>
          <w:rtl w:val="true"/>
        </w:rPr>
        <w:t>الحمد لله رب العالمين، والصلاة والسلام على نبينا محمد ﷺ، وعلى آله وصحبه أجمعين</w:t>
      </w:r>
      <w:r>
        <w:rPr>
          <w:rtl w:val="true"/>
        </w:rPr>
        <w:t xml:space="preserve">.. </w:t>
      </w:r>
      <w:r>
        <w:rPr>
          <w:rtl w:val="true"/>
        </w:rPr>
        <w:t>أما بعد</w:t>
      </w:r>
      <w:r>
        <w:rPr>
          <w:rtl w:val="true"/>
        </w:rPr>
        <w:t>:</w:t>
      </w:r>
    </w:p>
    <w:p>
      <w:pPr>
        <w:pStyle w:val="Body"/>
        <w:rPr/>
      </w:pPr>
      <w:r>
        <w:rPr>
          <w:rtl w:val="true"/>
        </w:rPr>
        <w:t>فإن العلم أشرف ما رغب فيه الراغب، وأفضل ما طلبه الطالب؛ إذ به يُعرف الحق من الباطل، ويُميَّز الهدى من الضلال، وقد جعل الله أهل الخشية من عباده هم العلماء، فقال سبحانه</w:t>
      </w:r>
      <w:r>
        <w:rPr>
          <w:rtl w:val="true"/>
        </w:rPr>
        <w:t xml:space="preserve">: </w:t>
      </w:r>
      <w:r>
        <w:rPr>
          <w:rtl w:val="true"/>
        </w:rPr>
        <w:t xml:space="preserve">﴿إِنَّمَا يَخْشَى اللَّهَ مِنْ عِبَادِهِ الْعُلَمَاءُ﴾ </w:t>
      </w:r>
      <w:r>
        <w:rPr>
          <w:rtl w:val="true"/>
        </w:rPr>
        <w:t>[</w:t>
      </w:r>
      <w:r>
        <w:rPr>
          <w:rtl w:val="true"/>
        </w:rPr>
        <w:t>فاطر</w:t>
      </w:r>
      <w:r>
        <w:rPr>
          <w:rtl w:val="true"/>
        </w:rPr>
        <w:t xml:space="preserve">: </w:t>
      </w:r>
      <w:r>
        <w:rPr/>
        <w:t>28</w:t>
      </w:r>
      <w:r>
        <w:rPr>
          <w:rtl w:val="true"/>
        </w:rPr>
        <w:t>]</w:t>
      </w:r>
      <w:r>
        <w:rPr>
          <w:rStyle w:val="FootnoteReference"/>
          <w:rtl w:val="true"/>
        </w:rPr>
        <w:footnoteReference w:id="2"/>
      </w:r>
      <w:r>
        <w:rPr>
          <w:rtl w:val="true"/>
        </w:rPr>
        <w:t xml:space="preserve">. </w:t>
      </w:r>
      <w:r>
        <w:rPr>
          <w:rtl w:val="true"/>
        </w:rPr>
        <w:t>ولا تزال الأمة تستضيء بنور العلم ما دام فيها من يحمله ويبلّغه</w:t>
      </w:r>
      <w:r>
        <w:rPr>
          <w:rtl w:val="true"/>
        </w:rPr>
        <w:t>..</w:t>
      </w:r>
    </w:p>
    <w:p>
      <w:pPr>
        <w:pStyle w:val="Body"/>
        <w:rPr/>
      </w:pPr>
      <w:r>
        <w:rPr>
          <w:rtl w:val="true"/>
        </w:rPr>
        <w:t>ويهدف هذا المقال إلى بيان أثر العلم في بناء الإنسان من جهات ثلاث</w:t>
      </w:r>
      <w:r>
        <w:rPr>
          <w:rtl w:val="true"/>
        </w:rPr>
        <w:t xml:space="preserve">: </w:t>
      </w:r>
      <w:r>
        <w:rPr>
          <w:rtl w:val="true"/>
        </w:rPr>
        <w:t>جهة القرآن الكريم، وجهة السنة النبوية، وجهة أقوال أهل العلم؛ مع العناية بالإحالات والحواشي والجداول، ليكون نموذجًا يُختبر به الصفّ في أحواله المختلفة، من الفقرات الطويلة والعناوين المتدرّجة، إلى الحواشي العربية والإنجليزية، والآيات المشكولة وغير المشكولة، والأرقام بأنواعها، والرموز التي يكتبها المؤلفون في أبحاثهم</w:t>
      </w:r>
      <w:r>
        <w:rPr>
          <w:rtl w:val="true"/>
        </w:rPr>
        <w:t>.</w:t>
      </w:r>
    </w:p>
    <w:p>
      <w:pPr>
        <w:pStyle w:val="Body"/>
        <w:rPr>
          <w:b/>
          <w:bCs/>
        </w:rPr>
      </w:pPr>
      <w:r>
        <w:rPr>
          <w:b/>
          <w:bCs/>
          <w:rtl w:val="true"/>
        </w:rPr>
        <w:t>أهداف المقال</w:t>
      </w:r>
      <w:r>
        <w:rPr>
          <w:b/>
          <w:bCs/>
          <w:rtl w:val="true"/>
        </w:rPr>
        <w:t>:</w:t>
      </w:r>
    </w:p>
    <w:p>
      <w:pPr>
        <w:pStyle w:val="Body"/>
        <w:rPr/>
      </w:pPr>
      <w:r>
        <w:rPr/>
        <w:t>١</w:t>
      </w:r>
      <w:r>
        <w:rPr>
          <w:rtl w:val="true"/>
        </w:rPr>
        <w:t xml:space="preserve">- </w:t>
      </w:r>
      <w:r>
        <w:rPr>
          <w:rtl w:val="true"/>
        </w:rPr>
        <w:t>بيان فضل العلم في القرآن الكريم</w:t>
      </w:r>
      <w:r>
        <w:rPr>
          <w:rtl w:val="true"/>
        </w:rPr>
        <w:t>.</w:t>
      </w:r>
    </w:p>
    <w:p>
      <w:pPr>
        <w:pStyle w:val="Body"/>
        <w:rPr/>
      </w:pPr>
      <w:r>
        <w:rPr/>
        <w:t>٢</w:t>
      </w:r>
      <w:r>
        <w:rPr>
          <w:rtl w:val="true"/>
        </w:rPr>
        <w:t xml:space="preserve">- </w:t>
      </w:r>
      <w:r>
        <w:rPr>
          <w:rtl w:val="true"/>
        </w:rPr>
        <w:t>بيان فضل العلم في السنة النبوية</w:t>
      </w:r>
      <w:r>
        <w:rPr>
          <w:rtl w:val="true"/>
        </w:rPr>
        <w:t>.</w:t>
      </w:r>
    </w:p>
    <w:p>
      <w:pPr>
        <w:pStyle w:val="Body"/>
        <w:rPr/>
      </w:pPr>
      <w:r>
        <w:rPr/>
        <w:t>٣</w:t>
      </w:r>
      <w:r>
        <w:rPr>
          <w:rtl w:val="true"/>
        </w:rPr>
        <w:t xml:space="preserve">- </w:t>
      </w:r>
      <w:r>
        <w:rPr>
          <w:rtl w:val="true"/>
        </w:rPr>
        <w:t>جمع أشهر ما صُنّف في آداب العلم وأهله</w:t>
      </w:r>
      <w:r>
        <w:rPr>
          <w:rtl w:val="true"/>
        </w:rPr>
        <w:t>.</w:t>
      </w:r>
    </w:p>
    <w:p>
      <w:pPr>
        <w:pStyle w:val="Body"/>
        <w:rPr/>
      </w:pPr>
      <w:r>
        <w:rPr>
          <w:b/>
          <w:bCs/>
          <w:rtl w:val="true"/>
        </w:rPr>
        <w:t>منهج المقال</w:t>
      </w:r>
      <w:r>
        <w:rPr>
          <w:b/>
          <w:bCs/>
          <w:rtl w:val="true"/>
        </w:rPr>
        <w:t>:</w:t>
      </w:r>
      <w:r>
        <w:rPr>
          <w:rtl w:val="true"/>
        </w:rPr>
        <w:t xml:space="preserve"> </w:t>
      </w:r>
      <w:r>
        <w:rPr>
          <w:rtl w:val="true"/>
        </w:rPr>
        <w:t>سلكتُ فيه المنهج الاستقرائي، فجمعت النصوص من مظانّها، ثم رتبتها على المباحث، وعزوت الآيات إلى سورها، وخرّجت الأحاديث من مصادرها الأصلية، وترجمت للأعلام بذكر سنة الوفاة</w:t>
      </w:r>
      <w:r>
        <w:rPr>
          <w:rtl w:val="true"/>
        </w:rPr>
        <w:t>.</w:t>
      </w:r>
    </w:p>
    <w:p>
      <w:pPr>
        <w:pStyle w:val="Heading1"/>
        <w:ind w:hanging="0" w:left="0"/>
        <w:rPr/>
      </w:pPr>
      <w:r>
        <w:rPr>
          <w:rtl w:val="true"/>
        </w:rPr>
        <w:t>المبحث الأول</w:t>
      </w:r>
      <w:r>
        <w:rPr>
          <w:rtl w:val="true"/>
        </w:rPr>
        <w:t xml:space="preserve">: </w:t>
      </w:r>
      <w:r>
        <w:rPr>
          <w:rtl w:val="true"/>
        </w:rPr>
        <w:t>فضل العلم في القرآن الكريم</w:t>
      </w:r>
    </w:p>
    <w:p>
      <w:pPr>
        <w:pStyle w:val="Heading2"/>
        <w:ind w:hanging="0" w:left="0"/>
        <w:rPr/>
      </w:pPr>
      <w:r>
        <w:rPr>
          <w:rtl w:val="true"/>
        </w:rPr>
        <w:t>المطلب الأول</w:t>
      </w:r>
      <w:r>
        <w:rPr>
          <w:rtl w:val="true"/>
        </w:rPr>
        <w:t xml:space="preserve">: </w:t>
      </w:r>
      <w:r>
        <w:rPr>
          <w:rtl w:val="true"/>
        </w:rPr>
        <w:t>الأمر بطلب الزيادة من العلم</w:t>
      </w:r>
    </w:p>
    <w:p>
      <w:pPr>
        <w:pStyle w:val="Body"/>
        <w:rPr/>
      </w:pPr>
      <w:r>
        <w:rPr>
          <w:rtl w:val="true"/>
        </w:rPr>
        <w:t>لم يأمر الله نبيه ﷺ بطلب الزيادة من شيء إلا من العلم، فقال</w:t>
      </w:r>
      <w:r>
        <w:rPr>
          <w:rtl w:val="true"/>
        </w:rPr>
        <w:t xml:space="preserve">: </w:t>
      </w:r>
      <w:r>
        <w:rPr>
          <w:rtl w:val="true"/>
        </w:rPr>
        <w:t xml:space="preserve">﴿وَقُلْ رَبِّ زِدْنِي عِلْمًا﴾ </w:t>
      </w:r>
      <w:r>
        <w:rPr>
          <w:rtl w:val="true"/>
        </w:rPr>
        <w:t>[</w:t>
      </w:r>
      <w:r>
        <w:rPr>
          <w:rtl w:val="true"/>
        </w:rPr>
        <w:t>طه</w:t>
      </w:r>
      <w:r>
        <w:rPr>
          <w:rtl w:val="true"/>
        </w:rPr>
        <w:t xml:space="preserve">: </w:t>
      </w:r>
      <w:r>
        <w:rPr/>
        <w:t>114</w:t>
      </w:r>
      <w:r>
        <w:rPr>
          <w:rtl w:val="true"/>
        </w:rPr>
        <w:t>]</w:t>
      </w:r>
      <w:r>
        <w:rPr>
          <w:rtl w:val="true"/>
        </w:rPr>
        <w:t>، وفي هذا أبلغ دليل على شرف العلم وعلوّ منزلته</w:t>
      </w:r>
      <w:r>
        <w:rPr>
          <w:rStyle w:val="FootnoteReference"/>
          <w:rtl w:val="true"/>
        </w:rPr>
        <w:footnoteReference w:id="3"/>
      </w:r>
      <w:r>
        <w:rPr>
          <w:rtl w:val="true"/>
        </w:rPr>
        <w:t>.</w:t>
      </w:r>
    </w:p>
    <w:p>
      <w:pPr>
        <w:pStyle w:val="Body"/>
        <w:rPr/>
      </w:pPr>
      <w:r>
        <w:rPr>
          <w:rtl w:val="true"/>
        </w:rPr>
        <w:t>وقال تعالى</w:t>
      </w:r>
      <w:r>
        <w:rPr>
          <w:rtl w:val="true"/>
        </w:rPr>
        <w:t>: «</w:t>
      </w:r>
      <w:r>
        <w:rPr>
          <w:rtl w:val="true"/>
        </w:rPr>
        <w:t>يَرْفَعِ اللَّهُ الَّذِينَ آمَنُوا مِنكُمْ وَالَّذِينَ أُوتُوا الْعِلْمَ دَرَجَاتٍ</w:t>
      </w:r>
      <w:r>
        <w:rPr>
          <w:rtl w:val="true"/>
        </w:rPr>
        <w:t>» [</w:t>
      </w:r>
      <w:r>
        <w:rPr>
          <w:rtl w:val="true"/>
        </w:rPr>
        <w:t>المجادلة</w:t>
      </w:r>
      <w:r>
        <w:rPr>
          <w:rtl w:val="true"/>
        </w:rPr>
        <w:t xml:space="preserve">: </w:t>
      </w:r>
      <w:r>
        <w:rPr/>
        <w:t>11</w:t>
      </w:r>
      <w:r>
        <w:rPr>
          <w:rtl w:val="true"/>
        </w:rPr>
        <w:t>]</w:t>
      </w:r>
      <w:r>
        <w:rPr>
          <w:rtl w:val="true"/>
        </w:rPr>
        <w:t>، فقرن بين الإيمان والعلم، وجعل جزاءهما رفعة الدرجات في الدنيا والآخرة، وهذه الرفعة تشمل رفعة القدر والذكر، ورفعة المنزلة عند الله تعالى</w:t>
      </w:r>
      <w:r>
        <w:rPr>
          <w:rtl w:val="true"/>
        </w:rPr>
        <w:t>.</w:t>
      </w:r>
    </w:p>
    <w:p>
      <w:pPr>
        <w:pStyle w:val="Body"/>
        <w:rPr/>
      </w:pPr>
      <w:r>
        <w:rPr>
          <w:rtl w:val="true"/>
        </w:rPr>
        <w:t>ونفى التسوية بين أهل العلم وغيرهم، فقال</w:t>
      </w:r>
      <w:r>
        <w:rPr>
          <w:rtl w:val="true"/>
        </w:rPr>
        <w:t xml:space="preserve">: </w:t>
      </w:r>
      <w:r>
        <w:rPr>
          <w:rtl w:val="true"/>
        </w:rPr>
        <w:t xml:space="preserve">﴿قل هل يستوي الذين يعلمون والذين لا يعلمون﴾ </w:t>
      </w:r>
      <w:r>
        <w:rPr>
          <w:rtl w:val="true"/>
        </w:rPr>
        <w:t>[</w:t>
      </w:r>
      <w:r>
        <w:rPr>
          <w:rtl w:val="true"/>
        </w:rPr>
        <w:t>الزمر</w:t>
      </w:r>
      <w:r>
        <w:rPr>
          <w:rtl w:val="true"/>
        </w:rPr>
        <w:t xml:space="preserve">: </w:t>
      </w:r>
      <w:r>
        <w:rPr/>
        <w:t>9</w:t>
      </w:r>
      <w:r>
        <w:rPr>
          <w:rtl w:val="true"/>
        </w:rPr>
        <w:t>]</w:t>
      </w:r>
      <w:r>
        <w:rPr>
          <w:rtl w:val="true"/>
        </w:rPr>
        <w:t>، وهو استفهام إنكاري معناه النفي، أي</w:t>
      </w:r>
      <w:r>
        <w:rPr>
          <w:rtl w:val="true"/>
        </w:rPr>
        <w:t xml:space="preserve">: </w:t>
      </w:r>
      <w:r>
        <w:rPr>
          <w:rtl w:val="true"/>
        </w:rPr>
        <w:t>لا يستوون</w:t>
      </w:r>
      <w:r>
        <w:rPr>
          <w:rtl w:val="true"/>
        </w:rPr>
        <w:t>.</w:t>
      </w:r>
    </w:p>
    <w:p>
      <w:pPr>
        <w:pStyle w:val="Body"/>
        <w:rPr/>
      </w:pPr>
      <w:r>
        <w:rPr>
          <w:rtl w:val="true"/>
        </w:rPr>
        <w:t>ومما يدل على منزلة العلم أن الله تعالى استشهد بأهله على أجلّ مشهود، وهو توحيده سبحانه، وقرن شهادتهم بشهادته وشهادة ملائكته، وهذا تشريف لم يُنله غيرهم من الخلق؛ ولذلك كان أهل العلم ورثة الأنبياء، يحملون ما حملوا، ويبلّغون ما بلّغوا، ويُقتدى بهم في الدين، ويُرجع إليهم عند النوازل</w:t>
      </w:r>
      <w:r>
        <w:rPr>
          <w:rtl w:val="true"/>
        </w:rPr>
        <w:t>.</w:t>
      </w:r>
    </w:p>
    <w:p>
      <w:pPr>
        <w:pStyle w:val="Heading2"/>
        <w:ind w:hanging="0" w:left="0"/>
        <w:rPr/>
      </w:pPr>
      <w:r>
        <w:rPr>
          <w:rtl w:val="true"/>
        </w:rPr>
        <w:t>المطلب الثاني</w:t>
      </w:r>
      <w:r>
        <w:rPr>
          <w:rtl w:val="true"/>
        </w:rPr>
        <w:t xml:space="preserve">: </w:t>
      </w:r>
      <w:r>
        <w:rPr>
          <w:rtl w:val="true"/>
        </w:rPr>
        <w:t>العلم طريق اليسر والسكينة</w:t>
      </w:r>
    </w:p>
    <w:p>
      <w:pPr>
        <w:pStyle w:val="Body"/>
        <w:rPr/>
      </w:pPr>
      <w:r>
        <w:rPr>
          <w:rtl w:val="true"/>
        </w:rPr>
        <w:t>ومن سنن الله في خلقه أن اليسر يعقب العسر، كما قال سبحانه</w:t>
      </w:r>
      <w:r>
        <w:rPr>
          <w:rtl w:val="true"/>
        </w:rPr>
        <w:t xml:space="preserve">: </w:t>
      </w:r>
      <w:r>
        <w:rPr>
          <w:rtl w:val="true"/>
        </w:rPr>
        <w:t>﴿فَإِنَّ مَعَ الْعُسْرِ يُسْرًا﴾، وطالب العلم أحوج الناس إلى استحضار هذا المعنى، فالطلب طويل، والعوائق كثيرة، والفتور يعرض للنفس بين حين وآخر</w:t>
      </w:r>
      <w:r>
        <w:rPr>
          <w:rtl w:val="true"/>
        </w:rPr>
        <w:t>..</w:t>
      </w:r>
    </w:p>
    <w:p>
      <w:pPr>
        <w:pStyle w:val="Body"/>
        <w:rPr/>
      </w:pPr>
      <w:r>
        <w:rPr>
          <w:rtl w:val="true"/>
        </w:rPr>
        <w:t>وقد تكرر الأمر بالاستزادة في قوله</w:t>
      </w:r>
      <w:r>
        <w:rPr>
          <w:rtl w:val="true"/>
        </w:rPr>
        <w:t xml:space="preserve">: </w:t>
      </w:r>
      <w:r>
        <w:rPr>
          <w:rtl w:val="true"/>
        </w:rPr>
        <w:t xml:space="preserve">﴿وَقُلْ رَبِّ زِدْنِي عِلْمًا﴾ </w:t>
      </w:r>
      <w:r>
        <w:rPr>
          <w:rtl w:val="true"/>
        </w:rPr>
        <w:t>[</w:t>
      </w:r>
      <w:r>
        <w:rPr>
          <w:rtl w:val="true"/>
        </w:rPr>
        <w:t>طه</w:t>
      </w:r>
      <w:r>
        <w:rPr>
          <w:rtl w:val="true"/>
        </w:rPr>
        <w:t xml:space="preserve">: </w:t>
      </w:r>
      <w:r>
        <w:rPr/>
        <w:t>115</w:t>
      </w:r>
      <w:r>
        <w:rPr>
          <w:rtl w:val="true"/>
        </w:rPr>
        <w:t>]</w:t>
      </w:r>
      <w:r>
        <w:rPr>
          <w:rtl w:val="true"/>
        </w:rPr>
        <w:t>، فدلّ على أن العلم لا نهاية لطلبه</w:t>
      </w:r>
      <w:r>
        <w:rPr>
          <w:rtl w:val="true"/>
        </w:rPr>
        <w:t>.</w:t>
      </w:r>
    </w:p>
    <w:p>
      <w:pPr>
        <w:pStyle w:val="Body"/>
        <w:rPr/>
      </w:pPr>
      <w:r>
        <w:rPr>
          <w:rtl w:val="true"/>
        </w:rPr>
        <w:t>والغاية من العلم العبادة، قال تعالى</w:t>
      </w:r>
      <w:r>
        <w:rPr>
          <w:rtl w:val="true"/>
        </w:rPr>
        <w:t xml:space="preserve">: </w:t>
      </w:r>
      <w:r>
        <w:rPr>
          <w:rtl w:val="true"/>
        </w:rPr>
        <w:t xml:space="preserve">﴿وما خلقت الجن والإنس إلا ليعبدوني﴾ </w:t>
      </w:r>
      <w:r>
        <w:rPr>
          <w:rtl w:val="true"/>
        </w:rPr>
        <w:t>[</w:t>
      </w:r>
      <w:r>
        <w:rPr>
          <w:rtl w:val="true"/>
        </w:rPr>
        <w:t>الذاريات</w:t>
      </w:r>
      <w:r>
        <w:rPr>
          <w:rtl w:val="true"/>
        </w:rPr>
        <w:t xml:space="preserve">: </w:t>
      </w:r>
      <w:r>
        <w:rPr/>
        <w:t>56</w:t>
      </w:r>
      <w:r>
        <w:rPr>
          <w:rtl w:val="true"/>
        </w:rPr>
        <w:t>]</w:t>
      </w:r>
      <w:r>
        <w:rPr>
          <w:rtl w:val="true"/>
        </w:rPr>
        <w:t>، فمن تعلّم ولم يعمل فقد أخطأ الغاية التي خُلق لها</w:t>
      </w:r>
      <w:r>
        <w:rPr>
          <w:rtl w:val="true"/>
        </w:rPr>
        <w:t>.</w:t>
      </w:r>
    </w:p>
    <w:p>
      <w:pPr>
        <w:pStyle w:val="Body"/>
        <w:rPr/>
      </w:pPr>
      <w:r>
        <w:rPr>
          <w:rtl w:val="true"/>
        </w:rPr>
        <w:t>ومن أعظم ما يتعلّمه المسلم معرفةُ ربه بأسمائه وصفاته</w:t>
      </w:r>
      <w:r>
        <w:rPr>
          <w:rStyle w:val="FootnoteReference"/>
          <w:rtl w:val="true"/>
        </w:rPr>
        <w:footnoteReference w:id="4"/>
      </w:r>
      <w:r>
        <w:rPr>
          <w:rtl w:val="true"/>
        </w:rPr>
        <w:t>، فهي أصل العلوم وأشرفها؛ لأن شرف العلم بشرف المعلوم</w:t>
      </w:r>
      <w:r>
        <w:rPr>
          <w:rtl w:val="true"/>
        </w:rPr>
        <w:t>.</w:t>
      </w:r>
    </w:p>
    <w:p>
      <w:pPr>
        <w:pStyle w:val="Body"/>
        <w:rPr/>
      </w:pPr>
      <w:r>
        <w:rPr>
          <w:b/>
          <w:bCs/>
          <w:rtl w:val="true"/>
        </w:rPr>
        <w:t>أثر العلم في السلوك</w:t>
      </w:r>
      <w:r>
        <w:rPr>
          <w:b/>
          <w:bCs/>
          <w:rtl w:val="true"/>
        </w:rPr>
        <w:t>:</w:t>
      </w:r>
      <w:r>
        <w:rPr>
          <w:rtl w:val="true"/>
        </w:rPr>
        <w:t xml:space="preserve"> </w:t>
      </w:r>
      <w:r>
        <w:rPr>
          <w:rtl w:val="true"/>
        </w:rPr>
        <w:t>العلم النافع يورث صاحبه الخشية والتواضع، ويحمله على حسن الخلق مع الناس، والصبر على ما يلقاه منهم، ويحجزه عن الكبر والعُجب، فإن رأيت عالمًا متكبرًا فاعلم أن علمه لم يجاوز لسانه إلى قلبه</w:t>
      </w:r>
      <w:r>
        <w:rPr>
          <w:rtl w:val="true"/>
        </w:rPr>
        <w:t>.</w:t>
      </w:r>
    </w:p>
    <w:p>
      <w:pPr>
        <w:pStyle w:val="Heading1"/>
        <w:ind w:hanging="0" w:left="0"/>
        <w:rPr/>
      </w:pPr>
      <w:r>
        <w:rPr>
          <w:rtl w:val="true"/>
        </w:rPr>
        <w:t>المبحث الثاني</w:t>
      </w:r>
      <w:r>
        <w:rPr>
          <w:rtl w:val="true"/>
        </w:rPr>
        <w:t xml:space="preserve">: </w:t>
      </w:r>
      <w:r>
        <w:rPr>
          <w:rtl w:val="true"/>
        </w:rPr>
        <w:t>فضل العلم في السنة النبوية</w:t>
      </w:r>
    </w:p>
    <w:p>
      <w:pPr>
        <w:pStyle w:val="Body"/>
        <w:rPr/>
      </w:pPr>
      <w:r>
        <w:rPr>
          <w:rtl w:val="true"/>
        </w:rPr>
        <w:t>عن معاوية رضي الله عنه قال</w:t>
      </w:r>
      <w:r>
        <w:rPr>
          <w:rtl w:val="true"/>
        </w:rPr>
        <w:t xml:space="preserve">: </w:t>
      </w:r>
      <w:r>
        <w:rPr>
          <w:rtl w:val="true"/>
        </w:rPr>
        <w:t>سمعت النبي ﷺ يقول</w:t>
      </w:r>
      <w:r>
        <w:rPr>
          <w:rtl w:val="true"/>
        </w:rPr>
        <w:t>: «</w:t>
      </w:r>
      <w:r>
        <w:rPr>
          <w:rtl w:val="true"/>
        </w:rPr>
        <w:t>من يرد الله به خيرًا يفقهه في الدين</w:t>
      </w:r>
      <w:r>
        <w:rPr>
          <w:rtl w:val="true"/>
        </w:rPr>
        <w:t>»</w:t>
      </w:r>
      <w:r>
        <w:rPr>
          <w:rStyle w:val="FootnoteReference"/>
          <w:rtl w:val="true"/>
        </w:rPr>
        <w:footnoteReference w:id="5"/>
      </w:r>
      <w:r>
        <w:rPr>
          <w:rtl w:val="true"/>
        </w:rPr>
        <w:t>.</w:t>
      </w:r>
    </w:p>
    <w:p>
      <w:pPr>
        <w:pStyle w:val="Body"/>
        <w:rPr/>
      </w:pPr>
      <w:r>
        <w:rPr>
          <w:rtl w:val="true"/>
        </w:rPr>
        <w:t>وعن أبي هريرة ﵁ أن رسول الله صلى الله عليه وسلم قال</w:t>
      </w:r>
      <w:r>
        <w:rPr>
          <w:rtl w:val="true"/>
        </w:rPr>
        <w:t>: «</w:t>
      </w:r>
      <w:r>
        <w:rPr>
          <w:rtl w:val="true"/>
        </w:rPr>
        <w:t>من سلك طريقًا يلتمس فيه علمًا سهّل الله له به طريقًا إلى الجنة</w:t>
      </w:r>
      <w:r>
        <w:rPr>
          <w:rtl w:val="true"/>
        </w:rPr>
        <w:t>»</w:t>
      </w:r>
      <w:r>
        <w:rPr>
          <w:rStyle w:val="FootnoteReference"/>
          <w:rtl w:val="true"/>
        </w:rPr>
        <w:footnoteReference w:id="6"/>
      </w:r>
      <w:r>
        <w:rPr>
          <w:rtl w:val="true"/>
        </w:rPr>
        <w:t>.</w:t>
      </w:r>
    </w:p>
    <w:p>
      <w:pPr>
        <w:pStyle w:val="Body"/>
        <w:rPr/>
      </w:pPr>
      <w:r>
        <w:rPr>
          <w:rtl w:val="true"/>
        </w:rPr>
        <w:t>والله ﷻ يحب من عباده العلماء العاملين، الذين يجمعون بين العلم والعمل والدعوة والصبر</w:t>
      </w:r>
      <w:r>
        <w:rPr>
          <w:rtl w:val="true"/>
        </w:rPr>
        <w:t>.</w:t>
      </w:r>
    </w:p>
    <w:p>
      <w:pPr>
        <w:pStyle w:val="Body"/>
        <w:rPr/>
      </w:pPr>
      <w:r>
        <w:rPr>
          <w:rtl w:val="true"/>
        </w:rPr>
        <w:t>ومن آداب طالب العلم</w:t>
      </w:r>
      <w:r>
        <w:rPr>
          <w:rtl w:val="true"/>
        </w:rPr>
        <w:t>:</w:t>
      </w:r>
    </w:p>
    <w:p>
      <w:pPr>
        <w:pStyle w:val="Body"/>
        <w:numPr>
          <w:ilvl w:val="0"/>
          <w:numId w:val="2"/>
        </w:numPr>
        <w:tabs>
          <w:tab w:val="clear" w:pos="709"/>
          <w:tab w:val="left" w:pos="0" w:leader="none"/>
        </w:tabs>
        <w:ind w:hanging="0" w:left="0"/>
        <w:rPr/>
      </w:pPr>
      <w:r>
        <w:rPr>
          <w:rtl w:val="true"/>
        </w:rPr>
        <w:t>الإخلاص لله تعالى في الطلب</w:t>
      </w:r>
      <w:r>
        <w:rPr>
          <w:rtl w:val="true"/>
        </w:rPr>
        <w:t>.</w:t>
      </w:r>
    </w:p>
    <w:p>
      <w:pPr>
        <w:pStyle w:val="Body"/>
        <w:numPr>
          <w:ilvl w:val="0"/>
          <w:numId w:val="2"/>
        </w:numPr>
        <w:tabs>
          <w:tab w:val="clear" w:pos="709"/>
          <w:tab w:val="left" w:pos="0" w:leader="none"/>
        </w:tabs>
        <w:ind w:hanging="0" w:left="0"/>
        <w:rPr/>
      </w:pPr>
      <w:r>
        <w:rPr>
          <w:rtl w:val="true"/>
        </w:rPr>
        <w:t>الصبر على مشقة التحصيل وطول الطريق</w:t>
      </w:r>
      <w:r>
        <w:rPr>
          <w:rtl w:val="true"/>
        </w:rPr>
        <w:t>.</w:t>
      </w:r>
    </w:p>
    <w:p>
      <w:pPr>
        <w:pStyle w:val="Body"/>
        <w:numPr>
          <w:ilvl w:val="0"/>
          <w:numId w:val="2"/>
        </w:numPr>
        <w:tabs>
          <w:tab w:val="clear" w:pos="709"/>
          <w:tab w:val="left" w:pos="0" w:leader="none"/>
        </w:tabs>
        <w:ind w:hanging="0" w:left="0"/>
        <w:rPr/>
      </w:pPr>
      <w:r>
        <w:rPr>
          <w:rtl w:val="true"/>
        </w:rPr>
        <w:t>العمل بما يتعلّم، فهو ثمرة العلم</w:t>
      </w:r>
      <w:r>
        <w:rPr>
          <w:rtl w:val="true"/>
        </w:rPr>
        <w:t>.</w:t>
      </w:r>
    </w:p>
    <w:p>
      <w:pPr>
        <w:pStyle w:val="Body"/>
        <w:numPr>
          <w:ilvl w:val="0"/>
          <w:numId w:val="2"/>
        </w:numPr>
        <w:tabs>
          <w:tab w:val="clear" w:pos="709"/>
          <w:tab w:val="left" w:pos="0" w:leader="none"/>
        </w:tabs>
        <w:ind w:hanging="0" w:left="0"/>
        <w:rPr/>
      </w:pPr>
      <w:r>
        <w:rPr>
          <w:rtl w:val="true"/>
        </w:rPr>
        <w:t>تبليغه لمن يحتاج إليه</w:t>
      </w:r>
      <w:r>
        <w:rPr>
          <w:rtl w:val="true"/>
        </w:rPr>
        <w:t>.</w:t>
      </w:r>
    </w:p>
    <w:p>
      <w:pPr>
        <w:pStyle w:val="Body"/>
        <w:rPr/>
      </w:pPr>
      <w:r>
        <w:rPr>
          <w:rtl w:val="true"/>
        </w:rPr>
        <w:t>ومن ثمرات العلم</w:t>
      </w:r>
      <w:r>
        <w:rPr>
          <w:rtl w:val="true"/>
        </w:rPr>
        <w:t>:</w:t>
      </w:r>
    </w:p>
    <w:p>
      <w:pPr>
        <w:pStyle w:val="Body"/>
        <w:numPr>
          <w:ilvl w:val="0"/>
          <w:numId w:val="3"/>
        </w:numPr>
        <w:tabs>
          <w:tab w:val="clear" w:pos="709"/>
          <w:tab w:val="left" w:pos="0" w:leader="none"/>
        </w:tabs>
        <w:ind w:hanging="0" w:left="0"/>
        <w:rPr/>
      </w:pPr>
      <w:r>
        <w:rPr>
          <w:rtl w:val="true"/>
        </w:rPr>
        <w:t>خشية الله تعالى</w:t>
      </w:r>
      <w:r>
        <w:rPr>
          <w:rtl w:val="true"/>
        </w:rPr>
        <w:t>.</w:t>
      </w:r>
    </w:p>
    <w:p>
      <w:pPr>
        <w:pStyle w:val="Body"/>
        <w:numPr>
          <w:ilvl w:val="0"/>
          <w:numId w:val="3"/>
        </w:numPr>
        <w:tabs>
          <w:tab w:val="clear" w:pos="709"/>
          <w:tab w:val="left" w:pos="0" w:leader="none"/>
        </w:tabs>
        <w:ind w:hanging="0" w:left="0"/>
        <w:rPr/>
      </w:pPr>
      <w:r>
        <w:rPr>
          <w:rtl w:val="true"/>
        </w:rPr>
        <w:t>رفعة الدرجات في الدنيا والآخرة</w:t>
      </w:r>
      <w:r>
        <w:rPr>
          <w:rtl w:val="true"/>
        </w:rPr>
        <w:t>.</w:t>
      </w:r>
    </w:p>
    <w:p>
      <w:pPr>
        <w:pStyle w:val="Body"/>
        <w:numPr>
          <w:ilvl w:val="1"/>
          <w:numId w:val="3"/>
        </w:numPr>
        <w:tabs>
          <w:tab w:val="clear" w:pos="709"/>
          <w:tab w:val="left" w:pos="0" w:leader="none"/>
        </w:tabs>
        <w:ind w:hanging="0" w:left="0"/>
        <w:rPr/>
      </w:pPr>
      <w:r>
        <w:rPr>
          <w:rtl w:val="true"/>
        </w:rPr>
        <w:t>رفعة القدر بين الناس</w:t>
      </w:r>
      <w:r>
        <w:rPr>
          <w:rtl w:val="true"/>
        </w:rPr>
        <w:t>.</w:t>
      </w:r>
    </w:p>
    <w:p>
      <w:pPr>
        <w:pStyle w:val="Body"/>
        <w:numPr>
          <w:ilvl w:val="1"/>
          <w:numId w:val="3"/>
        </w:numPr>
        <w:tabs>
          <w:tab w:val="clear" w:pos="709"/>
          <w:tab w:val="left" w:pos="0" w:leader="none"/>
        </w:tabs>
        <w:ind w:hanging="0" w:left="0"/>
        <w:rPr/>
      </w:pPr>
      <w:r>
        <w:rPr>
          <w:rtl w:val="true"/>
        </w:rPr>
        <w:t>رفعة المنزلة عند الله</w:t>
      </w:r>
      <w:r>
        <w:rPr>
          <w:rtl w:val="true"/>
        </w:rPr>
        <w:t>.</w:t>
      </w:r>
    </w:p>
    <w:p>
      <w:pPr>
        <w:pStyle w:val="Body"/>
        <w:numPr>
          <w:ilvl w:val="0"/>
          <w:numId w:val="3"/>
        </w:numPr>
        <w:tabs>
          <w:tab w:val="clear" w:pos="709"/>
          <w:tab w:val="left" w:pos="0" w:leader="none"/>
        </w:tabs>
        <w:ind w:hanging="0" w:left="0"/>
        <w:rPr/>
      </w:pPr>
      <w:r>
        <w:rPr>
          <w:rtl w:val="true"/>
        </w:rPr>
        <w:t>دوام الأجر بعد الموت</w:t>
      </w:r>
      <w:r>
        <w:rPr>
          <w:rtl w:val="true"/>
        </w:rPr>
        <w:t>.</w:t>
      </w:r>
    </w:p>
    <w:p>
      <w:pPr>
        <w:pStyle w:val="Body"/>
        <w:rPr/>
      </w:pPr>
      <w:r>
        <w:rPr>
          <w:rtl w:val="true"/>
        </w:rPr>
        <w:t xml:space="preserve">وقد بسط أهل العلم هذه المسائل في مصنفاتهم، كما في المصدر السابق </w:t>
      </w:r>
      <w:r>
        <w:rPr>
          <w:rtl w:val="true"/>
        </w:rPr>
        <w:t>(</w:t>
      </w:r>
      <w:r>
        <w:rPr/>
        <w:t>1</w:t>
      </w:r>
      <w:r>
        <w:rPr>
          <w:rtl w:val="true"/>
        </w:rPr>
        <w:t xml:space="preserve">/ </w:t>
      </w:r>
      <w:r>
        <w:rPr/>
        <w:t>23</w:t>
      </w:r>
      <w:r>
        <w:rPr>
          <w:rtl w:val="true"/>
        </w:rPr>
        <w:t>)</w:t>
      </w:r>
      <w:r>
        <w:rPr>
          <w:rtl w:val="true"/>
        </w:rPr>
        <w:t>، و</w:t>
      </w:r>
      <w:r>
        <w:rPr>
          <w:rtl w:val="true"/>
        </w:rPr>
        <w:t>(</w:t>
      </w:r>
      <w:r>
        <w:rPr/>
        <w:t>3</w:t>
      </w:r>
      <w:r>
        <w:rPr>
          <w:rtl w:val="true"/>
        </w:rPr>
        <w:t xml:space="preserve">/ </w:t>
      </w:r>
      <w:r>
        <w:rPr/>
        <w:t>257</w:t>
      </w:r>
      <w:r>
        <w:rPr>
          <w:rtl w:val="true"/>
        </w:rPr>
        <w:t>)</w:t>
      </w:r>
      <w:r>
        <w:rPr>
          <w:rtl w:val="true"/>
        </w:rPr>
        <w:t xml:space="preserve">، وانظر أيضًا </w:t>
      </w:r>
      <w:r>
        <w:rPr>
          <w:rtl w:val="true"/>
        </w:rPr>
        <w:t>(</w:t>
      </w:r>
      <w:r>
        <w:rPr>
          <w:rtl w:val="true"/>
        </w:rPr>
        <w:t xml:space="preserve">ص </w:t>
      </w:r>
      <w:r>
        <w:rPr/>
        <w:t>45</w:t>
      </w:r>
      <w:r>
        <w:rPr>
          <w:rtl w:val="true"/>
        </w:rPr>
        <w:t>)</w:t>
      </w:r>
      <w:r>
        <w:rPr>
          <w:rStyle w:val="FootnoteReference"/>
          <w:rtl w:val="true"/>
        </w:rPr>
        <w:footnoteReference w:id="7"/>
      </w:r>
      <w:r>
        <w:rPr>
          <w:rtl w:val="true"/>
        </w:rPr>
        <w:t>.</w:t>
      </w:r>
    </w:p>
    <w:p>
      <w:pPr>
        <w:pStyle w:val="Body"/>
        <w:rPr/>
      </w:pPr>
      <w:r>
        <w:rPr>
          <w:rtl w:val="true"/>
        </w:rPr>
        <w:t>وفي الحديث الصحيح أن العلماء ورثة الأنبياء، وأن الأنبياء لم يورّثوا دينارًا ولا درهمًا، وإنما ورّثوا العلم، فمن أخذه أخذ بحظ وافر؛ وهذا يبين أن ميراث النبوة الحقيقي هو العلم والعمل به والدعوة إليه، لا الأموال ولا المناصب</w:t>
      </w:r>
      <w:r>
        <w:rPr>
          <w:rtl w:val="true"/>
        </w:rPr>
        <w:t>.</w:t>
      </w:r>
    </w:p>
    <w:p>
      <w:pPr>
        <w:pStyle w:val="Heading1"/>
        <w:ind w:hanging="0" w:left="0"/>
        <w:rPr/>
      </w:pPr>
      <w:r>
        <w:rPr>
          <w:rtl w:val="true"/>
        </w:rPr>
        <w:t>المبحث الثالث</w:t>
      </w:r>
      <w:r>
        <w:rPr>
          <w:rtl w:val="true"/>
        </w:rPr>
        <w:t xml:space="preserve">: </w:t>
      </w:r>
      <w:r>
        <w:rPr>
          <w:rtl w:val="true"/>
        </w:rPr>
        <w:t>أعلام وأقوال</w:t>
      </w:r>
    </w:p>
    <w:p>
      <w:pPr>
        <w:pStyle w:val="Body"/>
        <w:rPr/>
      </w:pPr>
      <w:r>
        <w:rPr>
          <w:rtl w:val="true"/>
        </w:rPr>
        <w:t>وهذا جدول بأشهر الأئمة الذين صنّفوا في العلم وآدابه</w:t>
      </w:r>
      <w:r>
        <w:rPr>
          <w:rtl w:val="true"/>
        </w:rPr>
        <w:t>:</w:t>
      </w:r>
    </w:p>
    <w:tbl>
      <w:tblPr>
        <w:bidiVisual w:val="true"/>
        <w:tblW w:w="8640" w:type="dxa"/>
        <w:jc w:val="center"/>
        <w:tblInd w:w="0" w:type="dxa"/>
        <w:tblLayout w:type="fixed"/>
        <w:tblCellMar>
          <w:top w:w="58" w:type="dxa"/>
          <w:left w:w="58" w:type="dxa"/>
          <w:bottom w:w="58" w:type="dxa"/>
          <w:right w:w="58" w:type="dxa"/>
        </w:tblCellMar>
      </w:tblPr>
      <w:tblGrid>
        <w:gridCol w:w="2880"/>
        <w:gridCol w:w="1920"/>
        <w:gridCol w:w="3840"/>
      </w:tblGrid>
      <w:tr>
        <w:trPr/>
        <w:tc>
          <w:tcPr>
            <w:tcW w:w="2880" w:type="dxa"/>
            <w:tcBorders>
              <w:top w:val="single" w:sz="4" w:space="0" w:color="000000"/>
              <w:left w:val="single" w:sz="4" w:space="0" w:color="000000"/>
              <w:bottom w:val="single" w:sz="4" w:space="0" w:color="000000"/>
              <w:right w:val="single" w:sz="4" w:space="0" w:color="000000"/>
            </w:tcBorders>
          </w:tcPr>
          <w:p>
            <w:pPr>
              <w:pStyle w:val="Head"/>
              <w:rPr/>
            </w:pPr>
            <w:r>
              <w:rPr>
                <w:rtl w:val="true"/>
              </w:rPr>
              <w:t>الإمام</w:t>
            </w:r>
          </w:p>
        </w:tc>
        <w:tc>
          <w:tcPr>
            <w:tcW w:w="1920" w:type="dxa"/>
            <w:tcBorders>
              <w:top w:val="single" w:sz="4" w:space="0" w:color="000000"/>
              <w:left w:val="single" w:sz="4" w:space="0" w:color="000000"/>
              <w:bottom w:val="single" w:sz="4" w:space="0" w:color="000000"/>
              <w:right w:val="single" w:sz="4" w:space="0" w:color="000000"/>
            </w:tcBorders>
          </w:tcPr>
          <w:p>
            <w:pPr>
              <w:pStyle w:val="Head"/>
              <w:rPr/>
            </w:pPr>
            <w:r>
              <w:rPr>
                <w:rtl w:val="true"/>
              </w:rPr>
              <w:t>سنة الوفاة</w:t>
            </w:r>
          </w:p>
        </w:tc>
        <w:tc>
          <w:tcPr>
            <w:tcW w:w="3840" w:type="dxa"/>
            <w:tcBorders>
              <w:top w:val="single" w:sz="4" w:space="0" w:color="000000"/>
              <w:left w:val="single" w:sz="4" w:space="0" w:color="000000"/>
              <w:bottom w:val="single" w:sz="4" w:space="0" w:color="000000"/>
              <w:right w:val="single" w:sz="4" w:space="0" w:color="000000"/>
            </w:tcBorders>
          </w:tcPr>
          <w:p>
            <w:pPr>
              <w:pStyle w:val="Head"/>
              <w:rPr/>
            </w:pPr>
            <w:r>
              <w:rPr>
                <w:rtl w:val="true"/>
              </w:rPr>
              <w:t>من مصنفاته</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Body"/>
              <w:spacing w:before="0" w:after="144"/>
              <w:jc w:val="both"/>
              <w:rPr/>
            </w:pPr>
            <w:r>
              <w:rPr>
                <w:rtl w:val="true"/>
              </w:rPr>
              <w:t>البخاري</w:t>
            </w:r>
          </w:p>
        </w:tc>
        <w:tc>
          <w:tcPr>
            <w:tcW w:w="1920" w:type="dxa"/>
            <w:tcBorders>
              <w:top w:val="single" w:sz="4" w:space="0" w:color="000000"/>
              <w:left w:val="single" w:sz="4" w:space="0" w:color="000000"/>
              <w:bottom w:val="single" w:sz="4" w:space="0" w:color="000000"/>
              <w:right w:val="single" w:sz="4" w:space="0" w:color="000000"/>
            </w:tcBorders>
          </w:tcPr>
          <w:p>
            <w:pPr>
              <w:pStyle w:val="Body"/>
              <w:spacing w:before="0" w:after="144"/>
              <w:jc w:val="both"/>
              <w:rPr/>
            </w:pPr>
            <w:r>
              <w:rPr/>
              <w:t>256</w:t>
            </w:r>
            <w:r>
              <w:rPr>
                <w:rtl w:val="true"/>
              </w:rPr>
              <w:t>هـ</w:t>
            </w:r>
          </w:p>
        </w:tc>
        <w:tc>
          <w:tcPr>
            <w:tcW w:w="3840" w:type="dxa"/>
            <w:tcBorders>
              <w:top w:val="single" w:sz="4" w:space="0" w:color="000000"/>
              <w:left w:val="single" w:sz="4" w:space="0" w:color="000000"/>
              <w:bottom w:val="single" w:sz="4" w:space="0" w:color="000000"/>
              <w:right w:val="single" w:sz="4" w:space="0" w:color="000000"/>
            </w:tcBorders>
          </w:tcPr>
          <w:p>
            <w:pPr>
              <w:pStyle w:val="Body"/>
              <w:spacing w:before="0" w:after="144"/>
              <w:jc w:val="both"/>
              <w:rPr/>
            </w:pPr>
            <w:r>
              <w:rPr>
                <w:rtl w:val="true"/>
              </w:rPr>
              <w:t>الجامع الصحيح</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Body"/>
              <w:spacing w:before="0" w:after="144"/>
              <w:jc w:val="both"/>
              <w:rPr/>
            </w:pPr>
            <w:r>
              <w:rPr>
                <w:rtl w:val="true"/>
              </w:rPr>
              <w:t>ابن عبد البر</w:t>
            </w:r>
          </w:p>
        </w:tc>
        <w:tc>
          <w:tcPr>
            <w:tcW w:w="1920" w:type="dxa"/>
            <w:tcBorders>
              <w:top w:val="single" w:sz="4" w:space="0" w:color="000000"/>
              <w:left w:val="single" w:sz="4" w:space="0" w:color="000000"/>
              <w:bottom w:val="single" w:sz="4" w:space="0" w:color="000000"/>
              <w:right w:val="single" w:sz="4" w:space="0" w:color="000000"/>
            </w:tcBorders>
          </w:tcPr>
          <w:p>
            <w:pPr>
              <w:pStyle w:val="Body"/>
              <w:spacing w:before="0" w:after="144"/>
              <w:jc w:val="both"/>
              <w:rPr/>
            </w:pPr>
            <w:r>
              <w:rPr/>
              <w:t>463</w:t>
            </w:r>
            <w:r>
              <w:rPr>
                <w:rtl w:val="true"/>
              </w:rPr>
              <w:t>هـ</w:t>
            </w:r>
          </w:p>
        </w:tc>
        <w:tc>
          <w:tcPr>
            <w:tcW w:w="3840" w:type="dxa"/>
            <w:tcBorders>
              <w:top w:val="single" w:sz="4" w:space="0" w:color="000000"/>
              <w:left w:val="single" w:sz="4" w:space="0" w:color="000000"/>
              <w:bottom w:val="single" w:sz="4" w:space="0" w:color="000000"/>
              <w:right w:val="single" w:sz="4" w:space="0" w:color="000000"/>
            </w:tcBorders>
          </w:tcPr>
          <w:p>
            <w:pPr>
              <w:pStyle w:val="Body"/>
              <w:spacing w:before="0" w:after="144"/>
              <w:jc w:val="both"/>
              <w:rPr/>
            </w:pPr>
            <w:r>
              <w:rPr>
                <w:rtl w:val="true"/>
              </w:rPr>
              <w:t>جامع بيان العلم وفضله</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Body"/>
              <w:spacing w:before="0" w:after="144"/>
              <w:jc w:val="both"/>
              <w:rPr/>
            </w:pPr>
            <w:r>
              <w:rPr>
                <w:rtl w:val="true"/>
              </w:rPr>
              <w:t>الخطيب البغدادي</w:t>
            </w:r>
          </w:p>
        </w:tc>
        <w:tc>
          <w:tcPr>
            <w:tcW w:w="1920" w:type="dxa"/>
            <w:tcBorders>
              <w:top w:val="single" w:sz="4" w:space="0" w:color="000000"/>
              <w:left w:val="single" w:sz="4" w:space="0" w:color="000000"/>
              <w:bottom w:val="single" w:sz="4" w:space="0" w:color="000000"/>
              <w:right w:val="single" w:sz="4" w:space="0" w:color="000000"/>
            </w:tcBorders>
          </w:tcPr>
          <w:p>
            <w:pPr>
              <w:pStyle w:val="Body"/>
              <w:spacing w:before="0" w:after="144"/>
              <w:jc w:val="both"/>
              <w:rPr/>
            </w:pPr>
            <w:r>
              <w:rPr/>
              <w:t>463</w:t>
            </w:r>
            <w:r>
              <w:rPr>
                <w:rtl w:val="true"/>
              </w:rPr>
              <w:t>هـ</w:t>
            </w:r>
          </w:p>
        </w:tc>
        <w:tc>
          <w:tcPr>
            <w:tcW w:w="3840" w:type="dxa"/>
            <w:tcBorders>
              <w:top w:val="single" w:sz="4" w:space="0" w:color="000000"/>
              <w:left w:val="single" w:sz="4" w:space="0" w:color="000000"/>
              <w:bottom w:val="single" w:sz="4" w:space="0" w:color="000000"/>
              <w:right w:val="single" w:sz="4" w:space="0" w:color="000000"/>
            </w:tcBorders>
          </w:tcPr>
          <w:p>
            <w:pPr>
              <w:pStyle w:val="Body"/>
              <w:spacing w:before="0" w:after="144"/>
              <w:jc w:val="both"/>
              <w:rPr/>
            </w:pPr>
            <w:r>
              <w:rPr>
                <w:rtl w:val="true"/>
              </w:rPr>
              <w:t>الجامع لأخلاق الراوي وآداب السامع</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Body"/>
              <w:spacing w:before="0" w:after="144"/>
              <w:jc w:val="both"/>
              <w:rPr/>
            </w:pPr>
            <w:r>
              <w:rPr>
                <w:rtl w:val="true"/>
              </w:rPr>
              <w:t>النووي</w:t>
            </w:r>
          </w:p>
        </w:tc>
        <w:tc>
          <w:tcPr>
            <w:tcW w:w="1920" w:type="dxa"/>
            <w:tcBorders>
              <w:top w:val="single" w:sz="4" w:space="0" w:color="000000"/>
              <w:left w:val="single" w:sz="4" w:space="0" w:color="000000"/>
              <w:bottom w:val="single" w:sz="4" w:space="0" w:color="000000"/>
              <w:right w:val="single" w:sz="4" w:space="0" w:color="000000"/>
            </w:tcBorders>
          </w:tcPr>
          <w:p>
            <w:pPr>
              <w:pStyle w:val="Body"/>
              <w:spacing w:before="0" w:after="144"/>
              <w:jc w:val="both"/>
              <w:rPr/>
            </w:pPr>
            <w:r>
              <w:rPr/>
              <w:t>676</w:t>
            </w:r>
            <w:r>
              <w:rPr>
                <w:rtl w:val="true"/>
              </w:rPr>
              <w:t>هـ</w:t>
            </w:r>
          </w:p>
        </w:tc>
        <w:tc>
          <w:tcPr>
            <w:tcW w:w="3840" w:type="dxa"/>
            <w:tcBorders>
              <w:top w:val="single" w:sz="4" w:space="0" w:color="000000"/>
              <w:left w:val="single" w:sz="4" w:space="0" w:color="000000"/>
              <w:bottom w:val="single" w:sz="4" w:space="0" w:color="000000"/>
              <w:right w:val="single" w:sz="4" w:space="0" w:color="000000"/>
            </w:tcBorders>
          </w:tcPr>
          <w:p>
            <w:pPr>
              <w:pStyle w:val="Body"/>
              <w:spacing w:before="0" w:after="144"/>
              <w:jc w:val="both"/>
              <w:rPr/>
            </w:pPr>
            <w:r>
              <w:rPr>
                <w:rtl w:val="true"/>
              </w:rPr>
              <w:t>المجموع شرح المهذب</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Body"/>
              <w:spacing w:before="0" w:after="144"/>
              <w:jc w:val="both"/>
              <w:rPr/>
            </w:pPr>
            <w:r>
              <w:rPr>
                <w:rtl w:val="true"/>
              </w:rPr>
              <w:t>ابن جماعة</w:t>
            </w:r>
          </w:p>
        </w:tc>
        <w:tc>
          <w:tcPr>
            <w:tcW w:w="1920" w:type="dxa"/>
            <w:tcBorders>
              <w:top w:val="single" w:sz="4" w:space="0" w:color="000000"/>
              <w:left w:val="single" w:sz="4" w:space="0" w:color="000000"/>
              <w:bottom w:val="single" w:sz="4" w:space="0" w:color="000000"/>
              <w:right w:val="single" w:sz="4" w:space="0" w:color="000000"/>
            </w:tcBorders>
          </w:tcPr>
          <w:p>
            <w:pPr>
              <w:pStyle w:val="Body"/>
              <w:spacing w:before="0" w:after="144"/>
              <w:jc w:val="both"/>
              <w:rPr/>
            </w:pPr>
            <w:r>
              <w:rPr/>
              <w:t>733</w:t>
            </w:r>
            <w:r>
              <w:rPr>
                <w:rtl w:val="true"/>
              </w:rPr>
              <w:t>هـ</w:t>
            </w:r>
          </w:p>
        </w:tc>
        <w:tc>
          <w:tcPr>
            <w:tcW w:w="3840" w:type="dxa"/>
            <w:tcBorders>
              <w:top w:val="single" w:sz="4" w:space="0" w:color="000000"/>
              <w:left w:val="single" w:sz="4" w:space="0" w:color="000000"/>
              <w:bottom w:val="single" w:sz="4" w:space="0" w:color="000000"/>
              <w:right w:val="single" w:sz="4" w:space="0" w:color="000000"/>
            </w:tcBorders>
          </w:tcPr>
          <w:p>
            <w:pPr>
              <w:pStyle w:val="Body"/>
              <w:spacing w:before="0" w:after="144"/>
              <w:jc w:val="both"/>
              <w:rPr/>
            </w:pPr>
            <w:r>
              <w:rPr>
                <w:rtl w:val="true"/>
              </w:rPr>
              <w:t>تذكرة السامع والمتكلم في أدب العالم والمتعلم</w:t>
            </w:r>
          </w:p>
        </w:tc>
      </w:tr>
    </w:tbl>
    <w:p>
      <w:pPr>
        <w:pStyle w:val="Body"/>
        <w:rPr/>
      </w:pPr>
      <w:r>
        <w:rPr>
          <w:rtl w:val="true"/>
        </w:rPr>
        <w:t>وهذا جدول آخر فيه نصوص طويلة داخل الخلايا</w:t>
      </w:r>
      <w:r>
        <w:rPr>
          <w:rtl w:val="true"/>
        </w:rPr>
        <w:t>:</w:t>
      </w:r>
    </w:p>
    <w:tbl>
      <w:tblPr>
        <w:bidiVisual w:val="true"/>
        <w:tblW w:w="8640" w:type="dxa"/>
        <w:jc w:val="center"/>
        <w:tblInd w:w="0" w:type="dxa"/>
        <w:tblLayout w:type="fixed"/>
        <w:tblCellMar>
          <w:top w:w="58" w:type="dxa"/>
          <w:left w:w="58" w:type="dxa"/>
          <w:bottom w:w="58" w:type="dxa"/>
          <w:right w:w="58" w:type="dxa"/>
        </w:tblCellMar>
      </w:tblPr>
      <w:tblGrid>
        <w:gridCol w:w="4320"/>
        <w:gridCol w:w="4320"/>
      </w:tblGrid>
      <w:tr>
        <w:trPr/>
        <w:tc>
          <w:tcPr>
            <w:tcW w:w="4320" w:type="dxa"/>
            <w:tcBorders>
              <w:top w:val="single" w:sz="4" w:space="0" w:color="000000"/>
              <w:left w:val="single" w:sz="4" w:space="0" w:color="000000"/>
              <w:bottom w:val="single" w:sz="4" w:space="0" w:color="000000"/>
              <w:right w:val="single" w:sz="4" w:space="0" w:color="000000"/>
            </w:tcBorders>
          </w:tcPr>
          <w:p>
            <w:pPr>
              <w:pStyle w:val="Head"/>
              <w:rPr/>
            </w:pPr>
            <w:r>
              <w:rPr>
                <w:rtl w:val="true"/>
              </w:rPr>
              <w:t>المسألة</w:t>
            </w:r>
          </w:p>
        </w:tc>
        <w:tc>
          <w:tcPr>
            <w:tcW w:w="4320" w:type="dxa"/>
            <w:tcBorders>
              <w:top w:val="single" w:sz="4" w:space="0" w:color="000000"/>
              <w:left w:val="single" w:sz="4" w:space="0" w:color="000000"/>
              <w:bottom w:val="single" w:sz="4" w:space="0" w:color="000000"/>
              <w:right w:val="single" w:sz="4" w:space="0" w:color="000000"/>
            </w:tcBorders>
          </w:tcPr>
          <w:p>
            <w:pPr>
              <w:pStyle w:val="Head"/>
              <w:rPr/>
            </w:pPr>
            <w:r>
              <w:rPr>
                <w:rtl w:val="true"/>
              </w:rPr>
              <w:t>البيان</w:t>
            </w:r>
          </w:p>
        </w:tc>
      </w:tr>
      <w:tr>
        <w:trPr/>
        <w:tc>
          <w:tcPr>
            <w:tcW w:w="4320" w:type="dxa"/>
            <w:tcBorders>
              <w:top w:val="single" w:sz="4" w:space="0" w:color="000000"/>
              <w:left w:val="single" w:sz="4" w:space="0" w:color="000000"/>
              <w:bottom w:val="single" w:sz="4" w:space="0" w:color="000000"/>
              <w:right w:val="single" w:sz="4" w:space="0" w:color="000000"/>
            </w:tcBorders>
          </w:tcPr>
          <w:p>
            <w:pPr>
              <w:pStyle w:val="Body"/>
              <w:spacing w:before="0" w:after="144"/>
              <w:jc w:val="both"/>
              <w:rPr/>
            </w:pPr>
            <w:r>
              <w:rPr>
                <w:rtl w:val="true"/>
              </w:rPr>
              <w:t>حكم طلب العلم</w:t>
            </w:r>
          </w:p>
        </w:tc>
        <w:tc>
          <w:tcPr>
            <w:tcW w:w="4320" w:type="dxa"/>
            <w:tcBorders>
              <w:top w:val="single" w:sz="4" w:space="0" w:color="000000"/>
              <w:left w:val="single" w:sz="4" w:space="0" w:color="000000"/>
              <w:bottom w:val="single" w:sz="4" w:space="0" w:color="000000"/>
              <w:right w:val="single" w:sz="4" w:space="0" w:color="000000"/>
            </w:tcBorders>
          </w:tcPr>
          <w:p>
            <w:pPr>
              <w:pStyle w:val="Body"/>
              <w:spacing w:before="0" w:after="144"/>
              <w:jc w:val="both"/>
              <w:rPr/>
            </w:pPr>
            <w:r>
              <w:rPr>
                <w:rtl w:val="true"/>
              </w:rPr>
              <w:t>منه ما هو فرض عين على كل مسلم، وهو ما لا يصح دينه إلا به، ومنه ما هو فرض كفاية إذا قام به البعض سقط الإثم عن الباقين</w:t>
            </w:r>
            <w:r>
              <w:rPr>
                <w:rtl w:val="true"/>
              </w:rPr>
              <w:t>.</w:t>
            </w:r>
          </w:p>
        </w:tc>
      </w:tr>
      <w:tr>
        <w:trPr/>
        <w:tc>
          <w:tcPr>
            <w:tcW w:w="4320" w:type="dxa"/>
            <w:tcBorders>
              <w:top w:val="single" w:sz="4" w:space="0" w:color="000000"/>
              <w:left w:val="single" w:sz="4" w:space="0" w:color="000000"/>
              <w:bottom w:val="single" w:sz="4" w:space="0" w:color="000000"/>
              <w:right w:val="single" w:sz="4" w:space="0" w:color="000000"/>
            </w:tcBorders>
          </w:tcPr>
          <w:p>
            <w:pPr>
              <w:pStyle w:val="Body"/>
              <w:spacing w:before="0" w:after="144"/>
              <w:jc w:val="both"/>
              <w:rPr/>
            </w:pPr>
            <w:r>
              <w:rPr>
                <w:rtl w:val="true"/>
              </w:rPr>
              <w:t>أفضل العلوم</w:t>
            </w:r>
          </w:p>
        </w:tc>
        <w:tc>
          <w:tcPr>
            <w:tcW w:w="4320" w:type="dxa"/>
            <w:tcBorders>
              <w:top w:val="single" w:sz="4" w:space="0" w:color="000000"/>
              <w:left w:val="single" w:sz="4" w:space="0" w:color="000000"/>
              <w:bottom w:val="single" w:sz="4" w:space="0" w:color="000000"/>
              <w:right w:val="single" w:sz="4" w:space="0" w:color="000000"/>
            </w:tcBorders>
          </w:tcPr>
          <w:p>
            <w:pPr>
              <w:pStyle w:val="Body"/>
              <w:spacing w:before="0" w:after="144"/>
              <w:jc w:val="both"/>
              <w:rPr/>
            </w:pPr>
            <w:r>
              <w:rPr>
                <w:rtl w:val="true"/>
              </w:rPr>
              <w:t>أفضلها العلم بالله تعالى وأسمائه وصفاته، ثم العلم بأمره ونهيه، ثم ما يُعين على ذلك من علوم الآلة كالنحو والأصول</w:t>
            </w:r>
            <w:r>
              <w:rPr>
                <w:rtl w:val="true"/>
              </w:rPr>
              <w:t>.</w:t>
            </w:r>
          </w:p>
        </w:tc>
      </w:tr>
    </w:tbl>
    <w:p>
      <w:pPr>
        <w:pStyle w:val="Body"/>
        <w:rPr/>
      </w:pPr>
      <w:r>
        <w:rPr>
          <w:rtl w:val="true"/>
        </w:rPr>
        <w:t xml:space="preserve">ومن الكتب الحديثة في صنعة الطباعة كتاب </w:t>
      </w:r>
      <w:r>
        <w:rPr/>
        <w:t>The Elements of Typographic Style</w:t>
      </w:r>
      <w:r>
        <w:rPr>
          <w:rtl w:val="true"/>
        </w:rPr>
        <w:t xml:space="preserve"> </w:t>
      </w:r>
      <w:r>
        <w:rPr>
          <w:rtl w:val="true"/>
        </w:rPr>
        <w:t>لروبرت برنجهرست</w:t>
      </w:r>
      <w:r>
        <w:rPr>
          <w:rStyle w:val="FootnoteReference"/>
          <w:rtl w:val="true"/>
        </w:rPr>
        <w:footnoteReference w:id="8"/>
      </w:r>
      <w:r>
        <w:rPr>
          <w:rtl w:val="true"/>
        </w:rPr>
        <w:t>، وهو من أشهر ما كُتب في أصول الصفّ</w:t>
      </w:r>
      <w:r>
        <w:rPr>
          <w:rtl w:val="true"/>
        </w:rPr>
        <w:t>.</w:t>
      </w:r>
    </w:p>
    <w:p>
      <w:pPr>
        <w:pStyle w:val="Body"/>
        <w:rPr/>
      </w:pPr>
      <w:r>
        <w:rPr>
          <w:rtl w:val="true"/>
        </w:rPr>
        <w:t xml:space="preserve">وللحروف العربية في المعيار الموحّد </w:t>
      </w:r>
      <w:r>
        <w:rPr/>
        <w:t>Unicode</w:t>
      </w:r>
      <w:r>
        <w:rPr>
          <w:rtl w:val="true"/>
        </w:rPr>
        <w:t xml:space="preserve"> </w:t>
      </w:r>
      <w:r>
        <w:rPr>
          <w:rtl w:val="true"/>
        </w:rPr>
        <w:t>نطاق خاص بها</w:t>
      </w:r>
      <w:r>
        <w:rPr>
          <w:rStyle w:val="FootnoteReference"/>
          <w:rtl w:val="true"/>
        </w:rPr>
        <w:footnoteReference w:id="9"/>
      </w:r>
      <w:r>
        <w:rPr>
          <w:rtl w:val="true"/>
        </w:rPr>
        <w:t>.</w:t>
      </w:r>
    </w:p>
    <w:p>
      <w:pPr>
        <w:pStyle w:val="Heading1"/>
        <w:ind w:hanging="0" w:left="0"/>
        <w:rPr/>
      </w:pPr>
      <w:r>
        <w:rPr>
          <w:rtl w:val="true"/>
        </w:rPr>
        <w:t>المبحث الرابع</w:t>
      </w:r>
      <w:r>
        <w:rPr>
          <w:rtl w:val="true"/>
        </w:rPr>
        <w:t xml:space="preserve">: </w:t>
      </w:r>
      <w:r>
        <w:rPr>
          <w:rtl w:val="true"/>
        </w:rPr>
        <w:t>مسائل في الأرقام والرموز</w:t>
      </w:r>
    </w:p>
    <w:p>
      <w:pPr>
        <w:pStyle w:val="Body"/>
        <w:rPr/>
      </w:pPr>
      <w:r>
        <w:rPr>
          <w:rtl w:val="true"/>
        </w:rPr>
        <w:t xml:space="preserve">كُتب هذا المقال سنة </w:t>
      </w:r>
      <w:r>
        <w:rPr/>
        <w:t>2026</w:t>
      </w:r>
      <w:r>
        <w:rPr>
          <w:rtl w:val="true"/>
        </w:rPr>
        <w:t xml:space="preserve">م الموافقة لسنة </w:t>
      </w:r>
      <w:r>
        <w:rPr/>
        <w:t>١٤٤٨</w:t>
      </w:r>
      <w:r>
        <w:rPr>
          <w:rtl w:val="true"/>
        </w:rPr>
        <w:t xml:space="preserve">هـ، في نحو </w:t>
      </w:r>
      <w:r>
        <w:rPr/>
        <w:t>12</w:t>
      </w:r>
      <w:r>
        <w:rPr>
          <w:rtl w:val="true"/>
        </w:rPr>
        <w:t xml:space="preserve"> </w:t>
      </w:r>
      <w:r>
        <w:rPr>
          <w:rtl w:val="true"/>
        </w:rPr>
        <w:t xml:space="preserve">صفحة، وبلغت نسبة النصوص المنقولة فيه قرابة </w:t>
      </w:r>
      <w:r>
        <w:rPr/>
        <w:t>50</w:t>
      </w:r>
      <w:r>
        <w:rPr>
          <w:rtl w:val="true"/>
        </w:rPr>
        <w:t>%</w:t>
      </w:r>
      <w:r>
        <w:rPr>
          <w:rtl w:val="true"/>
        </w:rPr>
        <w:t xml:space="preserve">، وتاريخ آخر مراجعة له </w:t>
      </w:r>
      <w:r>
        <w:rPr/>
        <w:t>2026/10/14</w:t>
      </w:r>
      <w:r>
        <w:rPr>
          <w:rtl w:val="true"/>
        </w:rPr>
        <w:t>.</w:t>
      </w:r>
    </w:p>
    <w:p>
      <w:pPr>
        <w:pStyle w:val="Body"/>
        <w:rPr/>
      </w:pPr>
      <w:r>
        <w:rPr>
          <w:rtl w:val="true"/>
        </w:rPr>
        <w:t>وللتواصل</w:t>
      </w:r>
      <w:r>
        <w:rPr>
          <w:rtl w:val="true"/>
        </w:rPr>
        <w:t xml:space="preserve">: </w:t>
      </w:r>
      <w:r>
        <w:rPr/>
        <w:t>hi@iiammar.com</w:t>
      </w:r>
      <w:r>
        <w:rPr>
          <w:rtl w:val="true"/>
        </w:rPr>
        <w:t>، وصفحة الأداة</w:t>
      </w:r>
      <w:r>
        <w:rPr>
          <w:rtl w:val="true"/>
        </w:rPr>
        <w:t xml:space="preserve">: </w:t>
      </w:r>
      <w:r>
        <w:rPr/>
        <w:t>iiammar.com/saffaf</w:t>
      </w:r>
      <w:r>
        <w:rPr>
          <w:rtl w:val="true"/>
        </w:rPr>
        <w:t>.</w:t>
      </w:r>
    </w:p>
    <w:p>
      <w:pPr>
        <w:pStyle w:val="Body"/>
        <w:rPr/>
      </w:pPr>
      <w:r>
        <w:rPr>
          <w:rtl w:val="true"/>
        </w:rPr>
        <w:t xml:space="preserve">وقد تأتي الأرقام بين أقواس مختلفة، مثل </w:t>
      </w:r>
      <w:r>
        <w:rPr>
          <w:rtl w:val="true"/>
        </w:rPr>
        <w:t>(</w:t>
      </w:r>
      <w:r>
        <w:rPr/>
        <w:t>12</w:t>
      </w:r>
      <w:r>
        <w:rPr>
          <w:rtl w:val="true"/>
        </w:rPr>
        <w:t xml:space="preserve">) </w:t>
      </w:r>
      <w:r>
        <w:rPr>
          <w:rtl w:val="true"/>
        </w:rPr>
        <w:t>و</w:t>
      </w:r>
      <w:r>
        <w:rPr>
          <w:rtl w:val="true"/>
        </w:rPr>
        <w:t>[</w:t>
      </w:r>
      <w:r>
        <w:rPr/>
        <w:t>3</w:t>
      </w:r>
      <w:r>
        <w:rPr>
          <w:rtl w:val="true"/>
        </w:rPr>
        <w:t xml:space="preserve">] </w:t>
      </w:r>
      <w:r>
        <w:rPr>
          <w:rtl w:val="true"/>
        </w:rPr>
        <w:t>و</w:t>
      </w:r>
      <w:r>
        <w:rPr>
          <w:rtl w:val="true"/>
        </w:rPr>
        <w:t>{</w:t>
      </w:r>
      <w:r>
        <w:rPr/>
        <w:t>5</w:t>
      </w:r>
      <w:r>
        <w:rPr>
          <w:rtl w:val="true"/>
        </w:rPr>
        <w:t>}</w:t>
      </w:r>
      <w:r>
        <w:rPr>
          <w:rtl w:val="true"/>
        </w:rPr>
        <w:t xml:space="preserve">، وقد تأتي مركّبة مثل </w:t>
      </w:r>
      <w:r>
        <w:rPr/>
        <w:t>1/2</w:t>
      </w:r>
      <w:r>
        <w:rPr>
          <w:rtl w:val="true"/>
        </w:rPr>
        <w:t xml:space="preserve"> </w:t>
      </w:r>
      <w:r>
        <w:rPr>
          <w:rtl w:val="true"/>
        </w:rPr>
        <w:t>و</w:t>
      </w:r>
      <w:r>
        <w:rPr/>
        <w:t>3</w:t>
      </w:r>
      <w:r>
        <w:rPr>
          <w:rtl w:val="true"/>
        </w:rPr>
        <w:t>-</w:t>
      </w:r>
      <w:r>
        <w:rPr/>
        <w:t>4</w:t>
      </w:r>
      <w:r>
        <w:rPr>
          <w:rtl w:val="true"/>
        </w:rPr>
        <w:t>.</w:t>
      </w:r>
    </w:p>
    <w:p>
      <w:pPr>
        <w:pStyle w:val="Body"/>
        <w:rPr/>
      </w:pPr>
      <w:r>
        <w:rPr>
          <w:rtl w:val="true"/>
        </w:rPr>
        <w:t>وسنكمل الحديث في مقال قادم إنشاء الله، علي الرغم من كثرة المشاغل</w:t>
      </w:r>
      <w:r>
        <w:rPr>
          <w:rtl w:val="true"/>
        </w:rPr>
        <w:t>.</w:t>
      </w:r>
    </w:p>
    <w:p>
      <w:pPr>
        <w:pStyle w:val="Body"/>
        <w:rPr/>
      </w:pPr>
      <w:r>
        <w:rPr>
          <w:rtl w:val="true"/>
        </w:rPr>
        <w:t xml:space="preserve">وقال النبي </w:t>
      </w:r>
      <w:r>
        <w:rPr>
          <w:rFonts w:cs="AGA Arabesque" w:ascii="AGA Arabesque" w:hAnsi="AGA Arabesque"/>
        </w:rPr>
        <w:t>a</w:t>
      </w:r>
      <w:r>
        <w:rPr>
          <w:rtl w:val="true"/>
        </w:rPr>
        <w:t>: «</w:t>
      </w:r>
      <w:r>
        <w:rPr>
          <w:rtl w:val="true"/>
        </w:rPr>
        <w:t>الدين النصيحة</w:t>
      </w:r>
      <w:r>
        <w:rPr>
          <w:rtl w:val="true"/>
        </w:rPr>
        <w:t>»</w:t>
      </w:r>
      <w:r>
        <w:rPr>
          <w:rStyle w:val="FootnoteReference"/>
          <w:rtl w:val="true"/>
        </w:rPr>
        <w:footnoteReference w:id="10"/>
      </w:r>
      <w:r>
        <w:rPr>
          <w:rtl w:val="true"/>
        </w:rPr>
        <w:t>.</w:t>
      </w:r>
    </w:p>
    <w:p>
      <w:pPr>
        <w:pStyle w:val="Heading1"/>
        <w:ind w:hanging="0" w:left="0"/>
        <w:rPr/>
      </w:pPr>
      <w:r>
        <w:rPr>
          <w:rtl w:val="true"/>
        </w:rPr>
        <w:t>الخاتمة</w:t>
      </w:r>
    </w:p>
    <w:p>
      <w:pPr>
        <w:pStyle w:val="Body"/>
        <w:rPr/>
      </w:pPr>
      <w:r>
        <w:rPr>
          <w:rtl w:val="true"/>
        </w:rPr>
        <w:t>في ختام هذا المقال يتبيّن أن العلم أساس بناء الإنسان، وأن الأمة لا تنهض إلا به، وأن طالب العلم ينبغي أن يجمع بين التحصيل والعمل والأدب</w:t>
      </w:r>
      <w:r>
        <w:rPr>
          <w:rtl w:val="true"/>
        </w:rPr>
        <w:t>.</w:t>
      </w:r>
    </w:p>
    <w:p>
      <w:pPr>
        <w:pStyle w:val="Body"/>
        <w:rPr>
          <w:b/>
          <w:bCs/>
        </w:rPr>
      </w:pPr>
      <w:r>
        <w:rPr>
          <w:b/>
          <w:bCs/>
          <w:rtl w:val="true"/>
        </w:rPr>
        <w:t>أهم النتائج</w:t>
      </w:r>
      <w:r>
        <w:rPr>
          <w:b/>
          <w:bCs/>
          <w:rtl w:val="true"/>
        </w:rPr>
        <w:t>:</w:t>
      </w:r>
    </w:p>
    <w:p>
      <w:pPr>
        <w:pStyle w:val="Body"/>
        <w:rPr/>
      </w:pPr>
      <w:r>
        <w:rPr/>
        <w:t>١</w:t>
      </w:r>
      <w:r>
        <w:rPr>
          <w:rtl w:val="true"/>
        </w:rPr>
        <w:t xml:space="preserve">- </w:t>
      </w:r>
      <w:r>
        <w:rPr>
          <w:rtl w:val="true"/>
        </w:rPr>
        <w:t>أن القرآن الكريم رفع منزلة العلماء ونفى التسوية بينهم وبين غيرهم</w:t>
      </w:r>
      <w:r>
        <w:rPr>
          <w:rtl w:val="true"/>
        </w:rPr>
        <w:t>.</w:t>
      </w:r>
    </w:p>
    <w:p>
      <w:pPr>
        <w:pStyle w:val="Body"/>
        <w:rPr/>
      </w:pPr>
      <w:r>
        <w:rPr/>
        <w:t>٢</w:t>
      </w:r>
      <w:r>
        <w:rPr>
          <w:rtl w:val="true"/>
        </w:rPr>
        <w:t xml:space="preserve">- </w:t>
      </w:r>
      <w:r>
        <w:rPr>
          <w:rtl w:val="true"/>
        </w:rPr>
        <w:t>أن السنة النبوية جعلت الفقه في الدين علامة على إرادة الخير بالعبد</w:t>
      </w:r>
      <w:r>
        <w:rPr>
          <w:rtl w:val="true"/>
        </w:rPr>
        <w:t>.</w:t>
      </w:r>
    </w:p>
    <w:p>
      <w:pPr>
        <w:pStyle w:val="Body"/>
        <w:rPr/>
      </w:pPr>
      <w:r>
        <w:rPr/>
        <w:t>٣</w:t>
      </w:r>
      <w:r>
        <w:rPr>
          <w:rtl w:val="true"/>
        </w:rPr>
        <w:t xml:space="preserve">- </w:t>
      </w:r>
      <w:r>
        <w:rPr>
          <w:rtl w:val="true"/>
        </w:rPr>
        <w:t>أن لطالب العلم آدابًا لا يستقيم طلبه إلا بها</w:t>
      </w:r>
      <w:r>
        <w:rPr>
          <w:rtl w:val="true"/>
        </w:rPr>
        <w:t>.</w:t>
      </w:r>
    </w:p>
    <w:p>
      <w:pPr>
        <w:pStyle w:val="Heading1"/>
        <w:ind w:hanging="0" w:left="0"/>
        <w:rPr/>
      </w:pPr>
      <w:r>
        <w:rPr>
          <w:rtl w:val="true"/>
        </w:rPr>
        <w:t>المصادر والمراجع</w:t>
      </w:r>
    </w:p>
    <w:p>
      <w:pPr>
        <w:pStyle w:val="Body"/>
        <w:rPr/>
      </w:pPr>
      <w:r>
        <w:rPr/>
        <w:t>١</w:t>
      </w:r>
      <w:r>
        <w:rPr>
          <w:rtl w:val="true"/>
        </w:rPr>
        <w:t xml:space="preserve">- </w:t>
      </w:r>
      <w:r>
        <w:rPr>
          <w:rtl w:val="true"/>
        </w:rPr>
        <w:t>القرآن الكريم</w:t>
      </w:r>
      <w:r>
        <w:rPr>
          <w:rtl w:val="true"/>
        </w:rPr>
        <w:t>.</w:t>
      </w:r>
    </w:p>
    <w:p>
      <w:pPr>
        <w:pStyle w:val="Body"/>
        <w:rPr/>
      </w:pPr>
      <w:r>
        <w:rPr/>
        <w:t>٢</w:t>
      </w:r>
      <w:r>
        <w:rPr>
          <w:rtl w:val="true"/>
        </w:rPr>
        <w:t xml:space="preserve">- </w:t>
      </w:r>
      <w:r>
        <w:rPr>
          <w:rtl w:val="true"/>
        </w:rPr>
        <w:t xml:space="preserve">صحيح البخاري، محمد بن إسماعيل البخاري </w:t>
      </w:r>
      <w:r>
        <w:rPr>
          <w:rtl w:val="true"/>
        </w:rPr>
        <w:t>(</w:t>
      </w:r>
      <w:r>
        <w:rPr>
          <w:rtl w:val="true"/>
        </w:rPr>
        <w:t>ت</w:t>
      </w:r>
      <w:r>
        <w:rPr>
          <w:rtl w:val="true"/>
        </w:rPr>
        <w:t xml:space="preserve">: </w:t>
      </w:r>
      <w:r>
        <w:rPr/>
        <w:t>256</w:t>
      </w:r>
      <w:r>
        <w:rPr>
          <w:rtl w:val="true"/>
        </w:rPr>
        <w:t>هـ</w:t>
      </w:r>
      <w:r>
        <w:rPr>
          <w:rtl w:val="true"/>
        </w:rPr>
        <w:t>).</w:t>
      </w:r>
    </w:p>
    <w:p>
      <w:pPr>
        <w:pStyle w:val="Body"/>
        <w:rPr/>
      </w:pPr>
      <w:r>
        <w:rPr/>
        <w:t>٣</w:t>
      </w:r>
      <w:r>
        <w:rPr>
          <w:rtl w:val="true"/>
        </w:rPr>
        <w:t xml:space="preserve">- </w:t>
      </w:r>
      <w:r>
        <w:rPr>
          <w:rtl w:val="true"/>
        </w:rPr>
        <w:t xml:space="preserve">صحيح مسلم، مسلم بن الحجاج النيسابوري </w:t>
      </w:r>
      <w:r>
        <w:rPr>
          <w:rtl w:val="true"/>
        </w:rPr>
        <w:t>(</w:t>
      </w:r>
      <w:r>
        <w:rPr>
          <w:rtl w:val="true"/>
        </w:rPr>
        <w:t>ت</w:t>
      </w:r>
      <w:r>
        <w:rPr>
          <w:rtl w:val="true"/>
        </w:rPr>
        <w:t xml:space="preserve">: </w:t>
      </w:r>
      <w:r>
        <w:rPr/>
        <w:t>261</w:t>
      </w:r>
      <w:r>
        <w:rPr>
          <w:rtl w:val="true"/>
        </w:rPr>
        <w:t>هـ</w:t>
      </w:r>
      <w:r>
        <w:rPr>
          <w:rtl w:val="true"/>
        </w:rPr>
        <w:t>).</w:t>
      </w:r>
    </w:p>
    <w:p>
      <w:pPr>
        <w:pStyle w:val="Body"/>
        <w:rPr/>
      </w:pPr>
      <w:r>
        <w:rPr/>
        <w:t>٤</w:t>
      </w:r>
      <w:r>
        <w:rPr>
          <w:rtl w:val="true"/>
        </w:rPr>
        <w:t xml:space="preserve">- </w:t>
      </w:r>
      <w:r>
        <w:rPr>
          <w:rtl w:val="true"/>
        </w:rPr>
        <w:t xml:space="preserve">جامع بيان العلم وفضله، يوسف بن عبد الله بن عبد البر </w:t>
      </w:r>
      <w:r>
        <w:rPr>
          <w:rtl w:val="true"/>
        </w:rPr>
        <w:t>(</w:t>
      </w:r>
      <w:r>
        <w:rPr>
          <w:rtl w:val="true"/>
        </w:rPr>
        <w:t>ت</w:t>
      </w:r>
      <w:r>
        <w:rPr>
          <w:rtl w:val="true"/>
        </w:rPr>
        <w:t xml:space="preserve">: </w:t>
      </w:r>
      <w:r>
        <w:rPr/>
        <w:t>463</w:t>
      </w:r>
      <w:r>
        <w:rPr>
          <w:rtl w:val="true"/>
        </w:rPr>
        <w:t>هـ</w:t>
      </w:r>
      <w:r>
        <w:rPr>
          <w:rtl w:val="true"/>
        </w:rPr>
        <w:t>).</w:t>
      </w:r>
    </w:p>
    <w:p>
      <w:pPr>
        <w:pStyle w:val="Body"/>
        <w:spacing w:before="0" w:after="144"/>
        <w:jc w:val="both"/>
        <w:rPr/>
      </w:pPr>
      <w:r>
        <w:rPr/>
        <w:t>٥</w:t>
      </w:r>
      <w:r>
        <w:rPr>
          <w:rtl w:val="true"/>
        </w:rPr>
        <w:t xml:space="preserve">- </w:t>
      </w:r>
      <w:r>
        <w:rPr/>
        <w:t>Bringhurst, Robert. The Elements of Typographic Style. Hartley &amp; Marks, 1992</w:t>
      </w:r>
      <w:r>
        <w:rPr>
          <w:rtl w:val="true"/>
        </w:rPr>
        <w:t>.</w:t>
      </w:r>
    </w:p>
    <w:sectPr>
      <w:footnotePr>
        <w:numFmt w:val="decimal"/>
      </w:footnote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AGA Arabesque">
    <w:charset w:val="00"/>
    <w:family w:val="auto"/>
    <w:pitch w:val="default"/>
  </w:font>
  <w:font w:name="Symbol">
    <w:charset w:val="02"/>
    <w:family w:val="auto"/>
    <w:pitch w:val="default"/>
  </w:font>
  <w:font w:name="Wingdings 2">
    <w:charset w:val="02"/>
    <w:family w:val="auto"/>
    <w:pitch w:val="default"/>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rPr/>
      </w:pPr>
      <w:r>
        <w:rPr>
          <w:rStyle w:val="FootnoteCharacters"/>
        </w:rPr>
        <w:footnoteRef/>
      </w:r>
      <w:r>
        <w:rPr>
          <w:rtl w:val="true"/>
        </w:rPr>
        <w:t xml:space="preserve">انظر تفسير هذه الآية في كتب التفسير المعتمدة، ومنها تفسير ابن كثير </w:t>
      </w:r>
      <w:r>
        <w:rPr>
          <w:rtl w:val="true"/>
        </w:rPr>
        <w:t>(</w:t>
      </w:r>
      <w:r>
        <w:rPr>
          <w:rtl w:val="true"/>
        </w:rPr>
        <w:t>ت</w:t>
      </w:r>
      <w:r>
        <w:rPr>
          <w:rtl w:val="true"/>
        </w:rPr>
        <w:t xml:space="preserve">: </w:t>
      </w:r>
      <w:r>
        <w:rPr/>
        <w:t>774</w:t>
      </w:r>
      <w:r>
        <w:rPr>
          <w:rtl w:val="true"/>
        </w:rPr>
        <w:t>هـ</w:t>
      </w:r>
      <w:r>
        <w:rPr>
          <w:rtl w:val="true"/>
        </w:rPr>
        <w:t>).</w:t>
      </w:r>
    </w:p>
  </w:footnote>
  <w:footnote w:id="3">
    <w:p>
      <w:pPr>
        <w:pStyle w:val="FootnoteText"/>
        <w:rPr/>
      </w:pPr>
      <w:r>
        <w:rPr>
          <w:rStyle w:val="FootnoteCharacters"/>
        </w:rPr>
        <w:footnoteRef/>
      </w:r>
      <w:r>
        <w:rPr>
          <w:rtl w:val="true"/>
        </w:rPr>
        <w:t xml:space="preserve">ذكر هذا المعنى غير واحد من أهل العلم، منهم ابن حجر العسقلاني </w:t>
      </w:r>
      <w:r>
        <w:rPr>
          <w:rtl w:val="true"/>
        </w:rPr>
        <w:t>(</w:t>
      </w:r>
      <w:r>
        <w:rPr>
          <w:rtl w:val="true"/>
        </w:rPr>
        <w:t>ت</w:t>
      </w:r>
      <w:r>
        <w:rPr>
          <w:rtl w:val="true"/>
        </w:rPr>
        <w:t xml:space="preserve">: </w:t>
      </w:r>
      <w:r>
        <w:rPr/>
        <w:t>852</w:t>
      </w:r>
      <w:r>
        <w:rPr>
          <w:rtl w:val="true"/>
        </w:rPr>
        <w:t>هـ</w:t>
      </w:r>
      <w:r>
        <w:rPr>
          <w:rtl w:val="true"/>
        </w:rPr>
        <w:t xml:space="preserve">) </w:t>
      </w:r>
      <w:r>
        <w:rPr>
          <w:rtl w:val="true"/>
        </w:rPr>
        <w:t>في شرحه على صحيح البخاري، في كتاب العلم</w:t>
      </w:r>
      <w:r>
        <w:rPr>
          <w:rtl w:val="true"/>
        </w:rPr>
        <w:t>.</w:t>
      </w:r>
    </w:p>
  </w:footnote>
  <w:footnote w:id="4">
    <w:p>
      <w:pPr>
        <w:pStyle w:val="FootnoteText"/>
        <w:rPr/>
      </w:pPr>
      <w:r>
        <w:rPr>
          <w:rStyle w:val="FootnoteCharacters"/>
        </w:rPr>
        <w:footnoteRef/>
      </w:r>
      <w:r>
        <w:rPr>
          <w:rtl w:val="true"/>
        </w:rPr>
        <w:t>ومن ذلك آية الكرسي، وأولها</w:t>
      </w:r>
      <w:r>
        <w:rPr>
          <w:rtl w:val="true"/>
        </w:rPr>
        <w:t xml:space="preserve">: </w:t>
      </w:r>
      <w:r>
        <w:rPr>
          <w:rtl w:val="true"/>
        </w:rPr>
        <w:t xml:space="preserve">﴿اللَّهُ لَا إِلَٰهَ إِلَّا هُوَ الْحَيُّ الْقَيُّومُ﴾ </w:t>
      </w:r>
      <w:r>
        <w:rPr>
          <w:rtl w:val="true"/>
        </w:rPr>
        <w:t>[</w:t>
      </w:r>
      <w:r>
        <w:rPr>
          <w:rtl w:val="true"/>
        </w:rPr>
        <w:t>البقرة</w:t>
      </w:r>
      <w:r>
        <w:rPr>
          <w:rtl w:val="true"/>
        </w:rPr>
        <w:t xml:space="preserve">: </w:t>
      </w:r>
      <w:r>
        <w:rPr/>
        <w:t>255</w:t>
      </w:r>
      <w:r>
        <w:rPr>
          <w:rtl w:val="true"/>
        </w:rPr>
        <w:t>].</w:t>
      </w:r>
    </w:p>
  </w:footnote>
  <w:footnote w:id="5">
    <w:p>
      <w:pPr>
        <w:pStyle w:val="FootnoteText"/>
        <w:rPr/>
      </w:pPr>
      <w:r>
        <w:rPr>
          <w:rStyle w:val="FootnoteCharacters"/>
        </w:rPr>
        <w:footnoteRef/>
      </w:r>
      <w:r>
        <w:rPr>
          <w:rtl w:val="true"/>
        </w:rPr>
        <w:t xml:space="preserve">رواه البخاري </w:t>
      </w:r>
      <w:r>
        <w:rPr>
          <w:rtl w:val="true"/>
        </w:rPr>
        <w:t>(</w:t>
      </w:r>
      <w:r>
        <w:rPr/>
        <w:t>71</w:t>
      </w:r>
      <w:r>
        <w:rPr>
          <w:rtl w:val="true"/>
        </w:rPr>
        <w:t>)</w:t>
      </w:r>
      <w:r>
        <w:rPr>
          <w:rtl w:val="true"/>
        </w:rPr>
        <w:t xml:space="preserve">، ومسلم </w:t>
      </w:r>
      <w:r>
        <w:rPr>
          <w:rtl w:val="true"/>
        </w:rPr>
        <w:t>(</w:t>
      </w:r>
      <w:r>
        <w:rPr/>
        <w:t>1037</w:t>
      </w:r>
      <w:r>
        <w:rPr>
          <w:rtl w:val="true"/>
        </w:rPr>
        <w:t>).</w:t>
      </w:r>
    </w:p>
  </w:footnote>
  <w:footnote w:id="6">
    <w:p>
      <w:pPr>
        <w:pStyle w:val="FootnoteText"/>
        <w:rPr/>
      </w:pPr>
      <w:r>
        <w:rPr>
          <w:rStyle w:val="FootnoteCharacters"/>
        </w:rPr>
        <w:footnoteRef/>
      </w:r>
      <w:r>
        <w:rPr>
          <w:rtl w:val="true"/>
        </w:rPr>
        <w:t xml:space="preserve">رواه مسلم </w:t>
      </w:r>
      <w:r>
        <w:rPr>
          <w:rtl w:val="true"/>
        </w:rPr>
        <w:t>(</w:t>
      </w:r>
      <w:r>
        <w:rPr/>
        <w:t>2699</w:t>
      </w:r>
      <w:r>
        <w:rPr>
          <w:rtl w:val="true"/>
        </w:rPr>
        <w:t>).</w:t>
      </w:r>
    </w:p>
  </w:footnote>
  <w:footnote w:id="7">
    <w:p>
      <w:pPr>
        <w:pStyle w:val="FootnoteText"/>
        <w:rPr/>
      </w:pPr>
      <w:r>
        <w:rPr>
          <w:rStyle w:val="FootnoteCharacters"/>
        </w:rPr>
        <w:footnoteRef/>
      </w:r>
      <w:r>
        <w:rPr>
          <w:rtl w:val="true"/>
        </w:rPr>
        <w:t>هذه حاشية طويلة يُختبر بها تعليق السطر الثاني وما بعده تحت أول النص لا تحت رقم الحاشية، وضبط الحاشية من الطرفين</w:t>
      </w:r>
      <w:r>
        <w:rPr>
          <w:rtl w:val="true"/>
        </w:rPr>
        <w:t xml:space="preserve">. </w:t>
      </w:r>
      <w:r>
        <w:rPr>
          <w:rtl w:val="true"/>
        </w:rPr>
        <w:t xml:space="preserve">وقد ذكر النووي </w:t>
      </w:r>
      <w:r>
        <w:rPr>
          <w:rtl w:val="true"/>
        </w:rPr>
        <w:t>(</w:t>
      </w:r>
      <w:r>
        <w:rPr>
          <w:rtl w:val="true"/>
        </w:rPr>
        <w:t>ت</w:t>
      </w:r>
      <w:r>
        <w:rPr>
          <w:rtl w:val="true"/>
        </w:rPr>
        <w:t xml:space="preserve">: </w:t>
      </w:r>
      <w:r>
        <w:rPr/>
        <w:t>676</w:t>
      </w:r>
      <w:r>
        <w:rPr>
          <w:rtl w:val="true"/>
        </w:rPr>
        <w:t>هـ</w:t>
      </w:r>
      <w:r>
        <w:rPr>
          <w:rtl w:val="true"/>
        </w:rPr>
        <w:t xml:space="preserve">) </w:t>
      </w:r>
      <w:r>
        <w:rPr>
          <w:rtl w:val="true"/>
        </w:rPr>
        <w:t xml:space="preserve">في مقدمة كتابه المجموع فصولًا نافعة في آداب العالم والمتعلم، وذكر ابن جماعة </w:t>
      </w:r>
      <w:r>
        <w:rPr>
          <w:rtl w:val="true"/>
        </w:rPr>
        <w:t>(</w:t>
      </w:r>
      <w:r>
        <w:rPr>
          <w:rtl w:val="true"/>
        </w:rPr>
        <w:t>ت</w:t>
      </w:r>
      <w:r>
        <w:rPr>
          <w:rtl w:val="true"/>
        </w:rPr>
        <w:t xml:space="preserve">: </w:t>
      </w:r>
      <w:r>
        <w:rPr/>
        <w:t>733</w:t>
      </w:r>
      <w:r>
        <w:rPr>
          <w:rtl w:val="true"/>
        </w:rPr>
        <w:t>هـ</w:t>
      </w:r>
      <w:r>
        <w:rPr>
          <w:rtl w:val="true"/>
        </w:rPr>
        <w:t xml:space="preserve">) </w:t>
      </w:r>
      <w:r>
        <w:rPr>
          <w:rtl w:val="true"/>
        </w:rPr>
        <w:t>نحوها في كتابه تذكرة السامع والمتكلم، وهما من أجمع ما كُتب في هذا الباب</w:t>
      </w:r>
      <w:r>
        <w:rPr>
          <w:rtl w:val="true"/>
        </w:rPr>
        <w:t>.</w:t>
      </w:r>
    </w:p>
  </w:footnote>
  <w:footnote w:id="8">
    <w:p>
      <w:pPr>
        <w:pStyle w:val="FootnoteText"/>
        <w:rPr/>
      </w:pPr>
      <w:r>
        <w:rPr>
          <w:rStyle w:val="FootnoteCharacters"/>
        </w:rPr>
        <w:footnoteRef/>
      </w:r>
      <w:r>
        <w:rPr/>
        <w:t>Bringhurst, Robert. The Elements of Typographic Style. Hartley &amp; Marks, 1992</w:t>
      </w:r>
      <w:r>
        <w:rPr>
          <w:rtl w:val="true"/>
        </w:rPr>
        <w:t>.</w:t>
      </w:r>
    </w:p>
  </w:footnote>
  <w:footnote w:id="9">
    <w:p>
      <w:pPr>
        <w:pStyle w:val="FootnoteText"/>
        <w:rPr/>
      </w:pPr>
      <w:r>
        <w:rPr>
          <w:rStyle w:val="FootnoteCharacters"/>
        </w:rPr>
        <w:footnoteRef/>
      </w:r>
      <w:r>
        <w:rPr/>
        <w:t>See the Unicode Standard, Arabic block: https://www.unicode.org/charts/PDF/U0600.pdf</w:t>
      </w:r>
    </w:p>
  </w:footnote>
  <w:footnote w:id="10">
    <w:p>
      <w:pPr>
        <w:pStyle w:val="FootnoteText"/>
        <w:rPr/>
      </w:pPr>
      <w:r>
        <w:rPr>
          <w:rStyle w:val="FootnoteCharacters"/>
        </w:rPr>
        <w:footnoteRef/>
      </w:r>
      <w:r>
        <w:rPr>
          <w:rtl w:val="true"/>
        </w:rPr>
        <w:t xml:space="preserve">رواه مسلم </w:t>
      </w:r>
      <w:r>
        <w:rPr>
          <w:rtl w:val="true"/>
        </w:rPr>
        <w:t>(</w:t>
      </w:r>
      <w:r>
        <w:rPr/>
        <w:t>55</w:t>
      </w:r>
      <w:r>
        <w:rPr>
          <w:rtl w:val="true"/>
        </w:rPr>
        <w:t>).</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suff w:val="nothing"/>
      <w:lvlText w:val="%1."/>
      <w:lvlJc w:val="left"/>
      <w:pPr>
        <w:tabs>
          <w:tab w:val="num" w:pos="0"/>
        </w:tabs>
        <w:ind w:left="0" w:hanging="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suff w:val="nothing"/>
      <w:lvlText w:val=""/>
      <w:lvlJc w:val="left"/>
      <w:pPr>
        <w:tabs>
          <w:tab w:val="num" w:pos="0"/>
        </w:tabs>
        <w:ind w:left="0" w:hanging="0"/>
      </w:pPr>
      <w:rPr>
        <w:rFonts w:ascii="Symbol" w:hAnsi="Symbol" w:cs="Symbol" w:hint="default"/>
      </w:rPr>
    </w:lvl>
    <w:lvl w:ilvl="1">
      <w:start w:val="1"/>
      <w:numFmt w:val="bullet"/>
      <w:suff w:val="nothing"/>
      <w:lvlText w:val=""/>
      <w:lvlJc w:val="left"/>
      <w:pPr>
        <w:tabs>
          <w:tab w:val="num" w:pos="0"/>
        </w:tabs>
        <w:ind w:left="0" w:hanging="0"/>
      </w:pPr>
      <w:rPr>
        <w:rFonts w:ascii="Wingdings 2" w:hAnsi="Wingdings 2" w:cs="Wingdings 2"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footnotePr>
    <w:numFmt w:val="decimal"/>
    <w:footnote w:id="0"/>
    <w:footnote w:id="1"/>
  </w:footnotePr>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Simplified Arabic"/>
        <w:kern w:val="2"/>
        <w:sz w:val="24"/>
        <w:szCs w:val="28"/>
        <w:lang w:val="en-US" w:eastAsia="zh-CN" w:bidi="ar-SA"/>
      </w:rPr>
    </w:rPrDefault>
    <w:pPrDefault>
      <w:pPr>
        <w:suppressAutoHyphens w:val="true"/>
      </w:pPr>
    </w:pPrDefault>
  </w:docDefaults>
  <w:style w:type="paragraph" w:styleId="Normal">
    <w:name w:val="Normal"/>
    <w:qFormat/>
    <w:pPr>
      <w:widowControl w:val="false"/>
      <w:bidi w:val="1"/>
      <w:jc w:val="right"/>
    </w:pPr>
    <w:rPr>
      <w:rFonts w:ascii="Liberation Serif" w:hAnsi="Liberation Serif" w:eastAsia="Noto Serif CJK SC" w:cs="Simplified Arabic"/>
      <w:color w:val="auto"/>
      <w:kern w:val="2"/>
      <w:sz w:val="24"/>
      <w:szCs w:val="28"/>
      <w:lang w:val="en-US" w:eastAsia="zh-CN" w:bidi="ar-SA"/>
    </w:rPr>
  </w:style>
  <w:style w:type="paragraph" w:styleId="Heading1">
    <w:name w:val="Heading 1"/>
    <w:next w:val="BodyText"/>
    <w:qFormat/>
    <w:pPr>
      <w:widowControl w:val="false"/>
      <w:numPr>
        <w:ilvl w:val="0"/>
        <w:numId w:val="1"/>
      </w:numPr>
      <w:bidi w:val="1"/>
      <w:jc w:val="right"/>
      <w:outlineLvl w:val="0"/>
    </w:pPr>
    <w:rPr>
      <w:rFonts w:ascii="Liberation Serif" w:hAnsi="Liberation Serif" w:eastAsia="Noto Serif CJK SC" w:cs="Simplified Arabic"/>
      <w:bCs/>
      <w:color w:val="auto"/>
      <w:kern w:val="2"/>
      <w:sz w:val="24"/>
      <w:szCs w:val="36"/>
      <w:lang w:val="en-US" w:eastAsia="zh-CN" w:bidi="ar-SA"/>
    </w:rPr>
  </w:style>
  <w:style w:type="paragraph" w:styleId="Heading2">
    <w:name w:val="Heading 2"/>
    <w:next w:val="BodyText"/>
    <w:qFormat/>
    <w:pPr>
      <w:widowControl w:val="false"/>
      <w:numPr>
        <w:ilvl w:val="1"/>
        <w:numId w:val="1"/>
      </w:numPr>
      <w:bidi w:val="1"/>
      <w:jc w:val="right"/>
      <w:outlineLvl w:val="1"/>
    </w:pPr>
    <w:rPr>
      <w:rFonts w:ascii="Liberation Serif" w:hAnsi="Liberation Serif" w:eastAsia="Noto Serif CJK SC" w:cs="Simplified Arabic"/>
      <w:bCs/>
      <w:color w:val="auto"/>
      <w:kern w:val="2"/>
      <w:sz w:val="24"/>
      <w:szCs w:val="32"/>
      <w:lang w:val="en-US" w:eastAsia="zh-CN" w:bidi="ar-SA"/>
    </w:rPr>
  </w:style>
  <w:style w:type="paragraph" w:styleId="Heading3">
    <w:name w:val="Heading 3"/>
    <w:next w:val="BodyText"/>
    <w:qFormat/>
    <w:pPr>
      <w:widowControl w:val="false"/>
      <w:numPr>
        <w:ilvl w:val="2"/>
        <w:numId w:val="1"/>
      </w:numPr>
      <w:bidi w:val="1"/>
      <w:jc w:val="right"/>
      <w:outlineLvl w:val="2"/>
    </w:pPr>
    <w:rPr>
      <w:rFonts w:ascii="Liberation Serif" w:hAnsi="Liberation Serif" w:eastAsia="Noto Serif CJK SC" w:cs="Simplified Arabic"/>
      <w:bCs/>
      <w:color w:val="auto"/>
      <w:kern w:val="2"/>
      <w:sz w:val="24"/>
      <w:szCs w:val="28"/>
      <w:lang w:val="en-US" w:eastAsia="zh-CN" w:bidi="ar-SA"/>
    </w:rPr>
  </w:style>
  <w:style w:type="character" w:styleId="FootnoteCharacters">
    <w:name w:val="Footnote Characters"/>
    <w:qForma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Body">
    <w:name w:val="Body"/>
    <w:qFormat/>
    <w:pPr>
      <w:widowControl w:val="false"/>
      <w:bidi w:val="1"/>
      <w:spacing w:before="0" w:after="144"/>
      <w:jc w:val="both"/>
    </w:pPr>
    <w:rPr>
      <w:rFonts w:ascii="Liberation Serif" w:hAnsi="Liberation Serif" w:eastAsia="Noto Serif CJK SC" w:cs="Simplified Arabic"/>
      <w:color w:val="auto"/>
      <w:kern w:val="2"/>
      <w:sz w:val="24"/>
      <w:szCs w:val="28"/>
      <w:lang w:val="en-US" w:eastAsia="zh-CN" w:bidi="ar-SA"/>
    </w:rPr>
  </w:style>
  <w:style w:type="paragraph" w:styleId="Head">
    <w:name w:val="Head"/>
    <w:qFormat/>
    <w:pPr>
      <w:widowControl w:val="false"/>
      <w:bidi w:val="1"/>
      <w:jc w:val="right"/>
    </w:pPr>
    <w:rPr>
      <w:rFonts w:ascii="Liberation Serif" w:hAnsi="Liberation Serif" w:eastAsia="Noto Serif CJK SC" w:cs="Simplified Arabic"/>
      <w:b/>
      <w:bCs/>
      <w:color w:val="auto"/>
      <w:kern w:val="2"/>
      <w:sz w:val="24"/>
      <w:szCs w:val="28"/>
      <w:lang w:val="en-US" w:eastAsia="zh-CN" w:bidi="ar-SA"/>
    </w:rPr>
  </w:style>
  <w:style w:type="paragraph" w:styleId="Title">
    <w:name w:val="Title"/>
    <w:next w:val="BodyText"/>
    <w:qFormat/>
    <w:pPr>
      <w:widowControl w:val="false"/>
      <w:bidi w:val="1"/>
      <w:jc w:val="center"/>
    </w:pPr>
    <w:rPr>
      <w:rFonts w:ascii="Liberation Serif" w:hAnsi="Liberation Serif" w:eastAsia="Noto Serif CJK SC" w:cs="Simplified Arabic"/>
      <w:bCs/>
      <w:color w:val="auto"/>
      <w:kern w:val="2"/>
      <w:sz w:val="24"/>
      <w:szCs w:val="44"/>
      <w:lang w:val="en-US" w:eastAsia="zh-CN" w:bidi="ar-SA"/>
    </w:rPr>
  </w:style>
  <w:style w:type="paragraph" w:styleId="FootnoteText">
    <w:name w:val="Footnote Text"/>
    <w:pPr>
      <w:widowControl w:val="false"/>
      <w:bidi w:val="1"/>
      <w:jc w:val="right"/>
    </w:pPr>
    <w:rPr>
      <w:rFonts w:ascii="Liberation Serif" w:hAnsi="Liberation Serif" w:eastAsia="Noto Serif CJK SC" w:cs="Simplified Arabic"/>
      <w:color w:val="auto"/>
      <w:kern w:val="2"/>
      <w:sz w:val="24"/>
      <w:szCs w:val="24"/>
      <w:lang w:val="en-US" w:eastAsia="zh-CN" w:bidi="ar-SA"/>
    </w:rPr>
  </w:style>
  <w:style w:type="paragraph" w:styleId="TableContents">
    <w:name w:val="Table Contents"/>
    <w:basedOn w:val="Normal"/>
    <w:qFormat/>
    <w:pPr>
      <w:widowControl w:val="false"/>
      <w:suppressLineNumbers/>
    </w:pPr>
    <w:rPr/>
  </w:style>
  <w:style w:type="numbering" w:styleId="LNum">
    <w:name w:val="LNum"/>
    <w:qFormat/>
  </w:style>
  <w:style w:type="numbering" w:styleId="LBul">
    <w:name w:val="LBul"/>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