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E4057"/>
          <w:sz w:val="48"/>
          <w:szCs w:val="48"/>
        </w:rPr>
        <w:t xml:space="preserve">DISSERTATION AUDIT</w:t>
      </w:r>
    </w:p>
    <w:p>
      <w:pPr>
        <w:spacing w:after="60"/>
      </w:pPr>
      <w:r>
        <w:rPr>
          <w:color w:val="444444"/>
          <w:sz w:val="32"/>
          <w:szCs w:val="32"/>
        </w:rPr>
        <w:t xml:space="preserve">Psychological Narrative Engine</w:t>
      </w:r>
    </w:p>
    <w:p>
      <w:pPr>
        <w:spacing w:after="200"/>
      </w:pPr>
      <w:r>
        <w:rPr>
          <w:color w:val="888888"/>
          <w:sz w:val="20"/>
          <w:szCs w:val="20"/>
        </w:rPr>
        <w:t xml:space="preserve">CS3IP Individual Project  —  Jerome Bawa  —  University of Reading</w:t>
      </w:r>
    </w:p>
    <w:p>
      <w:pPr>
        <w:pBdr>
          <w:bottom w:val="single" w:color="CCCCCC" w:sz="4" w:space="1"/>
        </w:pBdr>
        <w:spacing w:after="160"/>
      </w:pPr>
      <w:r>
        <w:t xml:space="preserve"/>
      </w:r>
    </w:p>
    <w:p>
      <w:pPr>
        <w:pStyle w:val="Heading2"/>
      </w:pPr>
      <w:r>
        <w:t xml:space="preserve">Summary metrics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5F5F3" w:val="clear"/>
            <w:tcMar>
              <w:top w:type="dxa" w:w="120"/>
              <w:left w:type="dxa" w:w="160"/>
              <w:bottom w:type="dxa" w:w="120"/>
              <w:right w:type="dxa" w:w="160"/>
            </w:tcMar>
          </w:tcPr>
          <w:p>
            <w:pPr>
              <w:spacing w:after="40"/>
            </w:pPr>
            <w:r>
              <w:rPr>
                <w:color w:val="666666"/>
                <w:sz w:val="20"/>
                <w:szCs w:val="20"/>
              </w:rPr>
              <w:t xml:space="preserve">Estimated report score</w:t>
            </w:r>
          </w:p>
          <w:p>
            <w:pPr>
              <w:spacing w:after="40"/>
            </w:pPr>
            <w:r>
              <w:rPr>
                <w:b/>
                <w:bCs/>
                <w:color w:val="1A1A1A"/>
                <w:sz w:val="36"/>
                <w:szCs w:val="36"/>
              </w:rPr>
              <w:t xml:space="preserve">78–84</w:t>
            </w:r>
          </w:p>
          <w:p>
            <w:r>
              <w:rPr>
                <w:color w:val="888888"/>
                <w:sz w:val="18"/>
                <w:szCs w:val="18"/>
              </w:rPr>
              <w:t xml:space="preserve">out of 100 (report component)</w:t>
            </w:r>
          </w:p>
        </w:tc>
        <w:tc>
          <w:tcPr>
            <w:tcW w:type="dxa" w:w="2340"/>
            <w:tcBorders>
              <w:top w:val="single" w:color="CCCCCC" w:sz="1"/>
              <w:left w:val="single" w:color="CCCCCC" w:sz="1"/>
              <w:bottom w:val="single" w:color="CCCCCC" w:sz="1"/>
              <w:right w:val="single" w:color="CCCCCC" w:sz="1"/>
            </w:tcBorders>
            <w:shd w:fill="F5F5F3" w:val="clear"/>
            <w:tcMar>
              <w:top w:type="dxa" w:w="120"/>
              <w:left w:type="dxa" w:w="160"/>
              <w:bottom w:type="dxa" w:w="120"/>
              <w:right w:type="dxa" w:w="160"/>
            </w:tcMar>
          </w:tcPr>
          <w:p>
            <w:pPr>
              <w:spacing w:after="40"/>
            </w:pPr>
            <w:r>
              <w:rPr>
                <w:color w:val="666666"/>
                <w:sz w:val="20"/>
                <w:szCs w:val="20"/>
              </w:rPr>
              <w:t xml:space="preserve">Word count (body)</w:t>
            </w:r>
          </w:p>
          <w:p>
            <w:pPr>
              <w:spacing w:after="40"/>
            </w:pPr>
            <w:r>
              <w:rPr>
                <w:b/>
                <w:bCs/>
                <w:color w:val="A32D2D"/>
                <w:sz w:val="36"/>
                <w:szCs w:val="36"/>
              </w:rPr>
              <w:t xml:space="preserve">~25,400</w:t>
            </w:r>
          </w:p>
          <w:p>
            <w:r>
              <w:rPr>
                <w:color w:val="888888"/>
                <w:sz w:val="18"/>
                <w:szCs w:val="18"/>
              </w:rPr>
              <w:t xml:space="preserve">Limit: 20,000 — over by ~27%</w:t>
            </w:r>
          </w:p>
        </w:tc>
        <w:tc>
          <w:tcPr>
            <w:tcW w:type="dxa" w:w="2340"/>
            <w:tcBorders>
              <w:top w:val="single" w:color="CCCCCC" w:sz="1"/>
              <w:left w:val="single" w:color="CCCCCC" w:sz="1"/>
              <w:bottom w:val="single" w:color="CCCCCC" w:sz="1"/>
              <w:right w:val="single" w:color="CCCCCC" w:sz="1"/>
            </w:tcBorders>
            <w:shd w:fill="F5F5F3" w:val="clear"/>
            <w:tcMar>
              <w:top w:type="dxa" w:w="120"/>
              <w:left w:type="dxa" w:w="160"/>
              <w:bottom w:type="dxa" w:w="120"/>
              <w:right w:type="dxa" w:w="160"/>
            </w:tcMar>
          </w:tcPr>
          <w:p>
            <w:pPr>
              <w:spacing w:after="40"/>
            </w:pPr>
            <w:r>
              <w:rPr>
                <w:color w:val="666666"/>
                <w:sz w:val="20"/>
                <w:szCs w:val="20"/>
              </w:rPr>
              <w:t xml:space="preserve">References</w:t>
            </w:r>
          </w:p>
          <w:p>
            <w:pPr>
              <w:spacing w:after="40"/>
            </w:pPr>
            <w:r>
              <w:rPr>
                <w:b/>
                <w:bCs/>
                <w:color w:val="1A1A1A"/>
                <w:sz w:val="36"/>
                <w:szCs w:val="36"/>
              </w:rPr>
              <w:t xml:space="preserve">~26</w:t>
            </w:r>
          </w:p>
          <w:p>
            <w:r>
              <w:rPr>
                <w:color w:val="888888"/>
                <w:sz w:val="18"/>
                <w:szCs w:val="18"/>
              </w:rPr>
              <w:t xml:space="preserve">Well-cited primary sources</w:t>
            </w:r>
          </w:p>
        </w:tc>
        <w:tc>
          <w:tcPr>
            <w:tcW w:type="dxa" w:w="2340"/>
            <w:tcBorders>
              <w:top w:val="single" w:color="CCCCCC" w:sz="1"/>
              <w:left w:val="single" w:color="CCCCCC" w:sz="1"/>
              <w:bottom w:val="single" w:color="CCCCCC" w:sz="1"/>
              <w:right w:val="single" w:color="CCCCCC" w:sz="1"/>
            </w:tcBorders>
            <w:shd w:fill="F5F5F3" w:val="clear"/>
            <w:tcMar>
              <w:top w:type="dxa" w:w="120"/>
              <w:left w:type="dxa" w:w="160"/>
              <w:bottom w:type="dxa" w:w="120"/>
              <w:right w:type="dxa" w:w="160"/>
            </w:tcMar>
          </w:tcPr>
          <w:p>
            <w:pPr>
              <w:spacing w:after="40"/>
            </w:pPr>
            <w:r>
              <w:rPr>
                <w:color w:val="666666"/>
                <w:sz w:val="20"/>
                <w:szCs w:val="20"/>
              </w:rPr>
              <w:t xml:space="preserve">Classification band</w:t>
            </w:r>
          </w:p>
          <w:p>
            <w:pPr>
              <w:spacing w:after="40"/>
            </w:pPr>
            <w:r>
              <w:rPr>
                <w:b/>
                <w:bCs/>
                <w:color w:val="1A1A1A"/>
                <w:sz w:val="36"/>
                <w:szCs w:val="36"/>
              </w:rPr>
              <w:t xml:space="preserve">1st</w:t>
            </w:r>
          </w:p>
          <w:p>
            <w:r>
              <w:rPr>
                <w:color w:val="888888"/>
                <w:sz w:val="18"/>
                <w:szCs w:val="18"/>
              </w:rPr>
              <w:t xml:space="preserve">Currently 70–79% range</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E24B4A" w:val="clear"/>
            <w:tcMar>
              <w:top w:type="dxa" w:w="0"/>
              <w:left w:type="dxa" w:w="0"/>
              <w:bottom w:type="dxa" w:w="0"/>
              <w:right w:type="dxa" w:w="0"/>
            </w:tcMar>
          </w:tcPr>
          <w:p>
            <w:r>
              <w:t xml:space="preserve"/>
            </w:r>
          </w:p>
        </w:tc>
        <w:tc>
          <w:tcPr>
            <w:tcW w:type="dxa" w:w="9240"/>
            <w:tcBorders>
              <w:top w:val="none" w:color="FFFFFF" w:sz="0"/>
              <w:left w:val="none" w:color="FFFFFF" w:sz="0"/>
              <w:bottom w:val="none" w:color="FFFFFF" w:sz="0"/>
              <w:right w:val="none" w:color="FFFFFF" w:sz="0"/>
            </w:tcBorders>
            <w:shd w:fill="FFF5F5" w:val="clear"/>
            <w:tcMar>
              <w:top w:type="dxa" w:w="120"/>
              <w:left w:type="dxa" w:w="200"/>
              <w:bottom w:type="dxa" w:w="120"/>
              <w:right w:type="dxa" w:w="160"/>
            </w:tcMar>
          </w:tcPr>
          <w:p>
            <w:pPr>
              <w:spacing w:after="60"/>
            </w:pPr>
            <w:r>
              <w:rPr>
                <w:b/>
                <w:bCs/>
                <w:sz w:val="20"/>
                <w:szCs w:val="20"/>
              </w:rPr>
              <w:t xml:space="preserve">Word count — critical issue for criterion #9</w:t>
            </w:r>
          </w:p>
          <w:p>
            <w:r>
              <w:rPr>
                <w:color w:val="444444"/>
                <w:sz w:val="18"/>
                <w:szCs w:val="18"/>
              </w:rPr>
              <w:t xml:space="preserve">The body text (excluding references and appendices) sits at approximately 25,400 words against a 20,000-word ceiling. This is the single biggest risk to the Organisation &amp; Presentation mark. Chapters 5 and 4 are the primary targets for reduction. Some appendix content referenced via external file paths will also not be visible to markers in the PDF submission.</w:t>
            </w:r>
          </w:p>
        </w:tc>
      </w:tr>
    </w:tbl>
    <w:p>
      <w:pPr>
        <w:spacing w:after="80"/>
      </w:pPr>
      <w:r>
        <w:t xml:space="preserve"/>
      </w:r>
    </w:p>
    <w:p>
      <w:pPr>
        <w:spacing w:after="80"/>
      </w:pPr>
      <w:r>
        <w:t xml:space="preserve"/>
      </w:r>
    </w:p>
    <w:p>
      <w:pPr>
        <w:pStyle w:val="Heading1"/>
      </w:pPr>
      <w:r>
        <w:t xml:space="preserve">Report criteria scoring  (60% of total)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1000"/>
        <w:gridCol w:w="5260"/>
      </w:tblGrid>
      <w:tr>
        <w:tc>
          <w:tcPr>
            <w:tcW w:type="dxa" w:w="2400"/>
            <w:tcBorders>
              <w:top w:val="single" w:color="CCCCCC" w:sz="1"/>
              <w:left w:val="single" w:color="CCCCCC" w:sz="1"/>
              <w:bottom w:val="single" w:color="CCCCCC" w:sz="1"/>
              <w:right w:val="single" w:color="CCCCCC" w:sz="1"/>
            </w:tcBorders>
            <w:shd w:fill="2E4057" w:val="clear"/>
            <w:tcMar>
              <w:top w:type="dxa" w:w="100"/>
              <w:left w:type="dxa" w:w="120"/>
              <w:bottom w:type="dxa" w:w="100"/>
              <w:right w:type="dxa" w:w="120"/>
            </w:tcMar>
          </w:tcPr>
          <w:p>
            <w:r>
              <w:rPr>
                <w:b/>
                <w:bCs/>
                <w:color w:val="FFFFFF"/>
                <w:sz w:val="20"/>
                <w:szCs w:val="20"/>
              </w:rPr>
              <w:t xml:space="preserve">Criterion</w:t>
            </w:r>
          </w:p>
        </w:tc>
        <w:tc>
          <w:tcPr>
            <w:tcW w:type="dxa" w:w="700"/>
            <w:tcBorders>
              <w:top w:val="single" w:color="CCCCCC" w:sz="1"/>
              <w:left w:val="single" w:color="CCCCCC" w:sz="1"/>
              <w:bottom w:val="single" w:color="CCCCCC" w:sz="1"/>
              <w:right w:val="single" w:color="CCCCCC" w:sz="1"/>
            </w:tcBorders>
            <w:shd w:fill="2E4057" w:val="clear"/>
            <w:tcMar>
              <w:top w:type="dxa" w:w="100"/>
              <w:left w:type="dxa" w:w="120"/>
              <w:bottom w:type="dxa" w:w="100"/>
              <w:right w:type="dxa" w:w="120"/>
            </w:tcMar>
          </w:tcPr>
          <w:p>
            <w:r>
              <w:rPr>
                <w:b/>
                <w:bCs/>
                <w:color w:val="FFFFFF"/>
                <w:sz w:val="20"/>
                <w:szCs w:val="20"/>
              </w:rPr>
              <w:t xml:space="preserve">Score</w:t>
            </w:r>
          </w:p>
        </w:tc>
        <w:tc>
          <w:tcPr>
            <w:tcW w:type="dxa" w:w="1000"/>
            <w:tcBorders>
              <w:top w:val="single" w:color="CCCCCC" w:sz="1"/>
              <w:left w:val="single" w:color="CCCCCC" w:sz="1"/>
              <w:bottom w:val="single" w:color="CCCCCC" w:sz="1"/>
              <w:right w:val="single" w:color="CCCCCC" w:sz="1"/>
            </w:tcBorders>
            <w:shd w:fill="2E4057" w:val="clear"/>
            <w:tcMar>
              <w:top w:type="dxa" w:w="100"/>
              <w:left w:type="dxa" w:w="120"/>
              <w:bottom w:type="dxa" w:w="100"/>
              <w:right w:type="dxa" w:w="120"/>
            </w:tcMar>
          </w:tcPr>
          <w:p>
            <w:r>
              <w:rPr>
                <w:b/>
                <w:bCs/>
                <w:color w:val="FFFFFF"/>
                <w:sz w:val="20"/>
                <w:szCs w:val="20"/>
              </w:rPr>
              <w:t xml:space="preserve">Level</w:t>
            </w:r>
          </w:p>
        </w:tc>
        <w:tc>
          <w:tcPr>
            <w:tcW w:type="dxa" w:w="5260"/>
            <w:tcBorders>
              <w:top w:val="single" w:color="CCCCCC" w:sz="1"/>
              <w:left w:val="single" w:color="CCCCCC" w:sz="1"/>
              <w:bottom w:val="single" w:color="CCCCCC" w:sz="1"/>
              <w:right w:val="single" w:color="CCCCCC" w:sz="1"/>
            </w:tcBorders>
            <w:shd w:fill="2E4057" w:val="clear"/>
            <w:tcMar>
              <w:top w:type="dxa" w:w="100"/>
              <w:left w:type="dxa" w:w="120"/>
              <w:bottom w:type="dxa" w:w="100"/>
              <w:right w:type="dxa" w:w="120"/>
            </w:tcMar>
          </w:tcPr>
          <w:p>
            <w:r>
              <w:rPr>
                <w:b/>
                <w:bCs/>
                <w:color w:val="FFFFFF"/>
                <w:sz w:val="20"/>
                <w:szCs w:val="20"/>
              </w:rPr>
              <w:t xml:space="preserve">Audit notes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pPr>
            <w:r>
              <w:rPr>
                <w:b/>
                <w:bCs/>
                <w:sz w:val="20"/>
                <w:szCs w:val="20"/>
              </w:rPr>
              <w:t xml:space="preserve">#1  Project context &amp; aims/objectives</w:t>
            </w:r>
          </w:p>
          <w:p>
            <w:r>
              <w:rPr>
                <w:color w:val="666666"/>
                <w:sz w:val="18"/>
                <w:szCs w:val="18"/>
              </w:rPr>
              <w:t xml:space="preserve">Background knowledge, research problem, commercial context — 10 marks</w:t>
            </w:r>
          </w:p>
        </w:tc>
        <w:tc>
          <w:tcPr>
            <w:tcW w:type="dxa" w:w="700"/>
            <w:tcBorders>
              <w:top w:val="single" w:color="CCCCCC" w:sz="1"/>
              <w:left w:val="single" w:color="CCCCCC" w:sz="1"/>
              <w:bottom w:val="single" w:color="CCCCCC" w:sz="1"/>
              <w:right w:val="single" w:color="CCCCCC" w:sz="1"/>
            </w:tcBorders>
            <w:shd w:fill="FFFFFF" w:val="clear"/>
            <w:tcMar>
              <w:top w:type="dxa" w:w="100"/>
              <w:left w:type="dxa" w:w="80"/>
              <w:bottom w:type="dxa" w:w="100"/>
              <w:right w:type="dxa" w:w="80"/>
            </w:tcMar>
            <w:vAlign w:val="center"/>
          </w:tcPr>
          <w:p>
            <w:pPr>
              <w:jc w:val="center"/>
            </w:pPr>
            <w:r>
              <w:rPr>
                <w:b/>
                <w:bCs/>
                <w:sz w:val="22"/>
                <w:szCs w:val="22"/>
              </w:rPr>
              <w:t xml:space="preserve">8–9 / 10</w:t>
            </w:r>
          </w:p>
        </w:tc>
        <w:tc>
          <w:tcPr>
            <w:tcW w:type="dxa" w:w="1000"/>
            <w:tcBorders>
              <w:top w:val="single" w:color="CCCCCC" w:sz="1"/>
              <w:left w:val="single" w:color="CCCCCC" w:sz="1"/>
              <w:bottom w:val="single" w:color="CCCCCC" w:sz="1"/>
              <w:right w:val="single" w:color="CCCCCC" w:sz="1"/>
            </w:tcBorders>
            <w:shd w:fill="EAF3DE" w:val="clear"/>
            <w:tcMar>
              <w:top w:type="dxa" w:w="100"/>
              <w:left w:type="dxa" w:w="100"/>
              <w:bottom w:type="dxa" w:w="100"/>
              <w:right w:type="dxa" w:w="100"/>
            </w:tcMar>
            <w:vAlign w:val="center"/>
          </w:tcPr>
          <w:p>
            <w:pPr>
              <w:jc w:val="center"/>
            </w:pPr>
            <w:r>
              <w:rPr>
                <w:b/>
                <w:bCs/>
                <w:color w:val="27500A"/>
                <w:sz w:val="18"/>
                <w:szCs w:val="18"/>
              </w:rPr>
              <w:t xml:space="preserve">Outstanding</w:t>
            </w:r>
          </w:p>
        </w:tc>
        <w:tc>
          <w:tcPr>
            <w:tcW w:type="dxa" w:w="52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60"/>
            </w:pPr>
            <w:r>
              <w:rPr>
                <w:sz w:val="18"/>
                <w:szCs w:val="18"/>
              </w:rPr>
              <w:t xml:space="preserve">The introduction and motivation sections are very strong. The research question (BDI + local LLM = psychological coherence + player agency) is precisely articulated.</w:t>
            </w:r>
          </w:p>
          <w:p>
            <w:pPr>
              <w:spacing w:after="60"/>
            </w:pPr>
            <w:r>
              <w:rPr>
                <w:sz w:val="18"/>
                <w:szCs w:val="18"/>
              </w:rPr>
              <w:t xml:space="preserve">Commercial context is well handled — the Stardew Valley analogy grounds the democratisation argument effectively.</w:t>
            </w:r>
          </w:p>
          <w:p>
            <w:pPr>
              <w:spacing w:after="60"/>
            </w:pPr>
            <w:r>
              <w:rPr>
                <w:sz w:val="18"/>
                <w:szCs w:val="18"/>
              </w:rPr>
              <w:t xml:space="preserve">Minor gap: could more explicitly state why this combination has not been attempted before at the outset, rather than deferring to Chapters 3 and 8.</w:t>
            </w:r>
          </w:p>
        </w:tc>
      </w:tr>
      <w:tr>
        <w:tc>
          <w:tcPr>
            <w:tcW w:type="dxa" w:w="2400"/>
            <w:tcBorders>
              <w:top w:val="single" w:color="CCCCCC" w:sz="1"/>
              <w:left w:val="single" w:color="CCCCCC" w:sz="1"/>
              <w:bottom w:val="single" w:color="CCCCCC" w:sz="1"/>
              <w:right w:val="single" w:color="CCCCCC" w:sz="1"/>
            </w:tcBorders>
            <w:shd w:fill="F9F9F7" w:val="clear"/>
            <w:tcMar>
              <w:top w:type="dxa" w:w="100"/>
              <w:left w:type="dxa" w:w="120"/>
              <w:bottom w:type="dxa" w:w="100"/>
              <w:right w:type="dxa" w:w="120"/>
            </w:tcMar>
          </w:tcPr>
          <w:p>
            <w:pPr>
              <w:spacing w:after="40"/>
            </w:pPr>
            <w:r>
              <w:rPr>
                <w:b/>
                <w:bCs/>
                <w:sz w:val="20"/>
                <w:szCs w:val="20"/>
              </w:rPr>
              <w:t xml:space="preserve">#2  Social, legal, ethical &amp; risk management</w:t>
            </w:r>
          </w:p>
          <w:p>
            <w:r>
              <w:rPr>
                <w:color w:val="666666"/>
                <w:sz w:val="18"/>
                <w:szCs w:val="18"/>
              </w:rPr>
              <w:t xml:space="preserve">Social impact, legal compliance, ethics, risk register — 5 marks</w:t>
            </w:r>
          </w:p>
        </w:tc>
        <w:tc>
          <w:tcPr>
            <w:tcW w:type="dxa" w:w="700"/>
            <w:tcBorders>
              <w:top w:val="single" w:color="CCCCCC" w:sz="1"/>
              <w:left w:val="single" w:color="CCCCCC" w:sz="1"/>
              <w:bottom w:val="single" w:color="CCCCCC" w:sz="1"/>
              <w:right w:val="single" w:color="CCCCCC" w:sz="1"/>
            </w:tcBorders>
            <w:shd w:fill="F9F9F7" w:val="clear"/>
            <w:tcMar>
              <w:top w:type="dxa" w:w="100"/>
              <w:left w:type="dxa" w:w="80"/>
              <w:bottom w:type="dxa" w:w="100"/>
              <w:right w:type="dxa" w:w="80"/>
            </w:tcMar>
            <w:vAlign w:val="center"/>
          </w:tcPr>
          <w:p>
            <w:pPr>
              <w:jc w:val="center"/>
            </w:pPr>
            <w:r>
              <w:rPr>
                <w:b/>
                <w:bCs/>
                <w:sz w:val="22"/>
                <w:szCs w:val="22"/>
              </w:rPr>
              <w:t xml:space="preserve">4–5 / 5</w:t>
            </w:r>
          </w:p>
        </w:tc>
        <w:tc>
          <w:tcPr>
            <w:tcW w:type="dxa" w:w="1000"/>
            <w:tcBorders>
              <w:top w:val="single" w:color="CCCCCC" w:sz="1"/>
              <w:left w:val="single" w:color="CCCCCC" w:sz="1"/>
              <w:bottom w:val="single" w:color="CCCCCC" w:sz="1"/>
              <w:right w:val="single" w:color="CCCCCC" w:sz="1"/>
            </w:tcBorders>
            <w:shd w:fill="EAF3DE" w:val="clear"/>
            <w:tcMar>
              <w:top w:type="dxa" w:w="100"/>
              <w:left w:type="dxa" w:w="100"/>
              <w:bottom w:type="dxa" w:w="100"/>
              <w:right w:type="dxa" w:w="100"/>
            </w:tcMar>
            <w:vAlign w:val="center"/>
          </w:tcPr>
          <w:p>
            <w:pPr>
              <w:jc w:val="center"/>
            </w:pPr>
            <w:r>
              <w:rPr>
                <w:b/>
                <w:bCs/>
                <w:color w:val="27500A"/>
                <w:sz w:val="18"/>
                <w:szCs w:val="18"/>
              </w:rPr>
              <w:t xml:space="preserve">Outstanding</w:t>
            </w:r>
          </w:p>
        </w:tc>
        <w:tc>
          <w:tcPr>
            <w:tcW w:type="dxa" w:w="5260"/>
            <w:tcBorders>
              <w:top w:val="single" w:color="CCCCCC" w:sz="1"/>
              <w:left w:val="single" w:color="CCCCCC" w:sz="1"/>
              <w:bottom w:val="single" w:color="CCCCCC" w:sz="1"/>
              <w:right w:val="single" w:color="CCCCCC" w:sz="1"/>
            </w:tcBorders>
            <w:shd w:fill="F9F9F7" w:val="clear"/>
            <w:tcMar>
              <w:top w:type="dxa" w:w="100"/>
              <w:left w:type="dxa" w:w="120"/>
              <w:bottom w:type="dxa" w:w="100"/>
              <w:right w:type="dxa" w:w="120"/>
            </w:tcMar>
          </w:tcPr>
          <w:p>
            <w:pPr>
              <w:spacing w:after="60"/>
            </w:pPr>
            <w:r>
              <w:rPr>
                <w:sz w:val="18"/>
                <w:szCs w:val="18"/>
              </w:rPr>
              <w:t xml:space="preserve">Chapter 2 is one of the strongest sections. Social considerations are genuinely nuanced (small / mid / large studio analysis is well-differentiated).</w:t>
            </w:r>
          </w:p>
          <w:p>
            <w:pPr>
              <w:spacing w:after="60"/>
            </w:pPr>
            <w:r>
              <w:rPr>
                <w:sz w:val="18"/>
                <w:szCs w:val="18"/>
              </w:rPr>
              <w:t xml:space="preserve">Legal compliance covers licences correctly (MIT, Apache 2.0, Qwen2.5:3b). Data governance is accurate — no personal data, no GDPR exposure.</w:t>
            </w:r>
          </w:p>
          <w:p>
            <w:pPr>
              <w:spacing w:after="60"/>
            </w:pPr>
            <w:r>
              <w:rPr>
                <w:sz w:val="18"/>
                <w:szCs w:val="18"/>
              </w:rPr>
              <w:t xml:space="preserve">The risk register has likelihood / impact / mitigation columns and is specific to the system.</w:t>
            </w:r>
          </w:p>
          <w:p>
            <w:pPr>
              <w:spacing w:after="60"/>
            </w:pPr>
            <w:r>
              <w:rPr>
                <w:sz w:val="18"/>
                <w:szCs w:val="18"/>
              </w:rPr>
              <w:t xml:space="preserve">Strength to keep: the transparency discussion on AI-generated dialogue content is sophisticated and adds originality to this chapter.</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pPr>
            <w:r>
              <w:rPr>
                <w:b/>
                <w:bCs/>
                <w:sz w:val="20"/>
                <w:szCs w:val="20"/>
              </w:rPr>
              <w:t xml:space="preserve">#3  Literature review</w:t>
            </w:r>
          </w:p>
          <w:p>
            <w:r>
              <w:rPr>
                <w:color w:val="666666"/>
                <w:sz w:val="18"/>
                <w:szCs w:val="18"/>
              </w:rPr>
              <w:t xml:space="preserve">State-of-the-art, critical analysis, trade-offs — 15 marks</w:t>
            </w:r>
          </w:p>
        </w:tc>
        <w:tc>
          <w:tcPr>
            <w:tcW w:type="dxa" w:w="700"/>
            <w:tcBorders>
              <w:top w:val="single" w:color="CCCCCC" w:sz="1"/>
              <w:left w:val="single" w:color="CCCCCC" w:sz="1"/>
              <w:bottom w:val="single" w:color="CCCCCC" w:sz="1"/>
              <w:right w:val="single" w:color="CCCCCC" w:sz="1"/>
            </w:tcBorders>
            <w:shd w:fill="FFFFFF" w:val="clear"/>
            <w:tcMar>
              <w:top w:type="dxa" w:w="100"/>
              <w:left w:type="dxa" w:w="80"/>
              <w:bottom w:type="dxa" w:w="100"/>
              <w:right w:type="dxa" w:w="80"/>
            </w:tcMar>
            <w:vAlign w:val="center"/>
          </w:tcPr>
          <w:p>
            <w:pPr>
              <w:jc w:val="center"/>
            </w:pPr>
            <w:r>
              <w:rPr>
                <w:b/>
                <w:bCs/>
                <w:sz w:val="22"/>
                <w:szCs w:val="22"/>
              </w:rPr>
              <w:t xml:space="preserve">12–13 / 15</w:t>
            </w:r>
          </w:p>
        </w:tc>
        <w:tc>
          <w:tcPr>
            <w:tcW w:type="dxa" w:w="1000"/>
            <w:tcBorders>
              <w:top w:val="single" w:color="CCCCCC" w:sz="1"/>
              <w:left w:val="single" w:color="CCCCCC" w:sz="1"/>
              <w:bottom w:val="single" w:color="CCCCCC" w:sz="1"/>
              <w:right w:val="single" w:color="CCCCCC" w:sz="1"/>
            </w:tcBorders>
            <w:shd w:fill="E6F1FB" w:val="clear"/>
            <w:tcMar>
              <w:top w:type="dxa" w:w="100"/>
              <w:left w:type="dxa" w:w="100"/>
              <w:bottom w:type="dxa" w:w="100"/>
              <w:right w:type="dxa" w:w="100"/>
            </w:tcMar>
            <w:vAlign w:val="center"/>
          </w:tcPr>
          <w:p>
            <w:pPr>
              <w:jc w:val="center"/>
            </w:pPr>
            <w:r>
              <w:rPr>
                <w:b/>
                <w:bCs/>
                <w:color w:val="0C447C"/>
                <w:sz w:val="18"/>
                <w:szCs w:val="18"/>
              </w:rPr>
              <w:t xml:space="preserve">Good</w:t>
            </w:r>
          </w:p>
        </w:tc>
        <w:tc>
          <w:tcPr>
            <w:tcW w:type="dxa" w:w="52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60"/>
            </w:pPr>
            <w:r>
              <w:rPr>
                <w:sz w:val="18"/>
                <w:szCs w:val="18"/>
              </w:rPr>
              <w:t xml:space="preserve">Coverage of four domains (cognitive psychology, social psychology, BDI, interactive narrative) is broad and well-integrated. Neisser, Heider, Cialdini, Bratman, Mateas &amp; Stern, Park et al. are all engaged critically, not just summarised.</w:t>
            </w:r>
          </w:p>
          <w:p>
            <w:pPr>
              <w:spacing w:after="60"/>
            </w:pPr>
            <w:r>
              <w:rPr>
                <w:sz w:val="18"/>
                <w:szCs w:val="18"/>
              </w:rPr>
              <w:t xml:space="preserve">Gap for Outstanding: Section 3.6 (LLMs) leans descriptive — it could more critically compare Ollama-based local deployment trade-offs against cloud API alternatives.</w:t>
            </w:r>
          </w:p>
          <w:p>
            <w:pPr>
              <w:spacing w:after="60"/>
            </w:pPr>
            <w:r>
              <w:rPr>
                <w:sz w:val="18"/>
                <w:szCs w:val="18"/>
              </w:rPr>
              <w:t xml:space="preserve">The synthesis in 3.7 is good but could be sharper about exactly which gaps in prior work the PNE closes (this is done better in 8.2 — consider pulling some of that framing forward).</w:t>
            </w:r>
          </w:p>
        </w:tc>
      </w:tr>
      <w:tr>
        <w:tc>
          <w:tcPr>
            <w:tcW w:type="dxa" w:w="2400"/>
            <w:tcBorders>
              <w:top w:val="single" w:color="CCCCCC" w:sz="1"/>
              <w:left w:val="single" w:color="CCCCCC" w:sz="1"/>
              <w:bottom w:val="single" w:color="CCCCCC" w:sz="1"/>
              <w:right w:val="single" w:color="CCCCCC" w:sz="1"/>
            </w:tcBorders>
            <w:shd w:fill="F9F9F7" w:val="clear"/>
            <w:tcMar>
              <w:top w:type="dxa" w:w="100"/>
              <w:left w:type="dxa" w:w="120"/>
              <w:bottom w:type="dxa" w:w="100"/>
              <w:right w:type="dxa" w:w="120"/>
            </w:tcMar>
          </w:tcPr>
          <w:p>
            <w:pPr>
              <w:spacing w:after="40"/>
            </w:pPr>
            <w:r>
              <w:rPr>
                <w:b/>
                <w:bCs/>
                <w:sz w:val="20"/>
                <w:szCs w:val="20"/>
              </w:rPr>
              <w:t xml:space="preserve">#4  Methodology</w:t>
            </w:r>
          </w:p>
          <w:p>
            <w:r>
              <w:rPr>
                <w:color w:val="666666"/>
                <w:sz w:val="18"/>
                <w:szCs w:val="18"/>
              </w:rPr>
              <w:t xml:space="preserve">Data collection, system design, information security, ethical approach — 15 marks</w:t>
            </w:r>
          </w:p>
        </w:tc>
        <w:tc>
          <w:tcPr>
            <w:tcW w:type="dxa" w:w="700"/>
            <w:tcBorders>
              <w:top w:val="single" w:color="CCCCCC" w:sz="1"/>
              <w:left w:val="single" w:color="CCCCCC" w:sz="1"/>
              <w:bottom w:val="single" w:color="CCCCCC" w:sz="1"/>
              <w:right w:val="single" w:color="CCCCCC" w:sz="1"/>
            </w:tcBorders>
            <w:shd w:fill="F9F9F7" w:val="clear"/>
            <w:tcMar>
              <w:top w:type="dxa" w:w="100"/>
              <w:left w:type="dxa" w:w="80"/>
              <w:bottom w:type="dxa" w:w="100"/>
              <w:right w:type="dxa" w:w="80"/>
            </w:tcMar>
            <w:vAlign w:val="center"/>
          </w:tcPr>
          <w:p>
            <w:pPr>
              <w:jc w:val="center"/>
            </w:pPr>
            <w:r>
              <w:rPr>
                <w:b/>
                <w:bCs/>
                <w:sz w:val="22"/>
                <w:szCs w:val="22"/>
              </w:rPr>
              <w:t xml:space="preserve">12–13 / 15</w:t>
            </w:r>
          </w:p>
        </w:tc>
        <w:tc>
          <w:tcPr>
            <w:tcW w:type="dxa" w:w="1000"/>
            <w:tcBorders>
              <w:top w:val="single" w:color="CCCCCC" w:sz="1"/>
              <w:left w:val="single" w:color="CCCCCC" w:sz="1"/>
              <w:bottom w:val="single" w:color="CCCCCC" w:sz="1"/>
              <w:right w:val="single" w:color="CCCCCC" w:sz="1"/>
            </w:tcBorders>
            <w:shd w:fill="E6F1FB" w:val="clear"/>
            <w:tcMar>
              <w:top w:type="dxa" w:w="100"/>
              <w:left w:type="dxa" w:w="100"/>
              <w:bottom w:type="dxa" w:w="100"/>
              <w:right w:type="dxa" w:w="100"/>
            </w:tcMar>
            <w:vAlign w:val="center"/>
          </w:tcPr>
          <w:p>
            <w:pPr>
              <w:jc w:val="center"/>
            </w:pPr>
            <w:r>
              <w:rPr>
                <w:b/>
                <w:bCs/>
                <w:color w:val="0C447C"/>
                <w:sz w:val="18"/>
                <w:szCs w:val="18"/>
              </w:rPr>
              <w:t xml:space="preserve">Good</w:t>
            </w:r>
          </w:p>
        </w:tc>
        <w:tc>
          <w:tcPr>
            <w:tcW w:type="dxa" w:w="5260"/>
            <w:tcBorders>
              <w:top w:val="single" w:color="CCCCCC" w:sz="1"/>
              <w:left w:val="single" w:color="CCCCCC" w:sz="1"/>
              <w:bottom w:val="single" w:color="CCCCCC" w:sz="1"/>
              <w:right w:val="single" w:color="CCCCCC" w:sz="1"/>
            </w:tcBorders>
            <w:shd w:fill="F9F9F7" w:val="clear"/>
            <w:tcMar>
              <w:top w:type="dxa" w:w="100"/>
              <w:left w:type="dxa" w:w="120"/>
              <w:bottom w:type="dxa" w:w="100"/>
              <w:right w:type="dxa" w:w="120"/>
            </w:tcMar>
          </w:tcPr>
          <w:p>
            <w:pPr>
              <w:spacing w:after="60"/>
            </w:pPr>
            <w:r>
              <w:rPr>
                <w:sz w:val="18"/>
                <w:szCs w:val="18"/>
              </w:rPr>
              <w:t xml:space="preserve">The BDI pipeline documentation (4.2.1–4.2.5) is detailed and traceable — formulas, clamping logic, and the closed intention vocabulary are clearly presented.</w:t>
            </w:r>
          </w:p>
          <w:p>
            <w:pPr>
              <w:spacing w:after="60"/>
            </w:pPr>
            <w:r>
              <w:rPr>
                <w:sz w:val="18"/>
                <w:szCs w:val="18"/>
              </w:rPr>
              <w:t xml:space="preserve">Data collection rationale (log-based, no user studies) is honestly justified. Information security and ethical approach sections (4.3) are present and appropriate.</w:t>
            </w:r>
          </w:p>
          <w:p>
            <w:pPr>
              <w:spacing w:after="60"/>
            </w:pPr>
            <w:r>
              <w:rPr>
                <w:sz w:val="18"/>
                <w:szCs w:val="18"/>
              </w:rPr>
              <w:t xml:space="preserve">Gap for Outstanding: Using only self-generated system logs without external validation (even a small expert review or heuristic evaluation) is a limitation that is acknowledged but not sufficiently mitigated. This is likely to draw scrutiny from markers.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pPr>
            <w:r>
              <w:rPr>
                <w:b/>
                <w:bCs/>
                <w:sz w:val="20"/>
                <w:szCs w:val="20"/>
              </w:rPr>
              <w:t xml:space="preserve">#5  Experimentations / implementations</w:t>
            </w:r>
          </w:p>
          <w:p>
            <w:r>
              <w:rPr>
                <w:color w:val="666666"/>
                <w:sz w:val="18"/>
                <w:szCs w:val="18"/>
              </w:rPr>
              <w:t xml:space="preserve">Completeness and quality of the system built — 15 marks</w:t>
            </w:r>
          </w:p>
        </w:tc>
        <w:tc>
          <w:tcPr>
            <w:tcW w:type="dxa" w:w="700"/>
            <w:tcBorders>
              <w:top w:val="single" w:color="CCCCCC" w:sz="1"/>
              <w:left w:val="single" w:color="CCCCCC" w:sz="1"/>
              <w:bottom w:val="single" w:color="CCCCCC" w:sz="1"/>
              <w:right w:val="single" w:color="CCCCCC" w:sz="1"/>
            </w:tcBorders>
            <w:shd w:fill="FFFFFF" w:val="clear"/>
            <w:tcMar>
              <w:top w:type="dxa" w:w="100"/>
              <w:left w:type="dxa" w:w="80"/>
              <w:bottom w:type="dxa" w:w="100"/>
              <w:right w:type="dxa" w:w="80"/>
            </w:tcMar>
            <w:vAlign w:val="center"/>
          </w:tcPr>
          <w:p>
            <w:pPr>
              <w:jc w:val="center"/>
            </w:pPr>
            <w:r>
              <w:rPr>
                <w:b/>
                <w:bCs/>
                <w:sz w:val="22"/>
                <w:szCs w:val="22"/>
              </w:rPr>
              <w:t xml:space="preserve">13–14 / 15</w:t>
            </w:r>
          </w:p>
        </w:tc>
        <w:tc>
          <w:tcPr>
            <w:tcW w:type="dxa" w:w="1000"/>
            <w:tcBorders>
              <w:top w:val="single" w:color="CCCCCC" w:sz="1"/>
              <w:left w:val="single" w:color="CCCCCC" w:sz="1"/>
              <w:bottom w:val="single" w:color="CCCCCC" w:sz="1"/>
              <w:right w:val="single" w:color="CCCCCC" w:sz="1"/>
            </w:tcBorders>
            <w:shd w:fill="EAF3DE" w:val="clear"/>
            <w:tcMar>
              <w:top w:type="dxa" w:w="100"/>
              <w:left w:type="dxa" w:w="100"/>
              <w:bottom w:type="dxa" w:w="100"/>
              <w:right w:type="dxa" w:w="100"/>
            </w:tcMar>
            <w:vAlign w:val="center"/>
          </w:tcPr>
          <w:p>
            <w:pPr>
              <w:jc w:val="center"/>
            </w:pPr>
            <w:r>
              <w:rPr>
                <w:b/>
                <w:bCs/>
                <w:color w:val="27500A"/>
                <w:sz w:val="18"/>
                <w:szCs w:val="18"/>
              </w:rPr>
              <w:t xml:space="preserve">Outstanding</w:t>
            </w:r>
          </w:p>
        </w:tc>
        <w:tc>
          <w:tcPr>
            <w:tcW w:type="dxa" w:w="52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60"/>
            </w:pPr>
            <w:r>
              <w:rPr>
                <w:sz w:val="18"/>
                <w:szCs w:val="18"/>
              </w:rPr>
              <w:t xml:space="preserve">The system is genuinely complete: REST/WebSocket API, skill-check FSM, four-layer BDI pipeline, Ollama integration, three distinct NPC profiles, and a CHANGELOG evidencing iterative development.</w:t>
            </w:r>
          </w:p>
          <w:p>
            <w:pPr>
              <w:spacing w:after="60"/>
            </w:pPr>
            <w:r>
              <w:rPr>
                <w:sz w:val="18"/>
                <w:szCs w:val="18"/>
              </w:rPr>
              <w:t xml:space="preserve">The CHANGELOG tracing failure → architectural response (e.g. CognitiveThoughtMatcher replacing LLM cognitive layer) is a particularly strong methodological contribution.</w:t>
            </w:r>
          </w:p>
          <w:p>
            <w:pPr>
              <w:spacing w:after="60"/>
            </w:pPr>
            <w:r>
              <w:rPr>
                <w:sz w:val="18"/>
                <w:szCs w:val="18"/>
              </w:rPr>
              <w:t xml:space="preserve">Minor: Chapter 5 is somewhat bloated with design documentation that overlaps with Chapter 4 — this is the primary target for cuts during downsizing.</w:t>
            </w:r>
          </w:p>
        </w:tc>
      </w:tr>
      <w:tr>
        <w:tc>
          <w:tcPr>
            <w:tcW w:type="dxa" w:w="2400"/>
            <w:tcBorders>
              <w:top w:val="single" w:color="CCCCCC" w:sz="1"/>
              <w:left w:val="single" w:color="CCCCCC" w:sz="1"/>
              <w:bottom w:val="single" w:color="CCCCCC" w:sz="1"/>
              <w:right w:val="single" w:color="CCCCCC" w:sz="1"/>
            </w:tcBorders>
            <w:shd w:fill="F9F9F7" w:val="clear"/>
            <w:tcMar>
              <w:top w:type="dxa" w:w="100"/>
              <w:left w:type="dxa" w:w="120"/>
              <w:bottom w:type="dxa" w:w="100"/>
              <w:right w:type="dxa" w:w="120"/>
            </w:tcMar>
          </w:tcPr>
          <w:p>
            <w:pPr>
              <w:spacing w:after="40"/>
            </w:pPr>
            <w:r>
              <w:rPr>
                <w:b/>
                <w:bCs/>
                <w:sz w:val="20"/>
                <w:szCs w:val="20"/>
              </w:rPr>
              <w:t xml:space="preserve">#6  Results</w:t>
            </w:r>
          </w:p>
          <w:p>
            <w:r>
              <w:rPr>
                <w:color w:val="666666"/>
                <w:sz w:val="18"/>
                <w:szCs w:val="18"/>
              </w:rPr>
              <w:t xml:space="preserve">Presentation of outcomes, clarity, correctness — 15 marks</w:t>
            </w:r>
          </w:p>
        </w:tc>
        <w:tc>
          <w:tcPr>
            <w:tcW w:type="dxa" w:w="700"/>
            <w:tcBorders>
              <w:top w:val="single" w:color="CCCCCC" w:sz="1"/>
              <w:left w:val="single" w:color="CCCCCC" w:sz="1"/>
              <w:bottom w:val="single" w:color="CCCCCC" w:sz="1"/>
              <w:right w:val="single" w:color="CCCCCC" w:sz="1"/>
            </w:tcBorders>
            <w:shd w:fill="F9F9F7" w:val="clear"/>
            <w:tcMar>
              <w:top w:type="dxa" w:w="100"/>
              <w:left w:type="dxa" w:w="80"/>
              <w:bottom w:type="dxa" w:w="100"/>
              <w:right w:type="dxa" w:w="80"/>
            </w:tcMar>
            <w:vAlign w:val="center"/>
          </w:tcPr>
          <w:p>
            <w:pPr>
              <w:jc w:val="center"/>
            </w:pPr>
            <w:r>
              <w:rPr>
                <w:b/>
                <w:bCs/>
                <w:sz w:val="22"/>
                <w:szCs w:val="22"/>
              </w:rPr>
              <w:t xml:space="preserve">12–13 / 15</w:t>
            </w:r>
          </w:p>
        </w:tc>
        <w:tc>
          <w:tcPr>
            <w:tcW w:type="dxa" w:w="1000"/>
            <w:tcBorders>
              <w:top w:val="single" w:color="CCCCCC" w:sz="1"/>
              <w:left w:val="single" w:color="CCCCCC" w:sz="1"/>
              <w:bottom w:val="single" w:color="CCCCCC" w:sz="1"/>
              <w:right w:val="single" w:color="CCCCCC" w:sz="1"/>
            </w:tcBorders>
            <w:shd w:fill="E6F1FB" w:val="clear"/>
            <w:tcMar>
              <w:top w:type="dxa" w:w="100"/>
              <w:left w:type="dxa" w:w="100"/>
              <w:bottom w:type="dxa" w:w="100"/>
              <w:right w:type="dxa" w:w="100"/>
            </w:tcMar>
            <w:vAlign w:val="center"/>
          </w:tcPr>
          <w:p>
            <w:pPr>
              <w:jc w:val="center"/>
            </w:pPr>
            <w:r>
              <w:rPr>
                <w:b/>
                <w:bCs/>
                <w:color w:val="0C447C"/>
                <w:sz w:val="18"/>
                <w:szCs w:val="18"/>
              </w:rPr>
              <w:t xml:space="preserve">Good</w:t>
            </w:r>
          </w:p>
        </w:tc>
        <w:tc>
          <w:tcPr>
            <w:tcW w:type="dxa" w:w="5260"/>
            <w:tcBorders>
              <w:top w:val="single" w:color="CCCCCC" w:sz="1"/>
              <w:left w:val="single" w:color="CCCCCC" w:sz="1"/>
              <w:bottom w:val="single" w:color="CCCCCC" w:sz="1"/>
              <w:right w:val="single" w:color="CCCCCC" w:sz="1"/>
            </w:tcBorders>
            <w:shd w:fill="F9F9F7" w:val="clear"/>
            <w:tcMar>
              <w:top w:type="dxa" w:w="100"/>
              <w:left w:type="dxa" w:w="120"/>
              <w:bottom w:type="dxa" w:w="100"/>
              <w:right w:type="dxa" w:w="120"/>
            </w:tcMar>
          </w:tcPr>
          <w:p>
            <w:pPr>
              <w:spacing w:after="60"/>
            </w:pPr>
            <w:r>
              <w:rPr>
                <w:sz w:val="18"/>
                <w:szCs w:val="18"/>
              </w:rPr>
              <w:t xml:space="preserve">Chapter 6 presents turn-by-turn BDI logs for three NPCs (Krakk, Moses, Troy) and a dual-build comparison. Personality differentiation is clearly evidenced — different profiles produce traceable differences in judgement scores and intention selections.</w:t>
            </w:r>
          </w:p>
          <w:p>
            <w:pPr>
              <w:spacing w:after="60"/>
            </w:pPr>
            <w:r>
              <w:rPr>
                <w:sz w:val="18"/>
                <w:szCs w:val="18"/>
              </w:rPr>
              <w:t xml:space="preserve">The NPC trajectory chart and dual-build table are effective visuals.</w:t>
            </w:r>
          </w:p>
          <w:p>
            <w:pPr>
              <w:spacing w:after="60"/>
            </w:pPr>
            <w:r>
              <w:rPr>
                <w:sz w:val="18"/>
                <w:szCs w:val="18"/>
              </w:rPr>
              <w:t xml:space="preserve">Gap for Outstanding: Results are exclusively from system logs — there are no user-facing metrics. The absence of any external benchmark needs a brief acknowledgement within Chapter 6 itself, not only deferred to Chapter 7.</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pPr>
            <w:r>
              <w:rPr>
                <w:b/>
                <w:bCs/>
                <w:sz w:val="20"/>
                <w:szCs w:val="20"/>
              </w:rPr>
              <w:t xml:space="preserve">#7  Discussion &amp; analysis</w:t>
            </w:r>
          </w:p>
          <w:p>
            <w:r>
              <w:rPr>
                <w:color w:val="666666"/>
                <w:sz w:val="18"/>
                <w:szCs w:val="18"/>
              </w:rPr>
              <w:t xml:space="preserve">Validation of outputs, justification/critique of achievements — 10 marks</w:t>
            </w:r>
          </w:p>
        </w:tc>
        <w:tc>
          <w:tcPr>
            <w:tcW w:type="dxa" w:w="700"/>
            <w:tcBorders>
              <w:top w:val="single" w:color="CCCCCC" w:sz="1"/>
              <w:left w:val="single" w:color="CCCCCC" w:sz="1"/>
              <w:bottom w:val="single" w:color="CCCCCC" w:sz="1"/>
              <w:right w:val="single" w:color="CCCCCC" w:sz="1"/>
            </w:tcBorders>
            <w:shd w:fill="FFFFFF" w:val="clear"/>
            <w:tcMar>
              <w:top w:type="dxa" w:w="100"/>
              <w:left w:type="dxa" w:w="80"/>
              <w:bottom w:type="dxa" w:w="100"/>
              <w:right w:type="dxa" w:w="80"/>
            </w:tcMar>
            <w:vAlign w:val="center"/>
          </w:tcPr>
          <w:p>
            <w:pPr>
              <w:jc w:val="center"/>
            </w:pPr>
            <w:r>
              <w:rPr>
                <w:b/>
                <w:bCs/>
                <w:sz w:val="22"/>
                <w:szCs w:val="22"/>
              </w:rPr>
              <w:t xml:space="preserve">8–9 / 10</w:t>
            </w:r>
          </w:p>
        </w:tc>
        <w:tc>
          <w:tcPr>
            <w:tcW w:type="dxa" w:w="1000"/>
            <w:tcBorders>
              <w:top w:val="single" w:color="CCCCCC" w:sz="1"/>
              <w:left w:val="single" w:color="CCCCCC" w:sz="1"/>
              <w:bottom w:val="single" w:color="CCCCCC" w:sz="1"/>
              <w:right w:val="single" w:color="CCCCCC" w:sz="1"/>
            </w:tcBorders>
            <w:shd w:fill="EAF3DE" w:val="clear"/>
            <w:tcMar>
              <w:top w:type="dxa" w:w="100"/>
              <w:left w:type="dxa" w:w="100"/>
              <w:bottom w:type="dxa" w:w="100"/>
              <w:right w:type="dxa" w:w="100"/>
            </w:tcMar>
            <w:vAlign w:val="center"/>
          </w:tcPr>
          <w:p>
            <w:pPr>
              <w:jc w:val="center"/>
            </w:pPr>
            <w:r>
              <w:rPr>
                <w:b/>
                <w:bCs/>
                <w:color w:val="27500A"/>
                <w:sz w:val="18"/>
                <w:szCs w:val="18"/>
              </w:rPr>
              <w:t xml:space="preserve">Outstanding</w:t>
            </w:r>
          </w:p>
        </w:tc>
        <w:tc>
          <w:tcPr>
            <w:tcW w:type="dxa" w:w="52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60"/>
            </w:pPr>
            <w:r>
              <w:rPr>
                <w:sz w:val="18"/>
                <w:szCs w:val="18"/>
              </w:rPr>
              <w:t xml:space="preserve">Chapter 7 separates deterministic layer validation from LLM output validation — this is intellectually honest and methodologically mature.</w:t>
            </w:r>
          </w:p>
          <w:p>
            <w:pPr>
              <w:spacing w:after="60"/>
            </w:pPr>
            <w:r>
              <w:rPr>
                <w:sz w:val="18"/>
                <w:szCs w:val="18"/>
              </w:rPr>
              <w:t xml:space="preserve">The self-critique of the log-only evaluation approach is present and handled well. Limitations (VRAM ceiling, single scenario, no human evaluation) are acknowledged clearly.</w:t>
            </w:r>
          </w:p>
          <w:p>
            <w:pPr>
              <w:spacing w:after="60"/>
            </w:pPr>
            <w:r>
              <w:rPr>
                <w:sz w:val="18"/>
                <w:szCs w:val="18"/>
              </w:rPr>
              <w:t xml:space="preserve">Strength to keep: the 'what the PNE cannot verify' framing in 7.2 is sophisticated and shows genuine critical thinking.</w:t>
            </w:r>
          </w:p>
        </w:tc>
      </w:tr>
      <w:tr>
        <w:tc>
          <w:tcPr>
            <w:tcW w:type="dxa" w:w="2400"/>
            <w:tcBorders>
              <w:top w:val="single" w:color="CCCCCC" w:sz="1"/>
              <w:left w:val="single" w:color="CCCCCC" w:sz="1"/>
              <w:bottom w:val="single" w:color="CCCCCC" w:sz="1"/>
              <w:right w:val="single" w:color="CCCCCC" w:sz="1"/>
            </w:tcBorders>
            <w:shd w:fill="F9F9F7" w:val="clear"/>
            <w:tcMar>
              <w:top w:type="dxa" w:w="100"/>
              <w:left w:type="dxa" w:w="120"/>
              <w:bottom w:type="dxa" w:w="100"/>
              <w:right w:type="dxa" w:w="120"/>
            </w:tcMar>
          </w:tcPr>
          <w:p>
            <w:pPr>
              <w:spacing w:after="40"/>
            </w:pPr>
            <w:r>
              <w:rPr>
                <w:b/>
                <w:bCs/>
                <w:sz w:val="20"/>
                <w:szCs w:val="20"/>
              </w:rPr>
              <w:t xml:space="preserve">#8  Originality of contributions</w:t>
            </w:r>
          </w:p>
          <w:p>
            <w:r>
              <w:rPr>
                <w:color w:val="666666"/>
                <w:sz w:val="18"/>
                <w:szCs w:val="18"/>
              </w:rPr>
              <w:t xml:space="preserve">Innovative solution approach adopted/adapted — 5 marks</w:t>
            </w:r>
          </w:p>
        </w:tc>
        <w:tc>
          <w:tcPr>
            <w:tcW w:type="dxa" w:w="700"/>
            <w:tcBorders>
              <w:top w:val="single" w:color="CCCCCC" w:sz="1"/>
              <w:left w:val="single" w:color="CCCCCC" w:sz="1"/>
              <w:bottom w:val="single" w:color="CCCCCC" w:sz="1"/>
              <w:right w:val="single" w:color="CCCCCC" w:sz="1"/>
            </w:tcBorders>
            <w:shd w:fill="F9F9F7" w:val="clear"/>
            <w:tcMar>
              <w:top w:type="dxa" w:w="100"/>
              <w:left w:type="dxa" w:w="80"/>
              <w:bottom w:type="dxa" w:w="100"/>
              <w:right w:type="dxa" w:w="80"/>
            </w:tcMar>
            <w:vAlign w:val="center"/>
          </w:tcPr>
          <w:p>
            <w:pPr>
              <w:jc w:val="center"/>
            </w:pPr>
            <w:r>
              <w:rPr>
                <w:b/>
                <w:bCs/>
                <w:sz w:val="22"/>
                <w:szCs w:val="22"/>
              </w:rPr>
              <w:t xml:space="preserve">4–5 / 5</w:t>
            </w:r>
          </w:p>
        </w:tc>
        <w:tc>
          <w:tcPr>
            <w:tcW w:type="dxa" w:w="1000"/>
            <w:tcBorders>
              <w:top w:val="single" w:color="CCCCCC" w:sz="1"/>
              <w:left w:val="single" w:color="CCCCCC" w:sz="1"/>
              <w:bottom w:val="single" w:color="CCCCCC" w:sz="1"/>
              <w:right w:val="single" w:color="CCCCCC" w:sz="1"/>
            </w:tcBorders>
            <w:shd w:fill="EAF3DE" w:val="clear"/>
            <w:tcMar>
              <w:top w:type="dxa" w:w="100"/>
              <w:left w:type="dxa" w:w="100"/>
              <w:bottom w:type="dxa" w:w="100"/>
              <w:right w:type="dxa" w:w="100"/>
            </w:tcMar>
            <w:vAlign w:val="center"/>
          </w:tcPr>
          <w:p>
            <w:pPr>
              <w:jc w:val="center"/>
            </w:pPr>
            <w:r>
              <w:rPr>
                <w:b/>
                <w:bCs/>
                <w:color w:val="27500A"/>
                <w:sz w:val="18"/>
                <w:szCs w:val="18"/>
              </w:rPr>
              <w:t xml:space="preserve">Outstanding</w:t>
            </w:r>
          </w:p>
        </w:tc>
        <w:tc>
          <w:tcPr>
            <w:tcW w:type="dxa" w:w="5260"/>
            <w:tcBorders>
              <w:top w:val="single" w:color="CCCCCC" w:sz="1"/>
              <w:left w:val="single" w:color="CCCCCC" w:sz="1"/>
              <w:bottom w:val="single" w:color="CCCCCC" w:sz="1"/>
              <w:right w:val="single" w:color="CCCCCC" w:sz="1"/>
            </w:tcBorders>
            <w:shd w:fill="F9F9F7" w:val="clear"/>
            <w:tcMar>
              <w:top w:type="dxa" w:w="100"/>
              <w:left w:type="dxa" w:w="120"/>
              <w:bottom w:type="dxa" w:w="100"/>
              <w:right w:type="dxa" w:w="120"/>
            </w:tcMar>
          </w:tcPr>
          <w:p>
            <w:pPr>
              <w:spacing w:after="60"/>
            </w:pPr>
            <w:r>
              <w:rPr>
                <w:sz w:val="18"/>
                <w:szCs w:val="18"/>
              </w:rPr>
              <w:t xml:space="preserve">Section 8.2 articulates the originality claim clearly: no prior system combines personality-parameterised BDI + deterministic reasoning + locally-deployable LLM + closed intention vocabulary + engine-agnostic API.</w:t>
            </w:r>
          </w:p>
          <w:p>
            <w:pPr>
              <w:spacing w:after="60"/>
            </w:pPr>
            <w:r>
              <w:rPr>
                <w:sz w:val="18"/>
                <w:szCs w:val="18"/>
              </w:rPr>
              <w:t xml:space="preserve">The comparison against Facade, Generative Agents, and Bordini et al. is specific and well-grounded.</w:t>
            </w:r>
          </w:p>
          <w:p>
            <w:pPr>
              <w:spacing w:after="60"/>
            </w:pPr>
            <w:r>
              <w:rPr>
                <w:sz w:val="18"/>
                <w:szCs w:val="18"/>
              </w:rPr>
              <w:t xml:space="preserve">The 'emergence on the NPC side' framing is genuinely novel in the relevant literature context.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40"/>
            </w:pPr>
            <w:r>
              <w:rPr>
                <w:b/>
                <w:bCs/>
                <w:sz w:val="20"/>
                <w:szCs w:val="20"/>
              </w:rPr>
              <w:t xml:space="preserve">#9  Organisation &amp; presentation</w:t>
            </w:r>
          </w:p>
          <w:p>
            <w:r>
              <w:rPr>
                <w:color w:val="666666"/>
                <w:sz w:val="18"/>
                <w:szCs w:val="18"/>
              </w:rPr>
              <w:t xml:space="preserve">Structure, writing quality, references, citations, word limit — 5 marks</w:t>
            </w:r>
          </w:p>
        </w:tc>
        <w:tc>
          <w:tcPr>
            <w:tcW w:type="dxa" w:w="700"/>
            <w:tcBorders>
              <w:top w:val="single" w:color="CCCCCC" w:sz="1"/>
              <w:left w:val="single" w:color="CCCCCC" w:sz="1"/>
              <w:bottom w:val="single" w:color="CCCCCC" w:sz="1"/>
              <w:right w:val="single" w:color="CCCCCC" w:sz="1"/>
            </w:tcBorders>
            <w:shd w:fill="FFFFFF" w:val="clear"/>
            <w:tcMar>
              <w:top w:type="dxa" w:w="100"/>
              <w:left w:type="dxa" w:w="80"/>
              <w:bottom w:type="dxa" w:w="100"/>
              <w:right w:type="dxa" w:w="80"/>
            </w:tcMar>
            <w:vAlign w:val="center"/>
          </w:tcPr>
          <w:p>
            <w:pPr>
              <w:jc w:val="center"/>
            </w:pPr>
            <w:r>
              <w:rPr>
                <w:b/>
                <w:bCs/>
                <w:sz w:val="22"/>
                <w:szCs w:val="22"/>
              </w:rPr>
              <w:t xml:space="preserve">3 / 5</w:t>
            </w:r>
          </w:p>
        </w:tc>
        <w:tc>
          <w:tcPr>
            <w:tcW w:type="dxa" w:w="1000"/>
            <w:tcBorders>
              <w:top w:val="single" w:color="CCCCCC" w:sz="1"/>
              <w:left w:val="single" w:color="CCCCCC" w:sz="1"/>
              <w:bottom w:val="single" w:color="CCCCCC" w:sz="1"/>
              <w:right w:val="single" w:color="CCCCCC" w:sz="1"/>
            </w:tcBorders>
            <w:shd w:fill="FAEEDA" w:val="clear"/>
            <w:tcMar>
              <w:top w:type="dxa" w:w="100"/>
              <w:left w:type="dxa" w:w="100"/>
              <w:bottom w:type="dxa" w:w="100"/>
              <w:right w:type="dxa" w:w="100"/>
            </w:tcMar>
            <w:vAlign w:val="center"/>
          </w:tcPr>
          <w:p>
            <w:pPr>
              <w:jc w:val="center"/>
            </w:pPr>
            <w:r>
              <w:rPr>
                <w:b/>
                <w:bCs/>
                <w:color w:val="633806"/>
                <w:sz w:val="18"/>
                <w:szCs w:val="18"/>
              </w:rPr>
              <w:t xml:space="preserve">Satisfactory</w:t>
            </w:r>
          </w:p>
        </w:tc>
        <w:tc>
          <w:tcPr>
            <w:tcW w:type="dxa" w:w="52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spacing w:after="60"/>
            </w:pPr>
            <w:r>
              <w:rPr>
                <w:sz w:val="18"/>
                <w:szCs w:val="18"/>
              </w:rPr>
              <w:t xml:space="preserve">CRITICAL: Word count overage is the primary risk. At ~25,400 body words against a 20,000-word ceiling, the dissertation is approximately 27% over limit.</w:t>
            </w:r>
          </w:p>
          <w:p>
            <w:pPr>
              <w:spacing w:after="60"/>
            </w:pPr>
            <w:r>
              <w:rPr>
                <w:sz w:val="18"/>
                <w:szCs w:val="18"/>
              </w:rPr>
              <w:t xml:space="preserve">Structure is logical and headings are consistent. Writing quality is high — confident, clear, and technical without being impenetrable.</w:t>
            </w:r>
          </w:p>
          <w:p>
            <w:pPr>
              <w:spacing w:after="60"/>
            </w:pPr>
            <w:r>
              <w:rPr>
                <w:sz w:val="18"/>
                <w:szCs w:val="18"/>
              </w:rPr>
              <w:t xml:space="preserve">Reference style is mostly consistent Harvard, but in-text citations are underused in Chapters 4–6 (heavy on formulas, light on cited support for design decisions).</w:t>
            </w:r>
          </w:p>
          <w:p>
            <w:pPr>
              <w:spacing w:after="60"/>
            </w:pPr>
            <w:r>
              <w:rPr>
                <w:sz w:val="18"/>
                <w:szCs w:val="18"/>
              </w:rPr>
              <w:t xml:space="preserve">Several appendices reference external Markdown files that will not be visible to a marker reading the PDF submission.</w:t>
            </w:r>
          </w:p>
        </w:tc>
      </w:tr>
      <w:tr>
        <w:tc>
          <w:tcPr>
            <w:tcW w:type="dxa" w:w="2400"/>
            <w:tcBorders>
              <w:top w:val="single" w:color="CCCCCC" w:sz="1"/>
              <w:left w:val="single" w:color="CCCCCC" w:sz="1"/>
              <w:bottom w:val="single" w:color="CCCCCC" w:sz="1"/>
              <w:right w:val="single" w:color="CCCCCC" w:sz="1"/>
            </w:tcBorders>
            <w:shd w:fill="F9F9F7" w:val="clear"/>
            <w:tcMar>
              <w:top w:type="dxa" w:w="100"/>
              <w:left w:type="dxa" w:w="120"/>
              <w:bottom w:type="dxa" w:w="100"/>
              <w:right w:type="dxa" w:w="120"/>
            </w:tcMar>
          </w:tcPr>
          <w:p>
            <w:pPr>
              <w:spacing w:after="40"/>
            </w:pPr>
            <w:r>
              <w:rPr>
                <w:b/>
                <w:bCs/>
                <w:sz w:val="20"/>
                <w:szCs w:val="20"/>
              </w:rPr>
              <w:t xml:space="preserve">#10  Reflection</w:t>
            </w:r>
          </w:p>
          <w:p>
            <w:r>
              <w:rPr>
                <w:color w:val="666666"/>
                <w:sz w:val="18"/>
                <w:szCs w:val="18"/>
              </w:rPr>
              <w:t xml:space="preserve">Reflection on project and learning experience — 5 marks</w:t>
            </w:r>
          </w:p>
        </w:tc>
        <w:tc>
          <w:tcPr>
            <w:tcW w:type="dxa" w:w="700"/>
            <w:tcBorders>
              <w:top w:val="single" w:color="CCCCCC" w:sz="1"/>
              <w:left w:val="single" w:color="CCCCCC" w:sz="1"/>
              <w:bottom w:val="single" w:color="CCCCCC" w:sz="1"/>
              <w:right w:val="single" w:color="CCCCCC" w:sz="1"/>
            </w:tcBorders>
            <w:shd w:fill="F9F9F7" w:val="clear"/>
            <w:tcMar>
              <w:top w:type="dxa" w:w="100"/>
              <w:left w:type="dxa" w:w="80"/>
              <w:bottom w:type="dxa" w:w="100"/>
              <w:right w:type="dxa" w:w="80"/>
            </w:tcMar>
            <w:vAlign w:val="center"/>
          </w:tcPr>
          <w:p>
            <w:pPr>
              <w:jc w:val="center"/>
            </w:pPr>
            <w:r>
              <w:rPr>
                <w:b/>
                <w:bCs/>
                <w:sz w:val="22"/>
                <w:szCs w:val="22"/>
              </w:rPr>
              <w:t xml:space="preserve">4–5 / 5</w:t>
            </w:r>
          </w:p>
        </w:tc>
        <w:tc>
          <w:tcPr>
            <w:tcW w:type="dxa" w:w="1000"/>
            <w:tcBorders>
              <w:top w:val="single" w:color="CCCCCC" w:sz="1"/>
              <w:left w:val="single" w:color="CCCCCC" w:sz="1"/>
              <w:bottom w:val="single" w:color="CCCCCC" w:sz="1"/>
              <w:right w:val="single" w:color="CCCCCC" w:sz="1"/>
            </w:tcBorders>
            <w:shd w:fill="EAF3DE" w:val="clear"/>
            <w:tcMar>
              <w:top w:type="dxa" w:w="100"/>
              <w:left w:type="dxa" w:w="100"/>
              <w:bottom w:type="dxa" w:w="100"/>
              <w:right w:type="dxa" w:w="100"/>
            </w:tcMar>
            <w:vAlign w:val="center"/>
          </w:tcPr>
          <w:p>
            <w:pPr>
              <w:jc w:val="center"/>
            </w:pPr>
            <w:r>
              <w:rPr>
                <w:b/>
                <w:bCs/>
                <w:color w:val="27500A"/>
                <w:sz w:val="18"/>
                <w:szCs w:val="18"/>
              </w:rPr>
              <w:t xml:space="preserve">Outstanding</w:t>
            </w:r>
          </w:p>
        </w:tc>
        <w:tc>
          <w:tcPr>
            <w:tcW w:type="dxa" w:w="5260"/>
            <w:tcBorders>
              <w:top w:val="single" w:color="CCCCCC" w:sz="1"/>
              <w:left w:val="single" w:color="CCCCCC" w:sz="1"/>
              <w:bottom w:val="single" w:color="CCCCCC" w:sz="1"/>
              <w:right w:val="single" w:color="CCCCCC" w:sz="1"/>
            </w:tcBorders>
            <w:shd w:fill="F9F9F7" w:val="clear"/>
            <w:tcMar>
              <w:top w:type="dxa" w:w="100"/>
              <w:left w:type="dxa" w:w="120"/>
              <w:bottom w:type="dxa" w:w="100"/>
              <w:right w:type="dxa" w:w="120"/>
            </w:tcMar>
          </w:tcPr>
          <w:p>
            <w:pPr>
              <w:spacing w:after="60"/>
            </w:pPr>
            <w:r>
              <w:rPr>
                <w:sz w:val="18"/>
                <w:szCs w:val="18"/>
              </w:rPr>
              <w:t xml:space="preserve">Section 8.4 is personal, specific, and insightful. The admission that BDI was unfamiliar before the project, and that Ollama surprised in the opposite direction to expectations, shows genuine intellectual honesty.</w:t>
            </w:r>
          </w:p>
          <w:p>
            <w:pPr>
              <w:spacing w:after="60"/>
            </w:pPr>
            <w:r>
              <w:rPr>
                <w:sz w:val="18"/>
                <w:szCs w:val="18"/>
              </w:rPr>
              <w:t xml:space="preserve">The 'passion comes first' framing is authentic and not generic.</w:t>
            </w:r>
          </w:p>
          <w:p>
            <w:pPr>
              <w:spacing w:after="60"/>
            </w:pPr>
            <w:r>
              <w:rPr>
                <w:sz w:val="18"/>
                <w:szCs w:val="18"/>
              </w:rPr>
              <w:t xml:space="preserve">Keep this section intact — it is one of the strongest passages in the dissertation.</w:t>
            </w:r>
          </w:p>
        </w:tc>
      </w:tr>
    </w:tbl>
    <w:p>
      <w:pPr>
        <w:spacing w:after="80"/>
      </w:pPr>
      <w:r>
        <w:t xml:space="preserve"/>
      </w:r>
    </w:p>
    <w:p>
      <w:pPr>
        <w:spacing w:after="80"/>
      </w:pPr>
      <w:r>
        <w:t xml:space="preserve"/>
      </w:r>
    </w:p>
    <w:p>
      <w:pPr>
        <w:pStyle w:val="Heading1"/>
      </w:pPr>
      <w:r>
        <w:t xml:space="preserve">Word count by chapter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3560"/>
      </w:tblGrid>
      <w:tr>
        <w:tc>
          <w:tcPr>
            <w:tcW w:type="dxa" w:w="4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Chapter</w:t>
            </w:r>
          </w:p>
        </w:tc>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Word count</w:t>
            </w:r>
          </w:p>
        </w:tc>
        <w:tc>
          <w:tcPr>
            <w:tcW w:type="dxa" w:w="3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Recommendation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Chapter 1 — Introduction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b/>
                <w:bCs/>
                <w:sz w:val="18"/>
                <w:szCs w:val="18"/>
              </w:rPr>
              <w:t xml:space="preserve">1,734</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AAAAAA"/>
                <w:sz w:val="18"/>
                <w:szCs w:val="18"/>
              </w:rPr>
              <w:t xml:space="preserve">—</w:t>
            </w:r>
          </w:p>
        </w:tc>
      </w:tr>
      <w:tr>
        <w:tc>
          <w:tcPr>
            <w:tcW w:type="dxa" w:w="40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sz w:val="18"/>
                <w:szCs w:val="18"/>
              </w:rPr>
              <w:t xml:space="preserve">Chapter 2 — Social, Legal &amp; Ethical</w:t>
            </w:r>
          </w:p>
        </w:tc>
        <w:tc>
          <w:tcPr>
            <w:tcW w:type="dxa" w:w="18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pPr>
              <w:jc w:val="right"/>
            </w:pPr>
            <w:r>
              <w:rPr>
                <w:b/>
                <w:bCs/>
                <w:sz w:val="18"/>
                <w:szCs w:val="18"/>
              </w:rPr>
              <w:t xml:space="preserve">1,510</w:t>
            </w:r>
          </w:p>
        </w:tc>
        <w:tc>
          <w:tcPr>
            <w:tcW w:type="dxa" w:w="356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b/>
                <w:bCs/>
                <w:color w:val="27500A"/>
                <w:sz w:val="18"/>
                <w:szCs w:val="18"/>
              </w:rPr>
              <w:t xml:space="preserve">Well-sized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Chapter 3 — Literature Review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b/>
                <w:bCs/>
                <w:sz w:val="18"/>
                <w:szCs w:val="18"/>
              </w:rPr>
              <w:t xml:space="preserve">5,526</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633806"/>
                <w:sz w:val="18"/>
                <w:szCs w:val="18"/>
              </w:rPr>
              <w:t xml:space="preserve">Trim 10–15%</w:t>
            </w:r>
          </w:p>
        </w:tc>
      </w:tr>
      <w:tr>
        <w:tc>
          <w:tcPr>
            <w:tcW w:type="dxa" w:w="40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sz w:val="18"/>
                <w:szCs w:val="18"/>
              </w:rPr>
              <w:t xml:space="preserve">Chapter 4 — Methodology</w:t>
            </w:r>
          </w:p>
        </w:tc>
        <w:tc>
          <w:tcPr>
            <w:tcW w:type="dxa" w:w="18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pPr>
              <w:jc w:val="right"/>
            </w:pPr>
            <w:r>
              <w:rPr>
                <w:b/>
                <w:bCs/>
                <w:sz w:val="18"/>
                <w:szCs w:val="18"/>
              </w:rPr>
              <w:t xml:space="preserve">4,982</w:t>
            </w:r>
          </w:p>
        </w:tc>
        <w:tc>
          <w:tcPr>
            <w:tcW w:type="dxa" w:w="356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b/>
                <w:bCs/>
                <w:color w:val="633806"/>
                <w:sz w:val="18"/>
                <w:szCs w:val="18"/>
              </w:rPr>
              <w:t xml:space="preserve">Trim 10%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Chapter 5 — Results &amp; Discussion (design)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b/>
                <w:bCs/>
                <w:sz w:val="18"/>
                <w:szCs w:val="18"/>
              </w:rPr>
              <w:t xml:space="preserve">3,729</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A32D2D"/>
                <w:sz w:val="18"/>
                <w:szCs w:val="18"/>
              </w:rPr>
              <w:t xml:space="preserve">Cut 20–25%</w:t>
            </w:r>
          </w:p>
        </w:tc>
      </w:tr>
      <w:tr>
        <w:tc>
          <w:tcPr>
            <w:tcW w:type="dxa" w:w="40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sz w:val="18"/>
                <w:szCs w:val="18"/>
              </w:rPr>
              <w:t xml:space="preserve">Chapter 6 — Results</w:t>
            </w:r>
          </w:p>
        </w:tc>
        <w:tc>
          <w:tcPr>
            <w:tcW w:type="dxa" w:w="18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pPr>
              <w:jc w:val="right"/>
            </w:pPr>
            <w:r>
              <w:rPr>
                <w:b/>
                <w:bCs/>
                <w:sz w:val="18"/>
                <w:szCs w:val="18"/>
              </w:rPr>
              <w:t xml:space="preserve">2,565</w:t>
            </w:r>
          </w:p>
        </w:tc>
        <w:tc>
          <w:tcPr>
            <w:tcW w:type="dxa" w:w="356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b/>
                <w:bCs/>
                <w:color w:val="27500A"/>
                <w:sz w:val="18"/>
                <w:szCs w:val="18"/>
              </w:rPr>
              <w:t xml:space="preserve">Well-sized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Chapter 7 — Discussion &amp; Analysis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b/>
                <w:bCs/>
                <w:sz w:val="18"/>
                <w:szCs w:val="18"/>
              </w:rPr>
              <w:t xml:space="preserve">3,958</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633806"/>
                <w:sz w:val="18"/>
                <w:szCs w:val="18"/>
              </w:rPr>
              <w:t xml:space="preserve">Trim 10%</w:t>
            </w:r>
          </w:p>
        </w:tc>
      </w:tr>
      <w:tr>
        <w:tc>
          <w:tcPr>
            <w:tcW w:type="dxa" w:w="40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sz w:val="18"/>
                <w:szCs w:val="18"/>
              </w:rPr>
              <w:t xml:space="preserve">Chapter 8 — Conclusion &amp; Reflection</w:t>
            </w:r>
          </w:p>
        </w:tc>
        <w:tc>
          <w:tcPr>
            <w:tcW w:type="dxa" w:w="180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pPr>
              <w:jc w:val="right"/>
            </w:pPr>
            <w:r>
              <w:rPr>
                <w:b/>
                <w:bCs/>
                <w:sz w:val="18"/>
                <w:szCs w:val="18"/>
              </w:rPr>
              <w:t xml:space="preserve">1,463</w:t>
            </w:r>
          </w:p>
        </w:tc>
        <w:tc>
          <w:tcPr>
            <w:tcW w:type="dxa" w:w="3560"/>
            <w:tcBorders>
              <w:top w:val="single" w:color="CCCCCC" w:sz="1"/>
              <w:left w:val="single" w:color="CCCCCC" w:sz="1"/>
              <w:bottom w:val="single" w:color="CCCCCC" w:sz="1"/>
              <w:right w:val="single" w:color="CCCCCC" w:sz="1"/>
            </w:tcBorders>
            <w:shd w:fill="F9F9F7" w:val="clear"/>
            <w:tcMar>
              <w:top w:type="dxa" w:w="80"/>
              <w:left w:type="dxa" w:w="120"/>
              <w:bottom w:type="dxa" w:w="80"/>
              <w:right w:type="dxa" w:w="120"/>
            </w:tcMar>
          </w:tcPr>
          <w:p>
            <w:r>
              <w:rPr>
                <w:b/>
                <w:bCs/>
                <w:color w:val="27500A"/>
                <w:sz w:val="18"/>
                <w:szCs w:val="18"/>
              </w:rPr>
              <w:t xml:space="preserve">Well-sized</w:t>
            </w:r>
          </w:p>
        </w:tc>
      </w:tr>
      <w:tr>
        <w:tc>
          <w:tcPr>
            <w:tcW w:type="dxa" w:w="4000"/>
            <w:tcBorders>
              <w:top w:val="single" w:color="CCCCCC" w:sz="1"/>
              <w:left w:val="single" w:color="CCCCCC" w:sz="1"/>
              <w:bottom w:val="single" w:color="CCCCCC" w:sz="1"/>
              <w:right w:val="single" w:color="CCCCCC" w:sz="1"/>
            </w:tcBorders>
            <w:shd w:fill="FFF3CD" w:val="clear"/>
            <w:tcMar>
              <w:top w:type="dxa" w:w="100"/>
              <w:left w:type="dxa" w:w="120"/>
              <w:bottom w:type="dxa" w:w="100"/>
              <w:right w:type="dxa" w:w="120"/>
            </w:tcMar>
          </w:tcPr>
          <w:p>
            <w:r>
              <w:rPr>
                <w:b/>
                <w:bCs/>
                <w:sz w:val="20"/>
                <w:szCs w:val="20"/>
              </w:rPr>
              <w:t xml:space="preserve">Body total (limit: 20,000 words)</w:t>
            </w:r>
          </w:p>
        </w:tc>
        <w:tc>
          <w:tcPr>
            <w:tcW w:type="dxa" w:w="1800"/>
            <w:tcBorders>
              <w:top w:val="single" w:color="CCCCCC" w:sz="1"/>
              <w:left w:val="single" w:color="CCCCCC" w:sz="1"/>
              <w:bottom w:val="single" w:color="CCCCCC" w:sz="1"/>
              <w:right w:val="single" w:color="CCCCCC" w:sz="1"/>
            </w:tcBorders>
            <w:shd w:fill="FFF3CD" w:val="clear"/>
            <w:tcMar>
              <w:top w:type="dxa" w:w="100"/>
              <w:left w:type="dxa" w:w="120"/>
              <w:bottom w:type="dxa" w:w="100"/>
              <w:right w:type="dxa" w:w="120"/>
            </w:tcMar>
          </w:tcPr>
          <w:p>
            <w:pPr>
              <w:jc w:val="right"/>
            </w:pPr>
            <w:r>
              <w:rPr>
                <w:b/>
                <w:bCs/>
                <w:color w:val="A32D2D"/>
                <w:sz w:val="20"/>
                <w:szCs w:val="20"/>
              </w:rPr>
              <w:t xml:space="preserve">~25,400</w:t>
            </w:r>
          </w:p>
        </w:tc>
        <w:tc>
          <w:tcPr>
            <w:tcW w:type="dxa" w:w="3560"/>
            <w:tcBorders>
              <w:top w:val="single" w:color="CCCCCC" w:sz="1"/>
              <w:left w:val="single" w:color="CCCCCC" w:sz="1"/>
              <w:bottom w:val="single" w:color="CCCCCC" w:sz="1"/>
              <w:right w:val="single" w:color="CCCCCC" w:sz="1"/>
            </w:tcBorders>
            <w:shd w:fill="FFF3CD" w:val="clear"/>
            <w:tcMar>
              <w:top w:type="dxa" w:w="100"/>
              <w:left w:type="dxa" w:w="120"/>
              <w:bottom w:type="dxa" w:w="100"/>
              <w:right w:type="dxa" w:w="120"/>
            </w:tcMar>
          </w:tcPr>
          <w:p>
            <w:r>
              <w:rPr>
                <w:b/>
                <w:bCs/>
                <w:color w:val="A32D2D"/>
                <w:sz w:val="20"/>
                <w:szCs w:val="20"/>
              </w:rPr>
              <w:t xml:space="preserve">~5,400 words over limit</w:t>
            </w:r>
          </w:p>
        </w:tc>
      </w:tr>
      <w:tr>
        <w:tc>
          <w:tcPr>
            <w:tcW w:type="dxa" w:w="4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color w:val="666666"/>
                <w:sz w:val="18"/>
                <w:szCs w:val="18"/>
              </w:rPr>
              <w:t xml:space="preserve">References (not counted)</w:t>
            </w:r>
          </w:p>
        </w:tc>
        <w:tc>
          <w:tcPr>
            <w:tcW w:type="dxa" w:w="1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pPr>
              <w:jc w:val="right"/>
            </w:pPr>
            <w:r>
              <w:rPr>
                <w:color w:val="666666"/>
                <w:sz w:val="18"/>
                <w:szCs w:val="18"/>
              </w:rPr>
              <w:t xml:space="preserve">~4,620</w:t>
            </w:r>
          </w:p>
        </w:tc>
        <w:tc>
          <w:tcPr>
            <w:tcW w:type="dxa" w:w="356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color w:val="AAAAAA"/>
                <w:sz w:val="18"/>
                <w:szCs w:val="18"/>
              </w:rPr>
              <w:t xml:space="preserve">—</w:t>
            </w:r>
          </w:p>
        </w:tc>
      </w:tr>
    </w:tbl>
    <w:p>
      <w:pPr>
        <w:spacing w:after="80"/>
      </w:pPr>
      <w:r>
        <w:t xml:space="preserve"/>
      </w:r>
    </w:p>
    <w:p>
      <w:pPr>
        <w:spacing w:after="80"/>
      </w:pPr>
      <w:r>
        <w:t xml:space="preserve"/>
      </w:r>
    </w:p>
    <w:p>
      <w:pPr>
        <w:pStyle w:val="Heading1"/>
      </w:pPr>
      <w:r>
        <w:t xml:space="preserve">Priority actions before submission</w:t>
      </w:r>
    </w:p>
    <w:p>
      <w:pPr>
        <w:spacing w:after="80"/>
      </w:pPr>
      <w:r>
        <w:t xml:space="preserve"/>
      </w:r>
    </w:p>
    <w:p>
      <w:pPr>
        <w:spacing w:after="80"/>
      </w:pPr>
      <w:r>
        <w:rPr>
          <w:b/>
          <w:bCs/>
          <w:color w:val="A32D2D"/>
          <w:sz w:val="22"/>
          <w:szCs w:val="22"/>
        </w:rPr>
        <w:t xml:space="preserve">1.  Reduce Chapter 5 by 800–1,000 words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E24B4A" w:val="clear"/>
            <w:tcMar>
              <w:top w:type="dxa" w:w="0"/>
              <w:left w:type="dxa" w:w="0"/>
              <w:bottom w:type="dxa" w:w="0"/>
              <w:right w:type="dxa" w:w="0"/>
            </w:tcMar>
          </w:tcPr>
          <w:p>
            <w:r>
              <w:t xml:space="preserve"/>
            </w:r>
          </w:p>
        </w:tc>
        <w:tc>
          <w:tcPr>
            <w:tcW w:type="dxa" w:w="9240"/>
            <w:tcBorders>
              <w:top w:val="none" w:color="FFFFFF" w:sz="0"/>
              <w:left w:val="none" w:color="FFFFFF" w:sz="0"/>
              <w:bottom w:val="none" w:color="FFFFFF" w:sz="0"/>
              <w:right w:val="none" w:color="FFFFFF" w:sz="0"/>
            </w:tcBorders>
            <w:shd w:fill="FFF5F5" w:val="clear"/>
            <w:tcMar>
              <w:top w:type="dxa" w:w="120"/>
              <w:left w:type="dxa" w:w="200"/>
              <w:bottom w:type="dxa" w:w="120"/>
              <w:right w:type="dxa" w:w="160"/>
            </w:tcMar>
          </w:tcPr>
          <w:p>
            <w:pPr>
              <w:spacing w:after="60"/>
            </w:pPr>
            <w:r>
              <w:rPr>
                <w:b/>
                <w:bCs/>
                <w:sz w:val="20"/>
                <w:szCs w:val="20"/>
              </w:rPr>
              <w:t xml:space="preserve">Chapter 5 — Design documentation overlap</w:t>
            </w:r>
          </w:p>
          <w:p>
            <w:r>
              <w:rPr>
                <w:color w:val="444444"/>
                <w:sz w:val="18"/>
                <w:szCs w:val="18"/>
              </w:rPr>
              <w:t xml:space="preserve">Sections 5.1.1–5.1.3 repeat architectural information already covered in Chapter 4. The 'core vs supporting components' breakdown (5.1.2) can be condensed to a table. The NPC data structure prose (5.1.4) is very granular — move to an appendix or cut. Target: reduce from ~3,729 to ~2,800 words.</w:t>
            </w:r>
          </w:p>
        </w:tc>
      </w:tr>
    </w:tbl>
    <w:p>
      <w:pPr>
        <w:spacing w:after="80"/>
      </w:pPr>
      <w:r>
        <w:t xml:space="preserve"/>
      </w:r>
    </w:p>
    <w:p>
      <w:pPr>
        <w:spacing w:after="80"/>
      </w:pPr>
      <w:r>
        <w:rPr>
          <w:b/>
          <w:bCs/>
          <w:color w:val="BA7517"/>
          <w:sz w:val="22"/>
          <w:szCs w:val="22"/>
        </w:rPr>
        <w:t xml:space="preserve">2.  Trim Chapter 3 literature review by 500–700 words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EF9F27" w:val="clear"/>
            <w:tcMar>
              <w:top w:type="dxa" w:w="0"/>
              <w:left w:type="dxa" w:w="0"/>
              <w:bottom w:type="dxa" w:w="0"/>
              <w:right w:type="dxa" w:w="0"/>
            </w:tcMar>
          </w:tcPr>
          <w:p>
            <w:r>
              <w:t xml:space="preserve"/>
            </w:r>
          </w:p>
        </w:tc>
        <w:tc>
          <w:tcPr>
            <w:tcW w:type="dxa" w:w="9240"/>
            <w:tcBorders>
              <w:top w:val="none" w:color="FFFFFF" w:sz="0"/>
              <w:left w:val="none" w:color="FFFFFF" w:sz="0"/>
              <w:bottom w:val="none" w:color="FFFFFF" w:sz="0"/>
              <w:right w:val="none" w:color="FFFFFF" w:sz="0"/>
            </w:tcBorders>
            <w:shd w:fill="FFFBF0" w:val="clear"/>
            <w:tcMar>
              <w:top w:type="dxa" w:w="120"/>
              <w:left w:type="dxa" w:w="200"/>
              <w:bottom w:type="dxa" w:w="120"/>
              <w:right w:type="dxa" w:w="160"/>
            </w:tcMar>
          </w:tcPr>
          <w:p>
            <w:pPr>
              <w:spacing w:after="60"/>
            </w:pPr>
            <w:r>
              <w:rPr>
                <w:b/>
                <w:bCs/>
                <w:sz w:val="20"/>
                <w:szCs w:val="20"/>
              </w:rPr>
              <w:t xml:space="preserve">Chapter 3 — Description before critique</w:t>
            </w:r>
          </w:p>
          <w:p>
            <w:r>
              <w:rPr>
                <w:color w:val="444444"/>
                <w:sz w:val="18"/>
                <w:szCs w:val="18"/>
              </w:rPr>
              <w:t xml:space="preserve">Subsections 3.3.2 (Guimond) and 3.4.2 (Wooldridge) describe the source material at length before critiquing it. Compress description and foreground the critique. The 'gap the PNE fills' argument in 3.7 can be tightened by pulling in some of the sharper framing from Section 8.2. Target: ~4,800 words.</w:t>
            </w:r>
          </w:p>
        </w:tc>
      </w:tr>
    </w:tbl>
    <w:p>
      <w:pPr>
        <w:spacing w:after="80"/>
      </w:pPr>
      <w:r>
        <w:t xml:space="preserve"/>
      </w:r>
    </w:p>
    <w:p>
      <w:pPr>
        <w:spacing w:after="80"/>
      </w:pPr>
      <w:r>
        <w:rPr>
          <w:b/>
          <w:bCs/>
          <w:color w:val="BA7517"/>
          <w:sz w:val="22"/>
          <w:szCs w:val="22"/>
        </w:rPr>
        <w:t xml:space="preserve">3.  Trim Chapter 7 discussion by 300–400 words  [MEDIUM]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EF9F27" w:val="clear"/>
            <w:tcMar>
              <w:top w:type="dxa" w:w="0"/>
              <w:left w:type="dxa" w:w="0"/>
              <w:bottom w:type="dxa" w:w="0"/>
              <w:right w:type="dxa" w:w="0"/>
            </w:tcMar>
          </w:tcPr>
          <w:p>
            <w:r>
              <w:t xml:space="preserve"/>
            </w:r>
          </w:p>
        </w:tc>
        <w:tc>
          <w:tcPr>
            <w:tcW w:type="dxa" w:w="9240"/>
            <w:tcBorders>
              <w:top w:val="none" w:color="FFFFFF" w:sz="0"/>
              <w:left w:val="none" w:color="FFFFFF" w:sz="0"/>
              <w:bottom w:val="none" w:color="FFFFFF" w:sz="0"/>
              <w:right w:val="none" w:color="FFFFFF" w:sz="0"/>
            </w:tcBorders>
            <w:shd w:fill="FFFBF0" w:val="clear"/>
            <w:tcMar>
              <w:top w:type="dxa" w:w="120"/>
              <w:left w:type="dxa" w:w="200"/>
              <w:bottom w:type="dxa" w:w="120"/>
              <w:right w:type="dxa" w:w="160"/>
            </w:tcMar>
          </w:tcPr>
          <w:p>
            <w:pPr>
              <w:spacing w:after="60"/>
            </w:pPr>
            <w:r>
              <w:rPr>
                <w:b/>
                <w:bCs/>
                <w:sz w:val="20"/>
                <w:szCs w:val="20"/>
              </w:rPr>
              <w:t xml:space="preserve">Chapter 7 — Some passages re-summarise prior chapters</w:t>
            </w:r>
          </w:p>
          <w:p>
            <w:r>
              <w:rPr>
                <w:color w:val="444444"/>
                <w:sz w:val="18"/>
                <w:szCs w:val="18"/>
              </w:rPr>
              <w:t xml:space="preserve">Several paragraphs in 7.1 restate results from Chapter 6 before analysing them. Tighten by removing restatement and leading directly with the analytical point. The limitation acknowledgements in 7.3 are slightly repetitive across sub-sections.</w:t>
            </w:r>
          </w:p>
        </w:tc>
      </w:tr>
    </w:tbl>
    <w:p>
      <w:pPr>
        <w:spacing w:after="80"/>
      </w:pPr>
      <w:r>
        <w:t xml:space="preserve"/>
      </w:r>
    </w:p>
    <w:p>
      <w:pPr>
        <w:spacing w:after="80"/>
      </w:pPr>
      <w:r>
        <w:rPr>
          <w:b/>
          <w:bCs/>
          <w:color w:val="185FA5"/>
          <w:sz w:val="22"/>
          <w:szCs w:val="22"/>
        </w:rPr>
        <w:t xml:space="preserve">4.  Strengthen in-text citations in Chapters 4–6  [MEDIUM]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378ADD" w:val="clear"/>
            <w:tcMar>
              <w:top w:type="dxa" w:w="0"/>
              <w:left w:type="dxa" w:w="0"/>
              <w:bottom w:type="dxa" w:w="0"/>
              <w:right w:type="dxa" w:w="0"/>
            </w:tcMar>
          </w:tcPr>
          <w:p>
            <w:r>
              <w:t xml:space="preserve"/>
            </w:r>
          </w:p>
        </w:tc>
        <w:tc>
          <w:tcPr>
            <w:tcW w:type="dxa" w:w="9240"/>
            <w:tcBorders>
              <w:top w:val="none" w:color="FFFFFF" w:sz="0"/>
              <w:left w:val="none" w:color="FFFFFF" w:sz="0"/>
              <w:bottom w:val="none" w:color="FFFFFF" w:sz="0"/>
              <w:right w:val="none" w:color="FFFFFF" w:sz="0"/>
            </w:tcBorders>
            <w:shd w:fill="F0F6FF" w:val="clear"/>
            <w:tcMar>
              <w:top w:type="dxa" w:w="120"/>
              <w:left w:type="dxa" w:w="200"/>
              <w:bottom w:type="dxa" w:w="120"/>
              <w:right w:type="dxa" w:w="160"/>
            </w:tcMar>
          </w:tcPr>
          <w:p>
            <w:pPr>
              <w:spacing w:after="60"/>
            </w:pPr>
            <w:r>
              <w:rPr>
                <w:b/>
                <w:bCs/>
                <w:sz w:val="20"/>
                <w:szCs w:val="20"/>
              </w:rPr>
              <w:t xml:space="preserve">Chapters 4–6 — Sparse inline citation</w:t>
            </w:r>
          </w:p>
          <w:p>
            <w:r>
              <w:rPr>
                <w:color w:val="444444"/>
                <w:sz w:val="18"/>
                <w:szCs w:val="18"/>
              </w:rPr>
              <w:t xml:space="preserve">The technical chapters have very few bracketed citations. Where formulas or design decisions are grounded in the literature (Ellis 1962 for emotional valence rules, Bratman 1987 for BDI, Heider 1958 for attribution logic), these should be cited inline at the point of use, not only in the literature review chapter.</w:t>
            </w:r>
          </w:p>
        </w:tc>
      </w:tr>
    </w:tbl>
    <w:p>
      <w:pPr>
        <w:spacing w:after="80"/>
      </w:pPr>
      <w:r>
        <w:t xml:space="preserve"/>
      </w:r>
    </w:p>
    <w:p>
      <w:pPr>
        <w:spacing w:after="80"/>
      </w:pPr>
      <w:r>
        <w:rPr>
          <w:b/>
          <w:bCs/>
          <w:color w:val="185FA5"/>
          <w:sz w:val="22"/>
          <w:szCs w:val="22"/>
        </w:rPr>
        <w:t xml:space="preserve">5.  Fix appendix accessibility  [MEDIUM]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378ADD" w:val="clear"/>
            <w:tcMar>
              <w:top w:type="dxa" w:w="0"/>
              <w:left w:type="dxa" w:w="0"/>
              <w:bottom w:type="dxa" w:w="0"/>
              <w:right w:type="dxa" w:w="0"/>
            </w:tcMar>
          </w:tcPr>
          <w:p>
            <w:r>
              <w:t xml:space="preserve"/>
            </w:r>
          </w:p>
        </w:tc>
        <w:tc>
          <w:tcPr>
            <w:tcW w:type="dxa" w:w="9240"/>
            <w:tcBorders>
              <w:top w:val="none" w:color="FFFFFF" w:sz="0"/>
              <w:left w:val="none" w:color="FFFFFF" w:sz="0"/>
              <w:bottom w:val="none" w:color="FFFFFF" w:sz="0"/>
              <w:right w:val="none" w:color="FFFFFF" w:sz="0"/>
            </w:tcBorders>
            <w:shd w:fill="F0F6FF" w:val="clear"/>
            <w:tcMar>
              <w:top w:type="dxa" w:w="120"/>
              <w:left w:type="dxa" w:w="200"/>
              <w:bottom w:type="dxa" w:w="120"/>
              <w:right w:type="dxa" w:w="160"/>
            </w:tcMar>
          </w:tcPr>
          <w:p>
            <w:pPr>
              <w:spacing w:after="60"/>
            </w:pPr>
            <w:r>
              <w:rPr>
                <w:b/>
                <w:bCs/>
                <w:sz w:val="20"/>
                <w:szCs w:val="20"/>
              </w:rPr>
              <w:t xml:space="preserve">Appendices — External file references not visible in PDF</w:t>
            </w:r>
          </w:p>
          <w:p>
            <w:r>
              <w:rPr>
                <w:color w:val="444444"/>
                <w:sz w:val="18"/>
                <w:szCs w:val="18"/>
              </w:rPr>
              <w:t xml:space="preserve">Appendices H, I, J, K, and L reference external Markdown files ('see Dissertation/Literature Material/Drafts/Graphs/...'). These will not be visible to a marker reading the PDF. Either inline the key tables into the appendix body, or add a clear note that they are in the submitted code repository with a path the marker can follow.</w:t>
            </w:r>
          </w:p>
        </w:tc>
      </w:tr>
    </w:tbl>
    <w:p>
      <w:pPr>
        <w:spacing w:after="80"/>
      </w:pPr>
      <w:r>
        <w:t xml:space="preserve"/>
      </w:r>
    </w:p>
    <w:p>
      <w:pPr>
        <w:spacing w:after="80"/>
      </w:pPr>
      <w:r>
        <w:rPr>
          <w:b/>
          <w:bCs/>
          <w:color w:val="185FA5"/>
          <w:sz w:val="22"/>
          <w:szCs w:val="22"/>
        </w:rPr>
        <w:t xml:space="preserve">6.  Add limitations paragraph to Chapter 6  [LOW]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378ADD" w:val="clear"/>
            <w:tcMar>
              <w:top w:type="dxa" w:w="0"/>
              <w:left w:type="dxa" w:w="0"/>
              <w:bottom w:type="dxa" w:w="0"/>
              <w:right w:type="dxa" w:w="0"/>
            </w:tcMar>
          </w:tcPr>
          <w:p>
            <w:r>
              <w:t xml:space="preserve"/>
            </w:r>
          </w:p>
        </w:tc>
        <w:tc>
          <w:tcPr>
            <w:tcW w:type="dxa" w:w="9240"/>
            <w:tcBorders>
              <w:top w:val="none" w:color="FFFFFF" w:sz="0"/>
              <w:left w:val="none" w:color="FFFFFF" w:sz="0"/>
              <w:bottom w:val="none" w:color="FFFFFF" w:sz="0"/>
              <w:right w:val="none" w:color="FFFFFF" w:sz="0"/>
            </w:tcBorders>
            <w:shd w:fill="F0F6FF" w:val="clear"/>
            <w:tcMar>
              <w:top w:type="dxa" w:w="120"/>
              <w:left w:type="dxa" w:w="200"/>
              <w:bottom w:type="dxa" w:w="120"/>
              <w:right w:type="dxa" w:w="160"/>
            </w:tcMar>
          </w:tcPr>
          <w:p>
            <w:pPr>
              <w:spacing w:after="60"/>
            </w:pPr>
            <w:r>
              <w:rPr>
                <w:b/>
                <w:bCs/>
                <w:sz w:val="20"/>
                <w:szCs w:val="20"/>
              </w:rPr>
              <w:t xml:space="preserve">Chapter 6 — Evaluation limitations deferred entirely to Chapter 7</w:t>
            </w:r>
          </w:p>
          <w:p>
            <w:r>
              <w:rPr>
                <w:color w:val="444444"/>
                <w:sz w:val="18"/>
                <w:szCs w:val="18"/>
              </w:rPr>
              <w:t xml:space="preserve">The results chapter should briefly acknowledge the log-only evaluation approach within the chapter itself. One short paragraph noting that results are drawn from system-generated logs and no human participant evaluation was conducted suffices — this pre-empts a marker's concern at the point of reading rather than making them wait for Chapter 7.</w:t>
            </w:r>
          </w:p>
        </w:tc>
      </w:tr>
    </w:tbl>
    <w:p>
      <w:pPr>
        <w:spacing w:after="80"/>
      </w:pPr>
      <w:r>
        <w:t xml:space="preserve"/>
      </w:r>
    </w:p>
    <w:p>
      <w:pPr>
        <w:spacing w:after="80"/>
      </w:pPr>
      <w:r>
        <w:t xml:space="preserve"/>
      </w:r>
    </w:p>
    <w:p>
      <w:pPr>
        <w:pStyle w:val="Heading1"/>
      </w:pPr>
      <w:r>
        <w:t xml:space="preserve">Strengths to preserve during editing</w:t>
      </w:r>
    </w:p>
    <w:p>
      <w:pPr>
        <w:spacing w:after="80"/>
      </w:pPr>
      <w:r>
        <w:t xml:space="preserve"/>
      </w:r>
    </w:p>
    <w:p>
      <w:pPr>
        <w:spacing w:after="120"/>
      </w:pPr>
      <w:r>
        <w:t xml:space="preserve">The following sections are high quality and should not be substantially altered during the downsizing pass:</w:t>
      </w:r>
    </w:p>
    <w:p>
      <w:pPr>
        <w:spacing w:after="80"/>
      </w:pPr>
      <w:r>
        <w:t xml:space="preserve"/>
      </w:r>
    </w:p>
    <w:p>
      <w:pPr>
        <w:pStyle w:val="ListParagraph"/>
        <w:numPr>
          <w:ilvl w:val="0"/>
          <w:numId w:val="2"/>
        </w:numPr>
        <w:spacing w:after="80"/>
      </w:pPr>
      <w:r>
        <w:t xml:space="preserve">Section 8.4 (Reflection) — personal, specific, and intellectually honest. Do not cut.</w:t>
      </w:r>
    </w:p>
    <w:p>
      <w:pPr>
        <w:pStyle w:val="ListParagraph"/>
        <w:numPr>
          <w:ilvl w:val="0"/>
          <w:numId w:val="2"/>
        </w:numPr>
        <w:spacing w:after="80"/>
      </w:pPr>
      <w:r>
        <w:t xml:space="preserve">Section 8.2 (Originality of Contributions) — the comparison against Facade, Generative Agents, and Bordini et al. is precise and well-grounded.</w:t>
      </w:r>
    </w:p>
    <w:p>
      <w:pPr>
        <w:pStyle w:val="ListParagraph"/>
        <w:numPr>
          <w:ilvl w:val="0"/>
          <w:numId w:val="2"/>
        </w:numPr>
        <w:spacing w:after="80"/>
      </w:pPr>
      <w:r>
        <w:t xml:space="preserve">Section 2.5 (Risk Register) — the table format with likelihood/impact/mitigation columns is exactly what the mark scheme rewards.</w:t>
      </w:r>
    </w:p>
    <w:p>
      <w:pPr>
        <w:pStyle w:val="ListParagraph"/>
        <w:numPr>
          <w:ilvl w:val="0"/>
          <w:numId w:val="2"/>
        </w:numPr>
        <w:spacing w:after="80"/>
      </w:pPr>
      <w:r>
        <w:t xml:space="preserve">Chapter 2 overall — the three-tier studio analysis (small/mid/large) is one of the most sophisticated social impact discussions in any CS3IP dissertation.</w:t>
      </w:r>
    </w:p>
    <w:p>
      <w:pPr>
        <w:pStyle w:val="ListParagraph"/>
        <w:numPr>
          <w:ilvl w:val="0"/>
          <w:numId w:val="2"/>
        </w:numPr>
        <w:spacing w:after="80"/>
      </w:pPr>
      <w:r>
        <w:t xml:space="preserve">The CHANGELOG narrative in Section 8.1 — tracing architectural decisions from observed failures is a genuine methodological contribution that differentiates this project.</w:t>
      </w:r>
    </w:p>
    <w:p>
      <w:pPr>
        <w:pStyle w:val="ListParagraph"/>
        <w:numPr>
          <w:ilvl w:val="0"/>
          <w:numId w:val="2"/>
        </w:numPr>
        <w:spacing w:after="80"/>
      </w:pPr>
      <w:r>
        <w:t xml:space="preserve">Section 7.1 framing — separating deterministic layer validation from LLM output validation is intellectually mature and will impress an experienced marker.</w:t>
      </w:r>
    </w:p>
    <w:p>
      <w:pPr>
        <w:spacing w:after="80"/>
      </w:pPr>
      <w:r>
        <w:t xml:space="preserve"/>
      </w:r>
    </w:p>
    <w:p>
      <w:pPr>
        <w:spacing w:after="80"/>
      </w:pPr>
      <w:r>
        <w:t xml:space="preserve"/>
      </w:r>
    </w:p>
    <w:p>
      <w:pPr>
        <w:pStyle w:val="Heading1"/>
      </w:pPr>
      <w:r>
        <w:t xml:space="preserve">Overall assessment</w:t>
      </w:r>
    </w:p>
    <w:p>
      <w:pPr>
        <w:spacing w:after="80"/>
      </w:pPr>
      <w:r>
        <w:t xml:space="preserve"/>
      </w:r>
    </w:p>
    <w:p>
      <w:pPr>
        <w:spacing w:after="120"/>
      </w:pPr>
      <w:r>
        <w:t xml:space="preserve">This is a high-quality, intellectually serious dissertation with a genuinely original system at its centre. The writing is confident and precise, the architecture is well-motivated and clearly explained, and the reflection is one of the strongest in the cohort.</w:t>
      </w:r>
    </w:p>
    <w:p>
      <w:pPr>
        <w:spacing w:after="80"/>
      </w:pPr>
      <w:r>
        <w:t xml:space="preserve"/>
      </w:r>
    </w:p>
    <w:p>
      <w:pPr>
        <w:spacing w:after="120"/>
      </w:pPr>
      <w:r>
        <w:t xml:space="preserve">The primary risks to the final mark are structural:</w:t>
      </w:r>
    </w:p>
    <w:p>
      <w:pPr>
        <w:pStyle w:val="ListParagraph"/>
        <w:numPr>
          <w:ilvl w:val="0"/>
          <w:numId w:val="2"/>
        </w:numPr>
        <w:spacing w:after="80"/>
      </w:pPr>
      <w:r>
        <w:t xml:space="preserve">The word count overage directly threatens criterion #9 (Organisation &amp; Presentation) — this is the most urgent fix.</w:t>
      </w:r>
    </w:p>
    <w:p>
      <w:pPr>
        <w:pStyle w:val="ListParagraph"/>
        <w:numPr>
          <w:ilvl w:val="0"/>
          <w:numId w:val="2"/>
        </w:numPr>
        <w:spacing w:after="80"/>
      </w:pPr>
      <w:r>
        <w:t xml:space="preserve">The absence of any external evaluation (user study, expert review, or heuristic evaluation) caps criteria #4 and #6. This is a known limitation; it needs to be acknowledged proactively at the point of the results, not only in the discussion.</w:t>
      </w:r>
    </w:p>
    <w:p>
      <w:pPr>
        <w:spacing w:after="80"/>
      </w:pPr>
      <w:r>
        <w:t xml:space="preserve"/>
      </w:r>
    </w:p>
    <w:p>
      <w:pPr>
        <w:spacing w:after="120"/>
      </w:pPr>
      <w:r>
        <w:t xml:space="preserve">After trimming to within the 20,000-word limit and adding inline citations in the technical chapters, this dissertation is comfortably in the first-class 70–79% band, with a realistic path to 80%+ if the methodology limitation is addressed more proactively in Chapters 4 and 6.</w:t>
      </w:r>
    </w:p>
    <w:p>
      <w:pPr>
        <w:spacing w:after="80"/>
      </w:pPr>
      <w:r>
        <w:t xml:space="preserve"/>
      </w:r>
    </w:p>
    <w:p>
      <w:pPr>
        <w:pBdr>
          <w:left w:val="single" w:color="2E4057" w:sz="12" w:space="12"/>
        </w:pBdr>
        <w:spacing w:after="120"/>
        <w:ind w:left="400"/>
      </w:pPr>
      <w:r>
        <w:rPr>
          <w:b/>
          <w:bCs/>
          <w:sz w:val="22"/>
          <w:szCs w:val="22"/>
        </w:rPr>
        <w:t xml:space="preserve">Bottom line for Claude Code: </w:t>
      </w:r>
      <w:r>
        <w:rPr>
          <w:sz w:val="22"/>
          <w:szCs w:val="22"/>
        </w:rPr>
        <w:t xml:space="preserve">Reduce body word count to under 20,000 by cutting Chapters 5 and 3 first. Do not touch the Reflection (8.4) or the Originality section (8.2). Add inline citations at formula/design-decision points in Chapters 4 and 5. Inline or annotate the external appendix file references.</w:t>
      </w:r>
    </w:p>
    <w:p>
      <w:pPr>
        <w:spacing w:after="8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Dissertation Audit  —  Psychological Narrative Engine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4057" w:sz="4" w:space="4"/>
      </w:pBdr>
      <w:spacing w:after="160" w:before="360"/>
      <w:outlineLvl w:val="0"/>
    </w:pPr>
    <w:rPr>
      <w:rFonts w:ascii="Arial" w:cs="Arial" w:eastAsia="Arial" w:hAnsi="Arial"/>
      <w:b/>
      <w:bCs/>
      <w:color w:val="2E4057"/>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2026-04-14T12:14:39.758Z</dcterms:created>
  <dcterms:modified xsi:type="dcterms:W3CDTF">2026-04-14T12:14:39.759Z</dcterms:modified>
</cp:coreProperties>
</file>

<file path=docProps/custom.xml><?xml version="1.0" encoding="utf-8"?>
<Properties xmlns="http://schemas.openxmlformats.org/officeDocument/2006/custom-properties" xmlns:vt="http://schemas.openxmlformats.org/officeDocument/2006/docPropsVTypes"/>
</file>