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C7293"/>
          <w:sz w:val="20"/>
          <w:szCs w:val="20"/>
        </w:rPr>
        <w:t xml:space="preserve">ANALYSTLAB AFRICA</w:t>
      </w:r>
    </w:p>
    <w:p>
      <w:pPr>
        <w:spacing w:after="40"/>
      </w:pPr>
      <w:r>
        <w:rPr>
          <w:color w:val="5A6472"/>
          <w:sz w:val="22"/>
          <w:szCs w:val="22"/>
        </w:rPr>
        <w:t xml:space="preserve">Data Analytics Internship — Week 1</w:t>
      </w:r>
    </w:p>
    <w:p>
      <w:pPr>
        <w:pStyle w:val="Title"/>
        <w:spacing w:after="60" w:before="100"/>
      </w:pPr>
      <w:r>
        <w:rPr>
          <w:b/>
          <w:bCs/>
          <w:color w:val="1E2761"/>
          <w:sz w:val="44"/>
          <w:szCs w:val="44"/>
        </w:rPr>
        <w:t xml:space="preserve">Business Understanding Report</w:t>
      </w:r>
    </w:p>
    <w:p>
      <w:pPr>
        <w:spacing w:after="300"/>
      </w:pPr>
      <w:r>
        <w:rPr>
          <w:i/>
          <w:iCs/>
          <w:color w:val="5A6472"/>
          <w:sz w:val="22"/>
          <w:szCs w:val="22"/>
        </w:rPr>
        <w:t xml:space="preserve">Customer Behaviour &amp; Business Performance Analysis — ABC Communications Ltd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E2761" w:val="clear"/>
            <w:tcMar>
              <w:top w:type="dxa" w:w="100"/>
              <w:left w:type="dxa" w:w="120"/>
              <w:bottom w:type="dxa" w:w="100"/>
              <w:right w:type="dxa" w:w="120"/>
            </w:tcMar>
          </w:tcPr>
          <w:p>
            <w:r>
              <w:rPr>
                <w:b/>
                <w:bCs/>
                <w:color w:val="FFFFFF"/>
                <w:sz w:val="20"/>
                <w:szCs w:val="20"/>
              </w:rPr>
              <w:t xml:space="preserve">Field</w:t>
            </w:r>
          </w:p>
        </w:tc>
        <w:tc>
          <w:tcPr>
            <w:tcW w:type="dxa" w:w="6550"/>
            <w:shd w:fill="1E2761" w:val="clear"/>
            <w:tcMar>
              <w:top w:type="dxa" w:w="100"/>
              <w:left w:type="dxa" w:w="120"/>
              <w:bottom w:type="dxa" w:w="100"/>
              <w:right w:type="dxa" w:w="120"/>
            </w:tcMar>
          </w:tcPr>
          <w:p>
            <w:r>
              <w:rPr>
                <w:b/>
                <w:bCs/>
                <w:color w:val="FFFFFF"/>
                <w:sz w:val="20"/>
                <w:szCs w:val="20"/>
              </w:rPr>
              <w:t xml:space="preserve">Detail</w:t>
            </w:r>
          </w:p>
        </w:tc>
      </w:tr>
      <w:tr>
        <w:tc>
          <w:tcPr>
            <w:tcW w:type="dxa" w:w="2800"/>
            <w:tcMar>
              <w:top w:type="dxa" w:w="100"/>
              <w:left w:type="dxa" w:w="120"/>
              <w:bottom w:type="dxa" w:w="100"/>
              <w:right w:type="dxa" w:w="120"/>
            </w:tcMar>
          </w:tcPr>
          <w:p>
            <w:r>
              <w:rPr>
                <w:b w:val="false"/>
                <w:bCs w:val="false"/>
                <w:color w:val="1A1A2E"/>
                <w:sz w:val="20"/>
                <w:szCs w:val="20"/>
              </w:rPr>
              <w:t xml:space="preserve">Prepared by</w:t>
            </w:r>
          </w:p>
        </w:tc>
        <w:tc>
          <w:tcPr>
            <w:tcW w:type="dxa" w:w="6550"/>
            <w:tcMar>
              <w:top w:type="dxa" w:w="100"/>
              <w:left w:type="dxa" w:w="120"/>
              <w:bottom w:type="dxa" w:w="100"/>
              <w:right w:type="dxa" w:w="120"/>
            </w:tcMar>
          </w:tcPr>
          <w:p>
            <w:r>
              <w:rPr>
                <w:b w:val="false"/>
                <w:bCs w:val="false"/>
                <w:color w:val="1A1A2E"/>
                <w:sz w:val="20"/>
                <w:szCs w:val="20"/>
              </w:rPr>
              <w:t xml:space="preserve">Osagie Osagieduwa Precious (Preshy) — Junior Data Analyst</w:t>
            </w:r>
          </w:p>
        </w:tc>
      </w:tr>
      <w:tr>
        <w:tc>
          <w:tcPr>
            <w:tcW w:type="dxa" w:w="2800"/>
            <w:tcMar>
              <w:top w:type="dxa" w:w="100"/>
              <w:left w:type="dxa" w:w="120"/>
              <w:bottom w:type="dxa" w:w="100"/>
              <w:right w:type="dxa" w:w="120"/>
            </w:tcMar>
          </w:tcPr>
          <w:p>
            <w:r>
              <w:rPr>
                <w:b w:val="false"/>
                <w:bCs w:val="false"/>
                <w:color w:val="1A1A2E"/>
                <w:sz w:val="20"/>
                <w:szCs w:val="20"/>
              </w:rPr>
              <w:t xml:space="preserve">Client</w:t>
            </w:r>
          </w:p>
        </w:tc>
        <w:tc>
          <w:tcPr>
            <w:tcW w:type="dxa" w:w="6550"/>
            <w:tcMar>
              <w:top w:type="dxa" w:w="100"/>
              <w:left w:type="dxa" w:w="120"/>
              <w:bottom w:type="dxa" w:w="100"/>
              <w:right w:type="dxa" w:w="120"/>
            </w:tcMar>
          </w:tcPr>
          <w:p>
            <w:r>
              <w:rPr>
                <w:b w:val="false"/>
                <w:bCs w:val="false"/>
                <w:color w:val="1A1A2E"/>
                <w:sz w:val="20"/>
                <w:szCs w:val="20"/>
              </w:rPr>
              <w:t xml:space="preserve">ABC Communications Ltd</w:t>
            </w:r>
          </w:p>
        </w:tc>
      </w:tr>
      <w:tr>
        <w:tc>
          <w:tcPr>
            <w:tcW w:type="dxa" w:w="2800"/>
            <w:tcMar>
              <w:top w:type="dxa" w:w="100"/>
              <w:left w:type="dxa" w:w="120"/>
              <w:bottom w:type="dxa" w:w="100"/>
              <w:right w:type="dxa" w:w="120"/>
            </w:tcMar>
          </w:tcPr>
          <w:p>
            <w:r>
              <w:rPr>
                <w:b w:val="false"/>
                <w:bCs w:val="false"/>
                <w:color w:val="1A1A2E"/>
                <w:sz w:val="20"/>
                <w:szCs w:val="20"/>
              </w:rPr>
              <w:t xml:space="preserve">Engagement</w:t>
            </w:r>
          </w:p>
        </w:tc>
        <w:tc>
          <w:tcPr>
            <w:tcW w:type="dxa" w:w="6550"/>
            <w:tcMar>
              <w:top w:type="dxa" w:w="100"/>
              <w:left w:type="dxa" w:w="120"/>
              <w:bottom w:type="dxa" w:w="100"/>
              <w:right w:type="dxa" w:w="120"/>
            </w:tcMar>
          </w:tcPr>
          <w:p>
            <w:r>
              <w:rPr>
                <w:b w:val="false"/>
                <w:bCs w:val="false"/>
                <w:color w:val="1A1A2E"/>
                <w:sz w:val="20"/>
                <w:szCs w:val="20"/>
              </w:rPr>
              <w:t xml:space="preserve">AnalystLab Africa Consulting — Customer Churn Investigation</w:t>
            </w:r>
          </w:p>
        </w:tc>
      </w:tr>
    </w:tbl>
    <w:p>
      <w:pPr>
        <w:pStyle w:val="Heading1"/>
        <w:spacing w:after="140" w:before="280"/>
      </w:pPr>
      <w:r>
        <w:rPr>
          <w:b/>
          <w:bCs/>
          <w:color w:val="1E2761"/>
        </w:rPr>
        <w:t xml:space="preserve">1. Background</w:t>
      </w:r>
    </w:p>
    <w:p>
      <w:pPr>
        <w:spacing w:after="160" w:line="276"/>
      </w:pPr>
      <w:r>
        <w:t xml:space="preserve">ABC Communications Ltd is a telecommunications provider offering phone and internet services (DSL and Fibre optic), along with value-added services such as online security, tech support, device protection, and streaming. Like most subscription-based telecom businesses, ABC Communications faces the ongoing challenge of customer churn — the loss of subscribers who cancel their service or switch to a competitor.</w:t>
      </w:r>
    </w:p>
    <w:p>
      <w:pPr>
        <w:pStyle w:val="Heading1"/>
        <w:spacing w:after="140" w:before="280"/>
      </w:pPr>
      <w:r>
        <w:rPr>
          <w:b/>
          <w:bCs/>
          <w:color w:val="1E2761"/>
        </w:rPr>
        <w:t xml:space="preserve">2. The Business Problem</w:t>
      </w:r>
    </w:p>
    <w:p>
      <w:pPr>
        <w:spacing w:after="160" w:line="276"/>
      </w:pPr>
      <w:r>
        <w:t xml:space="preserve">Customer churn directly erodes recurring revenue and increases the cost of doing business, since acquiring a new customer is significantly more expensive than retaining an existing one. ABC Communications has engaged AnalystLab Africa Consulting to investigate why customers churn, which customer segments are most at risk, and to recommend data-driven retention strategies.</w:t>
      </w:r>
    </w:p>
    <w:p>
      <w:pPr>
        <w:pStyle w:val="Heading1"/>
        <w:spacing w:after="140" w:before="280"/>
      </w:pPr>
      <w:r>
        <w:rPr>
          <w:b/>
          <w:bCs/>
          <w:color w:val="1E2761"/>
        </w:rPr>
        <w:t xml:space="preserve">3. Why Churn Matters</w:t>
      </w:r>
    </w:p>
    <w:p>
      <w:pPr>
        <w:spacing w:after="160" w:line="276"/>
      </w:pPr>
      <w:r>
        <w:t xml:space="preserve">Revenue impact: every churned customer represents lost recurring monthly revenue and a sunk acquisition cost that is never recovered.</w:t>
      </w:r>
    </w:p>
    <w:p>
      <w:pPr>
        <w:spacing w:after="160" w:line="276"/>
      </w:pPr>
      <w:r>
        <w:t xml:space="preserve">Competitive pressure: telecom is a saturated market with low switching costs, making retention a key competitive lever rather than a secondary concern.</w:t>
      </w:r>
    </w:p>
    <w:p>
      <w:pPr>
        <w:spacing w:after="160" w:line="276"/>
      </w:pPr>
      <w:r>
        <w:t xml:space="preserve">Customer lifetime value (CLV): long-tenured customers are typically far more profitable than new ones, so early-tenure churn is especially costly to the business.</w:t>
      </w:r>
    </w:p>
    <w:p>
      <w:pPr>
        <w:pStyle w:val="Heading1"/>
        <w:spacing w:after="140" w:before="280"/>
      </w:pPr>
      <w:r>
        <w:rPr>
          <w:b/>
          <w:bCs/>
          <w:color w:val="1E2761"/>
        </w:rPr>
        <w:t xml:space="preserve">4. Objectives of This Analysis</w:t>
      </w:r>
    </w:p>
    <w:p>
      <w:pPr>
        <w:spacing w:after="160" w:line="276"/>
      </w:pPr>
      <w:r>
        <w:t xml:space="preserve">1. Understand the structure and quality of the customer dataset before drawing conclusions.</w:t>
      </w:r>
    </w:p>
    <w:p>
      <w:pPr>
        <w:spacing w:after="160" w:line="276"/>
      </w:pPr>
      <w:r>
        <w:t xml:space="preserve">2. Identify which customer segments — by contract, tenure, services, payment method, and demographics — show the highest churn.</w:t>
      </w:r>
    </w:p>
    <w:p>
      <w:pPr>
        <w:spacing w:after="160" w:line="276"/>
      </w:pPr>
      <w:r>
        <w:t xml:space="preserve">3. Visualise churn patterns in a way that is actionable for business stakeholders, not just statistically interesting.</w:t>
      </w:r>
    </w:p>
    <w:p>
      <w:pPr>
        <w:spacing w:after="160" w:line="276"/>
      </w:pPr>
      <w:r>
        <w:t xml:space="preserve">4. Translate findings into concrete risks, opportunities, and recommendations for ABC Communications' retention strategy team.</w:t>
      </w:r>
    </w:p>
    <w:p>
      <w:pPr>
        <w:pStyle w:val="Heading1"/>
        <w:spacing w:after="140" w:before="280"/>
      </w:pPr>
      <w:r>
        <w:rPr>
          <w:b/>
          <w:bCs/>
          <w:color w:val="1E2761"/>
        </w:rPr>
        <w:t xml:space="preserve">5. Approach</w:t>
      </w:r>
    </w:p>
    <w:p>
      <w:pPr>
        <w:spacing w:after="160" w:line="276"/>
      </w:pPr>
      <w:r>
        <w:t xml:space="preserve">This engagement follows a structured analytics workflow: business understanding, data inspection, exploratory analysis with visualisation, insight generation, and actionable recommendation — moving from raw customer data to a leadership-ready set of findings. The full technical workup, all visualisations, and the resulting insights and recommendations are documented in the accompanying analysis notebook, dataset inspection report, and presentation deck.</w:t>
      </w:r>
    </w:p>
    <w:p>
      <w:pPr>
        <w:pStyle w:val="Heading1"/>
        <w:spacing w:after="140" w:before="280"/>
      </w:pPr>
      <w:r>
        <w:rPr>
          <w:b/>
          <w:bCs/>
          <w:color w:val="1E2761"/>
        </w:rPr>
        <w:t xml:space="preserve">6. Scope</w:t>
      </w:r>
    </w:p>
    <w:p>
      <w:pPr>
        <w:spacing w:after="160" w:line="276"/>
      </w:pPr>
      <w:r>
        <w:t xml:space="preserve">This report and the accompanying analysis are based on the Telco Customer Churn dataset (Kaggle, blastchar), covering 7,043 customers and 21 attributes including demographics, account information, subscribed services, and churn status. The analysis is descriptive and diagnostic in nature — identifying and explaining churn patterns — rather than a predictive model, in line with the Week 1 assignment scope.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2026-08-05T08:26:42.777Z</dcterms:created>
  <dcterms:modified xsi:type="dcterms:W3CDTF">2026-08-05T08:26:42.792Z</dcterms:modified>
</cp:coreProperties>
</file>

<file path=docProps/custom.xml><?xml version="1.0" encoding="utf-8"?>
<Properties xmlns="http://schemas.openxmlformats.org/officeDocument/2006/custom-properties" xmlns:vt="http://schemas.openxmlformats.org/officeDocument/2006/docPropsVTypes"/>
</file>