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73790" w14:textId="77777777" w:rsidR="00BF4351" w:rsidRDefault="00384E60">
      <w:pPr>
        <w:spacing w:after="40"/>
      </w:pPr>
      <w:r>
        <w:rPr>
          <w:b/>
          <w:bCs/>
          <w:color w:val="1C7293"/>
        </w:rPr>
        <w:t>ANALYSTLAB AFRICA</w:t>
      </w:r>
    </w:p>
    <w:p w14:paraId="3C1B47BC" w14:textId="77777777" w:rsidR="00BF4351" w:rsidRDefault="00384E60">
      <w:pPr>
        <w:spacing w:after="40"/>
      </w:pPr>
      <w:r>
        <w:rPr>
          <w:color w:val="5A6472"/>
          <w:sz w:val="22"/>
          <w:szCs w:val="22"/>
        </w:rPr>
        <w:t>Data Analytics Internship — Week 2</w:t>
      </w:r>
    </w:p>
    <w:p w14:paraId="7D9BC884" w14:textId="77777777" w:rsidR="00BF4351" w:rsidRDefault="00384E60">
      <w:pPr>
        <w:pStyle w:val="Title"/>
        <w:spacing w:before="100" w:after="60"/>
      </w:pPr>
      <w:r>
        <w:rPr>
          <w:b/>
          <w:bCs/>
          <w:color w:val="1E2761"/>
          <w:sz w:val="40"/>
          <w:szCs w:val="40"/>
        </w:rPr>
        <w:t>Executive Summary Report</w:t>
      </w:r>
    </w:p>
    <w:p w14:paraId="5C686C42" w14:textId="77777777" w:rsidR="00BF4351" w:rsidRDefault="00384E60">
      <w:pPr>
        <w:spacing w:after="300"/>
      </w:pPr>
      <w:r>
        <w:rPr>
          <w:i/>
          <w:iCs/>
          <w:color w:val="5A6472"/>
          <w:sz w:val="22"/>
          <w:szCs w:val="22"/>
        </w:rPr>
        <w:t>Global Retail Sales &amp; Profitability Dashboard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50"/>
      </w:tblGrid>
      <w:tr w:rsidR="00BF4351" w14:paraId="4F94CB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0E0701" w14:textId="77777777" w:rsidR="00BF4351" w:rsidRDefault="00384E6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55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2F81D7" w14:textId="77777777" w:rsidR="00BF4351" w:rsidRDefault="00384E60">
            <w:r>
              <w:rPr>
                <w:b/>
                <w:bCs/>
                <w:color w:val="FFFFFF"/>
              </w:rPr>
              <w:t>Detail</w:t>
            </w:r>
          </w:p>
        </w:tc>
      </w:tr>
      <w:tr w:rsidR="00BF4351" w14:paraId="7A1DB7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58885F" w14:textId="77777777" w:rsidR="00BF4351" w:rsidRDefault="00384E60">
            <w:r>
              <w:rPr>
                <w:color w:val="1A1A2E"/>
              </w:rPr>
              <w:t>Prepared by</w:t>
            </w:r>
          </w:p>
        </w:tc>
        <w:tc>
          <w:tcPr>
            <w:tcW w:w="6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746A45" w14:textId="7CA9B691" w:rsidR="00BF4351" w:rsidRDefault="00384E60">
            <w:r>
              <w:rPr>
                <w:color w:val="1A1A2E"/>
              </w:rPr>
              <w:t xml:space="preserve">Osagie Osagieduwa Precious </w:t>
            </w:r>
            <w:r>
              <w:rPr>
                <w:color w:val="1A1A2E"/>
              </w:rPr>
              <w:t>— Junior Business Intelligence Analyst</w:t>
            </w:r>
          </w:p>
        </w:tc>
      </w:tr>
      <w:tr w:rsidR="00BF4351" w14:paraId="772715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0358D7" w14:textId="77777777" w:rsidR="00BF4351" w:rsidRDefault="00384E60">
            <w:r>
              <w:rPr>
                <w:color w:val="1A1A2E"/>
              </w:rPr>
              <w:t>Client</w:t>
            </w:r>
          </w:p>
        </w:tc>
        <w:tc>
          <w:tcPr>
            <w:tcW w:w="6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740D17" w14:textId="77777777" w:rsidR="00BF4351" w:rsidRDefault="00384E60">
            <w:r>
              <w:rPr>
                <w:color w:val="1A1A2E"/>
              </w:rPr>
              <w:t>National retail company operating internationally (Global Superstore engagement)</w:t>
            </w:r>
          </w:p>
        </w:tc>
      </w:tr>
      <w:tr w:rsidR="00BF4351" w14:paraId="04B700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63654A" w14:textId="77777777" w:rsidR="00BF4351" w:rsidRDefault="00384E60">
            <w:r>
              <w:rPr>
                <w:color w:val="1A1A2E"/>
              </w:rPr>
              <w:t>Dataset period</w:t>
            </w:r>
          </w:p>
        </w:tc>
        <w:tc>
          <w:tcPr>
            <w:tcW w:w="6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31A5EB" w14:textId="77777777" w:rsidR="00BF4351" w:rsidRDefault="00384E60">
            <w:r>
              <w:rPr>
                <w:color w:val="1A1A2E"/>
              </w:rPr>
              <w:t>2011–2014, 51,290 order line items, 147 countries</w:t>
            </w:r>
          </w:p>
        </w:tc>
      </w:tr>
    </w:tbl>
    <w:p w14:paraId="7BA04600" w14:textId="77777777" w:rsidR="00BF4351" w:rsidRDefault="00384E60">
      <w:pPr>
        <w:pStyle w:val="Heading1"/>
        <w:spacing w:before="260" w:after="130"/>
      </w:pPr>
      <w:r>
        <w:rPr>
          <w:b/>
          <w:bCs/>
          <w:color w:val="1E2761"/>
        </w:rPr>
        <w:t>Business Problem</w:t>
      </w:r>
    </w:p>
    <w:p w14:paraId="4EAA7791" w14:textId="77777777" w:rsidR="00BF4351" w:rsidRDefault="00384E60">
      <w:pPr>
        <w:spacing w:after="150" w:line="276" w:lineRule="auto"/>
      </w:pPr>
      <w:r>
        <w:t>Senior management needed a single executive dashboard to monitor sales performance, profitability, customer behaviour, and regional performance — replacing scattered, manually compiled rep</w:t>
      </w:r>
      <w:r>
        <w:t>orts with one live, interactive view of the business.</w:t>
      </w:r>
    </w:p>
    <w:p w14:paraId="7CB9E265" w14:textId="77777777" w:rsidR="00BF4351" w:rsidRDefault="00384E60">
      <w:pPr>
        <w:pStyle w:val="Heading1"/>
        <w:spacing w:before="260" w:after="130"/>
      </w:pPr>
      <w:r>
        <w:rPr>
          <w:b/>
          <w:bCs/>
          <w:color w:val="1E2761"/>
        </w:rPr>
        <w:t>Approach</w:t>
      </w:r>
    </w:p>
    <w:p w14:paraId="022F2C0A" w14:textId="77777777" w:rsidR="00BF4351" w:rsidRDefault="00384E60">
      <w:pPr>
        <w:spacing w:after="150" w:line="276" w:lineRule="auto"/>
      </w:pPr>
      <w:r>
        <w:t>Data was imported and cleaned in Power BI using Power Query, then modelled with DAX measures for the core KPIs. A single-page interactive dashboard was built covering regional, category, segmen</w:t>
      </w:r>
      <w:r>
        <w:t>t, and time-based performance, with slicers for Region, Category, Year, and Segment.</w:t>
      </w:r>
    </w:p>
    <w:p w14:paraId="66B92C1C" w14:textId="77777777" w:rsidR="00BF4351" w:rsidRDefault="00384E60">
      <w:pPr>
        <w:pStyle w:val="Heading1"/>
        <w:spacing w:before="260" w:after="130"/>
      </w:pPr>
      <w:r>
        <w:rPr>
          <w:b/>
          <w:bCs/>
          <w:color w:val="1E2761"/>
        </w:rPr>
        <w:t>Headline Numbers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F4351" w14:paraId="2B5FA216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DE1C04" w14:textId="77777777" w:rsidR="00BF4351" w:rsidRDefault="00384E60">
            <w:pPr>
              <w:jc w:val="center"/>
            </w:pPr>
            <w:r>
              <w:rPr>
                <w:b/>
                <w:bCs/>
                <w:color w:val="FFFFFF"/>
              </w:rPr>
              <w:t>Total Sales</w:t>
            </w:r>
          </w:p>
        </w:tc>
        <w:tc>
          <w:tcPr>
            <w:tcW w:w="187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E5C13C" w14:textId="77777777" w:rsidR="00BF4351" w:rsidRDefault="00384E60">
            <w:pPr>
              <w:jc w:val="center"/>
            </w:pPr>
            <w:r>
              <w:rPr>
                <w:b/>
                <w:bCs/>
                <w:color w:val="FFFFFF"/>
              </w:rPr>
              <w:t>Total Profit</w:t>
            </w:r>
          </w:p>
        </w:tc>
        <w:tc>
          <w:tcPr>
            <w:tcW w:w="187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32F756" w14:textId="77777777" w:rsidR="00BF4351" w:rsidRDefault="00384E60">
            <w:pPr>
              <w:jc w:val="center"/>
            </w:pPr>
            <w:r>
              <w:rPr>
                <w:b/>
                <w:bCs/>
                <w:color w:val="FFFFFF"/>
              </w:rPr>
              <w:t>Total Orders</w:t>
            </w:r>
          </w:p>
        </w:tc>
        <w:tc>
          <w:tcPr>
            <w:tcW w:w="187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475E3B" w14:textId="77777777" w:rsidR="00BF4351" w:rsidRDefault="00384E60">
            <w:pPr>
              <w:jc w:val="center"/>
            </w:pPr>
            <w:r>
              <w:rPr>
                <w:b/>
                <w:bCs/>
                <w:color w:val="FFFFFF"/>
              </w:rPr>
              <w:t>Avg. Sales</w:t>
            </w:r>
          </w:p>
        </w:tc>
        <w:tc>
          <w:tcPr>
            <w:tcW w:w="187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F6DBEB" w14:textId="77777777" w:rsidR="00BF4351" w:rsidRDefault="00384E60">
            <w:pPr>
              <w:jc w:val="center"/>
            </w:pPr>
            <w:r>
              <w:rPr>
                <w:b/>
                <w:bCs/>
                <w:color w:val="FFFFFF"/>
              </w:rPr>
              <w:t>Profit Margin</w:t>
            </w:r>
          </w:p>
        </w:tc>
      </w:tr>
      <w:tr w:rsidR="00BF4351" w14:paraId="636A5161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D9E60F" w14:textId="77777777" w:rsidR="00BF4351" w:rsidRDefault="00384E60">
            <w:pPr>
              <w:jc w:val="center"/>
            </w:pPr>
            <w:r>
              <w:rPr>
                <w:b/>
                <w:bCs/>
                <w:color w:val="1A1A2E"/>
                <w:sz w:val="24"/>
                <w:szCs w:val="24"/>
              </w:rPr>
              <w:t>$12.64M</w:t>
            </w:r>
          </w:p>
        </w:tc>
        <w:tc>
          <w:tcPr>
            <w:tcW w:w="1870" w:type="dxa"/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5B8C8A" w14:textId="77777777" w:rsidR="00BF4351" w:rsidRDefault="00384E60">
            <w:pPr>
              <w:jc w:val="center"/>
            </w:pPr>
            <w:r>
              <w:rPr>
                <w:b/>
                <w:bCs/>
                <w:color w:val="1A1A2E"/>
                <w:sz w:val="24"/>
                <w:szCs w:val="24"/>
              </w:rPr>
              <w:t>$1.47M</w:t>
            </w:r>
          </w:p>
        </w:tc>
        <w:tc>
          <w:tcPr>
            <w:tcW w:w="1870" w:type="dxa"/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2B61B9" w14:textId="77777777" w:rsidR="00BF4351" w:rsidRDefault="00384E60">
            <w:pPr>
              <w:jc w:val="center"/>
            </w:pPr>
            <w:r>
              <w:rPr>
                <w:b/>
                <w:bCs/>
                <w:color w:val="1A1A2E"/>
                <w:sz w:val="24"/>
                <w:szCs w:val="24"/>
              </w:rPr>
              <w:t>25,035</w:t>
            </w:r>
          </w:p>
        </w:tc>
        <w:tc>
          <w:tcPr>
            <w:tcW w:w="1870" w:type="dxa"/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50DD02" w14:textId="77777777" w:rsidR="00BF4351" w:rsidRDefault="00384E60">
            <w:pPr>
              <w:jc w:val="center"/>
            </w:pPr>
            <w:r>
              <w:rPr>
                <w:b/>
                <w:bCs/>
                <w:color w:val="1A1A2E"/>
                <w:sz w:val="24"/>
                <w:szCs w:val="24"/>
              </w:rPr>
              <w:t>$246.49</w:t>
            </w:r>
          </w:p>
        </w:tc>
        <w:tc>
          <w:tcPr>
            <w:tcW w:w="1870" w:type="dxa"/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3B77A8" w14:textId="77777777" w:rsidR="00BF4351" w:rsidRDefault="00384E60">
            <w:pPr>
              <w:jc w:val="center"/>
            </w:pPr>
            <w:r>
              <w:rPr>
                <w:b/>
                <w:bCs/>
                <w:color w:val="1A1A2E"/>
                <w:sz w:val="24"/>
                <w:szCs w:val="24"/>
              </w:rPr>
              <w:t>11.6%</w:t>
            </w:r>
          </w:p>
        </w:tc>
      </w:tr>
    </w:tbl>
    <w:p w14:paraId="00C0DF11" w14:textId="77777777" w:rsidR="00BF4351" w:rsidRDefault="00384E60">
      <w:pPr>
        <w:pStyle w:val="Heading1"/>
        <w:spacing w:before="260" w:after="130"/>
      </w:pPr>
      <w:r>
        <w:rPr>
          <w:b/>
          <w:bCs/>
          <w:color w:val="1E2761"/>
        </w:rPr>
        <w:t>Top Insights</w:t>
      </w:r>
    </w:p>
    <w:p w14:paraId="023A4714" w14:textId="77777777" w:rsidR="00BF4351" w:rsidRDefault="00384E60">
      <w:pPr>
        <w:spacing w:after="90" w:line="260" w:lineRule="auto"/>
        <w:ind w:left="360"/>
      </w:pPr>
      <w:r>
        <w:t>•  APAC leads all markets at $3.59M in sales, ahead of the US ($2.30M) and EMEA ($806K).</w:t>
      </w:r>
    </w:p>
    <w:p w14:paraId="10C56AB7" w14:textId="77777777" w:rsidR="00BF4351" w:rsidRDefault="00384E60">
      <w:pPr>
        <w:spacing w:after="90" w:line="260" w:lineRule="auto"/>
        <w:ind w:left="360"/>
      </w:pPr>
      <w:r>
        <w:t>•  Sales nearly doubled over four years, from $2.26M (2011) to $4.30M (2014).</w:t>
      </w:r>
    </w:p>
    <w:p w14:paraId="009BA00C" w14:textId="77777777" w:rsidR="00BF4351" w:rsidRDefault="00384E60">
      <w:pPr>
        <w:spacing w:after="90" w:line="260" w:lineRule="auto"/>
        <w:ind w:left="360"/>
      </w:pPr>
      <w:r>
        <w:t>•  Technology is the most profitable category ($663,740), ahead of Office Supplies and Fu</w:t>
      </w:r>
      <w:r>
        <w:t>rniture despite comparable or lower sales.</w:t>
      </w:r>
    </w:p>
    <w:p w14:paraId="6D57A1F8" w14:textId="77777777" w:rsidR="00BF4351" w:rsidRDefault="00384E60">
      <w:pPr>
        <w:spacing w:after="90" w:line="260" w:lineRule="auto"/>
        <w:ind w:left="360"/>
      </w:pPr>
      <w:r>
        <w:t>•  Tables is the only loss-making sub-category, posting a net -$64,100 despite Furniture overall being profitable.</w:t>
      </w:r>
    </w:p>
    <w:p w14:paraId="55ED92BA" w14:textId="77777777" w:rsidR="00BF4351" w:rsidRDefault="00384E60">
      <w:pPr>
        <w:spacing w:after="90" w:line="260" w:lineRule="auto"/>
        <w:ind w:left="360"/>
      </w:pPr>
      <w:r>
        <w:t>•  The Consumer segment drives roughly 51% of total sales and outperforms Corporate and Home Office combined.</w:t>
      </w:r>
    </w:p>
    <w:p w14:paraId="1622DF49" w14:textId="77777777" w:rsidR="00BF4351" w:rsidRDefault="00384E60">
      <w:pPr>
        <w:pStyle w:val="Heading1"/>
        <w:spacing w:before="260" w:after="130"/>
      </w:pPr>
      <w:r>
        <w:rPr>
          <w:b/>
          <w:bCs/>
          <w:color w:val="1E2761"/>
        </w:rPr>
        <w:t>Top Recommendations</w:t>
      </w:r>
    </w:p>
    <w:p w14:paraId="52DCB4B5" w14:textId="77777777" w:rsidR="00BF4351" w:rsidRDefault="00384E60">
      <w:pPr>
        <w:spacing w:after="90" w:line="260" w:lineRule="auto"/>
        <w:ind w:left="360"/>
      </w:pPr>
      <w:r>
        <w:t>•  Investigate and fix Tables' pricing, discounting, and shipping cost structure to eliminate its loss.</w:t>
      </w:r>
    </w:p>
    <w:p w14:paraId="780D5EA4" w14:textId="77777777" w:rsidR="00BF4351" w:rsidRDefault="00384E60">
      <w:pPr>
        <w:spacing w:after="90" w:line="260" w:lineRule="auto"/>
        <w:ind w:left="360"/>
      </w:pPr>
      <w:r>
        <w:t>•  Reallocate marketin</w:t>
      </w:r>
      <w:r>
        <w:t>g investment toward Technology, the highest-margin category.</w:t>
      </w:r>
    </w:p>
    <w:p w14:paraId="33F4A015" w14:textId="77777777" w:rsidR="00BF4351" w:rsidRDefault="00384E60">
      <w:pPr>
        <w:spacing w:after="90" w:line="260" w:lineRule="auto"/>
        <w:ind w:left="360"/>
      </w:pPr>
      <w:r>
        <w:t>•  Study APAC's success factors and pilot the same approach in EMEA, the weakest market.</w:t>
      </w:r>
    </w:p>
    <w:p w14:paraId="4AAE0BB0" w14:textId="77777777" w:rsidR="00BF4351" w:rsidRDefault="00384E60">
      <w:pPr>
        <w:spacing w:after="90" w:line="260" w:lineRule="auto"/>
        <w:ind w:left="360"/>
      </w:pPr>
      <w:r>
        <w:t>•  Launch a Consumer-segment loyalty programme to build on its existing lead.</w:t>
      </w:r>
    </w:p>
    <w:p w14:paraId="12033269" w14:textId="77777777" w:rsidR="00BF4351" w:rsidRDefault="00384E60">
      <w:pPr>
        <w:pStyle w:val="Heading1"/>
        <w:spacing w:before="260" w:after="130"/>
      </w:pPr>
      <w:r>
        <w:rPr>
          <w:b/>
          <w:bCs/>
          <w:color w:val="1E2761"/>
        </w:rPr>
        <w:t>Conclusion</w:t>
      </w:r>
    </w:p>
    <w:p w14:paraId="1FB1A6F6" w14:textId="77777777" w:rsidR="00BF4351" w:rsidRDefault="00384E60">
      <w:pPr>
        <w:spacing w:after="150" w:line="276" w:lineRule="auto"/>
      </w:pPr>
      <w:r>
        <w:lastRenderedPageBreak/>
        <w:t>The dashboard sho</w:t>
      </w:r>
      <w:r>
        <w:t>ws a business in strong overall growth, with profit concentrated in specific, identifiable areas — Technology and the Consumer segment — alongside one clear, fixable problem in Tables. Full supporting detail, including all business risks, opportunities, an</w:t>
      </w:r>
      <w:r>
        <w:t>d the complete set of recommendations, is provided in the accompanying Business Insights Report and Business Recommendations Report.</w:t>
      </w:r>
    </w:p>
    <w:sectPr w:rsidR="00BF435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E753C4"/>
    <w:multiLevelType w:val="hybridMultilevel"/>
    <w:tmpl w:val="AB5804D0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351"/>
    <w:rsid w:val="00384E60"/>
    <w:rsid w:val="00BF4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72E41"/>
  <w15:docId w15:val="{F03F7DBC-051C-45E1-9583-510BF3FA6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352</Words>
  <Characters>2012</Characters>
  <Application>Microsoft Office Word</Application>
  <DocSecurity>0</DocSecurity>
  <Lines>16</Lines>
  <Paragraphs>4</Paragraphs>
  <ScaleCrop>false</ScaleCrop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Precious Osagie</cp:lastModifiedBy>
  <cp:revision>2</cp:revision>
  <dcterms:created xsi:type="dcterms:W3CDTF">2026-08-13T02:08:00Z</dcterms:created>
  <dcterms:modified xsi:type="dcterms:W3CDTF">2026-08-13T02:41:00Z</dcterms:modified>
</cp:coreProperties>
</file>