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6B146" w14:textId="77777777" w:rsidR="00326B18" w:rsidRDefault="00F16DFD">
      <w:pPr>
        <w:spacing w:after="40"/>
      </w:pPr>
      <w:r>
        <w:rPr>
          <w:b/>
          <w:bCs/>
          <w:color w:val="1C7293"/>
        </w:rPr>
        <w:t>ANALYSTLAB AFRICA</w:t>
      </w:r>
    </w:p>
    <w:p w14:paraId="5A4BB799" w14:textId="77777777" w:rsidR="00326B18" w:rsidRDefault="00F16DFD">
      <w:pPr>
        <w:spacing w:after="40"/>
      </w:pPr>
      <w:r>
        <w:rPr>
          <w:color w:val="5A6472"/>
          <w:sz w:val="22"/>
          <w:szCs w:val="22"/>
        </w:rPr>
        <w:t>Data Analytics Internship — Week 3</w:t>
      </w:r>
    </w:p>
    <w:p w14:paraId="25CF5B60" w14:textId="77777777" w:rsidR="00326B18" w:rsidRDefault="00F16DFD">
      <w:pPr>
        <w:pStyle w:val="Title"/>
        <w:spacing w:before="100" w:after="60"/>
      </w:pPr>
      <w:r>
        <w:rPr>
          <w:b/>
          <w:bCs/>
          <w:color w:val="1E2761"/>
          <w:sz w:val="36"/>
          <w:szCs w:val="36"/>
        </w:rPr>
        <w:t>Business Insights and Recommendations Report</w:t>
      </w:r>
    </w:p>
    <w:p w14:paraId="1EF12FD8" w14:textId="77777777" w:rsidR="00326B18" w:rsidRDefault="00F16DFD">
      <w:pPr>
        <w:spacing w:after="300"/>
      </w:pPr>
      <w:r>
        <w:rPr>
          <w:i/>
          <w:iCs/>
          <w:color w:val="5A6472"/>
          <w:sz w:val="22"/>
          <w:szCs w:val="22"/>
        </w:rPr>
        <w:t>Global Superstore Dataset — Advanced Analysis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50"/>
      </w:tblGrid>
      <w:tr w:rsidR="00326B18" w14:paraId="24FB22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C52D43" w14:textId="77777777" w:rsidR="00326B18" w:rsidRDefault="00F16DFD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55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663B3C" w14:textId="77777777" w:rsidR="00326B18" w:rsidRDefault="00F16DFD">
            <w:r>
              <w:rPr>
                <w:b/>
                <w:bCs/>
                <w:color w:val="FFFFFF"/>
              </w:rPr>
              <w:t>Detail</w:t>
            </w:r>
          </w:p>
        </w:tc>
      </w:tr>
      <w:tr w:rsidR="00326B18" w14:paraId="0ED3E3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70CAD5" w14:textId="77777777" w:rsidR="00326B18" w:rsidRDefault="00F16DFD">
            <w:r>
              <w:rPr>
                <w:color w:val="1A1A2E"/>
              </w:rPr>
              <w:t>Prepared by</w:t>
            </w:r>
          </w:p>
        </w:tc>
        <w:tc>
          <w:tcPr>
            <w:tcW w:w="6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223839" w14:textId="55B6D2C6" w:rsidR="00326B18" w:rsidRDefault="00F16DFD">
            <w:r>
              <w:rPr>
                <w:color w:val="1A1A2E"/>
              </w:rPr>
              <w:t>Osagie Osagieduwa Precious</w:t>
            </w:r>
            <w:r>
              <w:rPr>
                <w:color w:val="1A1A2E"/>
              </w:rPr>
              <w:t xml:space="preserve"> — Data Analyst</w:t>
            </w:r>
          </w:p>
        </w:tc>
      </w:tr>
      <w:tr w:rsidR="00326B18" w14:paraId="2AE33E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D19518" w14:textId="77777777" w:rsidR="00326B18" w:rsidRDefault="00F16DFD">
            <w:r>
              <w:rPr>
                <w:color w:val="1A1A2E"/>
              </w:rPr>
              <w:t>Basis</w:t>
            </w:r>
          </w:p>
        </w:tc>
        <w:tc>
          <w:tcPr>
            <w:tcW w:w="6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51BD99" w14:textId="77777777" w:rsidR="00326B18" w:rsidRDefault="00F16DFD">
            <w:r>
              <w:rPr>
                <w:color w:val="1A1A2E"/>
              </w:rPr>
              <w:t>Findings are drawn directly from the Advanced Business Analysis and Power BI dashboard</w:t>
            </w:r>
          </w:p>
        </w:tc>
      </w:tr>
    </w:tbl>
    <w:p w14:paraId="6AD107D0" w14:textId="77777777" w:rsidR="00326B18" w:rsidRDefault="00F16DFD">
      <w:pPr>
        <w:pStyle w:val="Heading1"/>
        <w:spacing w:before="260" w:after="130"/>
      </w:pPr>
      <w:r>
        <w:rPr>
          <w:b/>
          <w:bCs/>
          <w:color w:val="1E2761"/>
        </w:rPr>
        <w:t>Part 1 — Business Problems Investigated</w:t>
      </w:r>
    </w:p>
    <w:p w14:paraId="70259724" w14:textId="77777777" w:rsidR="00326B18" w:rsidRDefault="00F16DFD">
      <w:pPr>
        <w:spacing w:before="200" w:after="90"/>
      </w:pPr>
      <w:r>
        <w:rPr>
          <w:b/>
          <w:bCs/>
          <w:color w:val="E4572E"/>
          <w:sz w:val="22"/>
          <w:szCs w:val="22"/>
        </w:rPr>
        <w:t>Problem 1: High Sales but Low Profit</w:t>
      </w:r>
    </w:p>
    <w:p w14:paraId="6D244586" w14:textId="77777777" w:rsidR="00326B18" w:rsidRDefault="00F16DFD">
      <w:pPr>
        <w:spacing w:after="150" w:line="276" w:lineRule="auto"/>
      </w:pPr>
      <w:r>
        <w:t>The Apple Smart Phone, Full Size is the single highest-selling product by revenue ($86,936), yet converts sales to profit far less efficiently than comparable products — generating only $5,922 in profit, compared to $17</w:t>
      </w:r>
      <w:r>
        <w:t>,239 for the Cisco Smart Phone and $17,027 for the Motorola Smart Phone, both of which sold less overall. This indicates the issue is not a lack of demand but a margin problem specific to this product, likely driven by pricing or discount levels applied to</w:t>
      </w:r>
      <w:r>
        <w:t xml:space="preserve"> it.</w:t>
      </w:r>
    </w:p>
    <w:p w14:paraId="238C12DA" w14:textId="77777777" w:rsidR="00326B18" w:rsidRDefault="00F16DFD">
      <w:pPr>
        <w:spacing w:before="200" w:after="90"/>
      </w:pPr>
      <w:r>
        <w:rPr>
          <w:b/>
          <w:bCs/>
          <w:color w:val="E4572E"/>
          <w:sz w:val="22"/>
          <w:szCs w:val="22"/>
        </w:rPr>
        <w:t>Problem 2: Loss-Making Products</w:t>
      </w:r>
    </w:p>
    <w:p w14:paraId="4FBC01B2" w14:textId="77777777" w:rsidR="00326B18" w:rsidRDefault="00F16DFD">
      <w:pPr>
        <w:spacing w:after="150" w:line="276" w:lineRule="auto"/>
      </w:pPr>
      <w:r>
        <w:t>65 individual products each generated more than $10,000 in sales while still posting a net loss — this is not an isolated outlier but a recurring pattern across the catalogue. The single worst case is the Cubify CubeX 3</w:t>
      </w:r>
      <w:r>
        <w:t>D Printer (Double Head), which lost $8,880 against $11,100 in sales, an effective loss rate of roughly 80%. At the sub-category level, Tables is the only loss-making sub-category, posting a net -$64,100 despite Furniture as a whole being profitable.</w:t>
      </w:r>
    </w:p>
    <w:p w14:paraId="7A99F4F5" w14:textId="77777777" w:rsidR="00326B18" w:rsidRDefault="00F16DFD">
      <w:pPr>
        <w:spacing w:before="200" w:after="90"/>
      </w:pPr>
      <w:r>
        <w:rPr>
          <w:b/>
          <w:bCs/>
          <w:color w:val="E4572E"/>
          <w:sz w:val="22"/>
          <w:szCs w:val="22"/>
        </w:rPr>
        <w:t>Proble</w:t>
      </w:r>
      <w:r>
        <w:rPr>
          <w:b/>
          <w:bCs/>
          <w:color w:val="E4572E"/>
          <w:sz w:val="22"/>
          <w:szCs w:val="22"/>
        </w:rPr>
        <w:t>m 3: Regional Underperformance</w:t>
      </w:r>
    </w:p>
    <w:p w14:paraId="7F575F66" w14:textId="77777777" w:rsidR="00326B18" w:rsidRDefault="00F16DFD">
      <w:pPr>
        <w:spacing w:after="150" w:line="276" w:lineRule="auto"/>
      </w:pPr>
      <w:r>
        <w:t>EMEA is the weakest-performing market, generating just $806K in sales and a profit margin of only 5.4% — less than half the margin of every other major market. Critically, this is not simply a low-demand market: EMEA also car</w:t>
      </w:r>
      <w:r>
        <w:t>ries the highest average discount of any market (20%), directly linking its weak profitability to discounting behaviour rather than an unexplained demand gap.</w:t>
      </w:r>
    </w:p>
    <w:p w14:paraId="55F3CAC2" w14:textId="77777777" w:rsidR="00326B18" w:rsidRDefault="00F16DFD">
      <w:pPr>
        <w:spacing w:before="200" w:after="90"/>
      </w:pPr>
      <w:r>
        <w:rPr>
          <w:b/>
          <w:bCs/>
          <w:color w:val="E4572E"/>
          <w:sz w:val="22"/>
          <w:szCs w:val="22"/>
        </w:rPr>
        <w:t>Problem 4: Discount Impact on Profitability</w:t>
      </w:r>
    </w:p>
    <w:p w14:paraId="04B65450" w14:textId="77777777" w:rsidR="00326B18" w:rsidRDefault="00F16DFD">
      <w:pPr>
        <w:spacing w:after="150" w:line="276" w:lineRule="auto"/>
      </w:pPr>
      <w:r>
        <w:t>Discount level has a meaningfully negative relationsh</w:t>
      </w:r>
      <w:r>
        <w:t>ip with profit (correlation -0.32) and only a weak relationship with sales volume (-0.09), meaning discounting is not effectively driving additional demand. Average profit per order turns negative once discounts exceed 20%, and losses deepen sharply beyond</w:t>
      </w:r>
      <w:r>
        <w:t xml:space="preserve"> 40%. Furniture carries the highest average discount of any category (16.8%), which helps explain its comparatively weaker profitability against Technology.</w:t>
      </w:r>
    </w:p>
    <w:p w14:paraId="61CD40C0" w14:textId="77777777" w:rsidR="00326B18" w:rsidRDefault="00F16DFD">
      <w:pPr>
        <w:pStyle w:val="Heading1"/>
        <w:spacing w:before="260" w:after="130"/>
      </w:pPr>
      <w:r>
        <w:rPr>
          <w:b/>
          <w:bCs/>
          <w:color w:val="1E2761"/>
        </w:rPr>
        <w:t>Part 2 — Key Business Insights</w:t>
      </w:r>
    </w:p>
    <w:p w14:paraId="1A39EEBA" w14:textId="77777777" w:rsidR="00326B18" w:rsidRDefault="00F16DFD">
      <w:pPr>
        <w:spacing w:after="140" w:line="270" w:lineRule="auto"/>
        <w:ind w:left="360"/>
      </w:pPr>
      <w:r>
        <w:rPr>
          <w:b/>
          <w:bCs/>
          <w:color w:val="1E2761"/>
        </w:rPr>
        <w:t xml:space="preserve">1. </w:t>
      </w:r>
      <w:r>
        <w:t>APAC is the leading market by a wide margin, generating $3.59M in</w:t>
      </w:r>
      <w:r>
        <w:t xml:space="preserve"> sales — more than the US ($2.30M) or EMEA ($806K) — making it the single most important market for the business.</w:t>
      </w:r>
    </w:p>
    <w:p w14:paraId="3B881B67" w14:textId="77777777" w:rsidR="00326B18" w:rsidRDefault="00F16DFD">
      <w:pPr>
        <w:spacing w:after="140" w:line="270" w:lineRule="auto"/>
        <w:ind w:left="360"/>
      </w:pPr>
      <w:r>
        <w:rPr>
          <w:b/>
          <w:bCs/>
          <w:color w:val="1E2761"/>
        </w:rPr>
        <w:t xml:space="preserve">2. </w:t>
      </w:r>
      <w:r>
        <w:t>Sales have nearly doubled over four years, growing from $2.26M in 2011 to $4.30M in 2014, with Q4 (September–December) consistently the strongest quarter in every single year of the dataset.</w:t>
      </w:r>
    </w:p>
    <w:p w14:paraId="6F902358" w14:textId="77777777" w:rsidR="00326B18" w:rsidRDefault="00F16DFD">
      <w:pPr>
        <w:spacing w:after="140" w:line="270" w:lineRule="auto"/>
        <w:ind w:left="360"/>
      </w:pPr>
      <w:r>
        <w:rPr>
          <w:b/>
          <w:bCs/>
          <w:color w:val="1E2761"/>
        </w:rPr>
        <w:t xml:space="preserve">3. </w:t>
      </w:r>
      <w:r>
        <w:t xml:space="preserve">Technology is the most profitable category by far, delivering </w:t>
      </w:r>
      <w:r>
        <w:t>$663,740 in profit — more than Office Supplies ($518,443) or Furniture ($285,244) — despite Furniture generating comparable sales to Technology.</w:t>
      </w:r>
    </w:p>
    <w:p w14:paraId="07A8DA83" w14:textId="77777777" w:rsidR="00326B18" w:rsidRDefault="00F16DFD">
      <w:pPr>
        <w:spacing w:after="140" w:line="270" w:lineRule="auto"/>
        <w:ind w:left="360"/>
      </w:pPr>
      <w:r>
        <w:rPr>
          <w:b/>
          <w:bCs/>
          <w:color w:val="1E2761"/>
        </w:rPr>
        <w:t xml:space="preserve">4. </w:t>
      </w:r>
      <w:r>
        <w:t>Discounting above 20% is directly associated with negative average profit per order, and this effect is heav</w:t>
      </w:r>
      <w:r>
        <w:t>ily concentrated in Furniture and in the EMEA market, both of which carry above-average discount levels.</w:t>
      </w:r>
    </w:p>
    <w:p w14:paraId="73D38AA9" w14:textId="77777777" w:rsidR="00326B18" w:rsidRDefault="00F16DFD">
      <w:pPr>
        <w:spacing w:after="140" w:line="270" w:lineRule="auto"/>
        <w:ind w:left="360"/>
      </w:pPr>
      <w:r>
        <w:rPr>
          <w:b/>
          <w:bCs/>
          <w:color w:val="1E2761"/>
        </w:rPr>
        <w:lastRenderedPageBreak/>
        <w:t xml:space="preserve">5. </w:t>
      </w:r>
      <w:r>
        <w:t>Consumer is the largest segment by sales and profit volume, but Home Office is actually the most efficient segment on a margin basis (12.0%), meanin</w:t>
      </w:r>
      <w:r>
        <w:t>g Consumer's advantage is one of scale rather than profitability rate.</w:t>
      </w:r>
    </w:p>
    <w:p w14:paraId="157B62A5" w14:textId="77777777" w:rsidR="00326B18" w:rsidRDefault="00F16DFD">
      <w:pPr>
        <w:spacing w:after="140" w:line="270" w:lineRule="auto"/>
        <w:ind w:left="360"/>
      </w:pPr>
      <w:r>
        <w:rPr>
          <w:b/>
          <w:bCs/>
          <w:color w:val="1E2761"/>
        </w:rPr>
        <w:t xml:space="preserve">6. </w:t>
      </w:r>
      <w:r>
        <w:t>A meaningful share of the product catalogue — 65 products — generates high sales while still losing money, indicating a systemic pricing or discounting issue rather than a handful of</w:t>
      </w:r>
      <w:r>
        <w:t xml:space="preserve"> isolated problem products.</w:t>
      </w:r>
    </w:p>
    <w:p w14:paraId="39840120" w14:textId="77777777" w:rsidR="00326B18" w:rsidRDefault="00F16DFD">
      <w:pPr>
        <w:pStyle w:val="Heading1"/>
        <w:spacing w:before="260" w:after="130"/>
      </w:pPr>
      <w:r>
        <w:rPr>
          <w:b/>
          <w:bCs/>
          <w:color w:val="1E2761"/>
        </w:rPr>
        <w:t>Part 3 — Recommendations</w:t>
      </w:r>
    </w:p>
    <w:p w14:paraId="182BF069" w14:textId="77777777" w:rsidR="00326B18" w:rsidRDefault="00F16DFD">
      <w:pPr>
        <w:spacing w:before="200" w:after="90"/>
      </w:pPr>
      <w:r>
        <w:rPr>
          <w:b/>
          <w:bCs/>
          <w:color w:val="2E9E5B"/>
          <w:sz w:val="22"/>
          <w:szCs w:val="22"/>
        </w:rPr>
        <w:t>1. Cap discounts at 20% on Furniture and in EMEA</w:t>
      </w:r>
    </w:p>
    <w:p w14:paraId="68B2A011" w14:textId="77777777" w:rsidR="00326B18" w:rsidRDefault="00F16DFD">
      <w:pPr>
        <w:spacing w:after="150" w:line="276" w:lineRule="auto"/>
      </w:pPr>
      <w:r>
        <w:t>Since average profit per order turns negative beyond a 20% discount, and both Furniture and EMEA carry above-average discount levels, introducing a discount ceiling in these specific areas directly targets the clearest, most quantifiable driver of lost pro</w:t>
      </w:r>
      <w:r>
        <w:t>fit identified in this analysis.</w:t>
      </w:r>
    </w:p>
    <w:p w14:paraId="27B3A7A9" w14:textId="77777777" w:rsidR="00326B18" w:rsidRDefault="00F16DFD">
      <w:pPr>
        <w:spacing w:before="200" w:after="90"/>
      </w:pPr>
      <w:r>
        <w:rPr>
          <w:b/>
          <w:bCs/>
          <w:color w:val="2E9E5B"/>
          <w:sz w:val="22"/>
          <w:szCs w:val="22"/>
        </w:rPr>
        <w:t>2. Review pricing on the Apple Smart Phone and similar high-sales, low-margin products</w:t>
      </w:r>
    </w:p>
    <w:p w14:paraId="3233BF0F" w14:textId="77777777" w:rsidR="00326B18" w:rsidRDefault="00F16DFD">
      <w:pPr>
        <w:spacing w:after="150" w:line="276" w:lineRule="auto"/>
      </w:pPr>
      <w:r>
        <w:t>Since the issue is specific to certain products rather than the product line generally (Cisco and Motorola phones are markedly more prof</w:t>
      </w:r>
      <w:r>
        <w:t>itable), a targeted pricing or bundling review on the affected SKUs is more precise than a category-wide response.</w:t>
      </w:r>
    </w:p>
    <w:p w14:paraId="063572ED" w14:textId="77777777" w:rsidR="00326B18" w:rsidRDefault="00F16DFD">
      <w:pPr>
        <w:spacing w:before="200" w:after="90"/>
      </w:pPr>
      <w:r>
        <w:rPr>
          <w:b/>
          <w:bCs/>
          <w:color w:val="2E9E5B"/>
          <w:sz w:val="22"/>
          <w:szCs w:val="22"/>
        </w:rPr>
        <w:t>3. Discontinue or renegotiate supplier terms for chronic loss-making products</w:t>
      </w:r>
    </w:p>
    <w:p w14:paraId="4B86A4B8" w14:textId="77777777" w:rsidR="00326B18" w:rsidRDefault="00F16DFD">
      <w:pPr>
        <w:spacing w:after="150" w:line="276" w:lineRule="auto"/>
      </w:pPr>
      <w:r>
        <w:t xml:space="preserve">With 65 products losing money despite meaningful sales volume, </w:t>
      </w:r>
      <w:r>
        <w:t>and the Cubify CubeX 3D Printer losing roughly 80% of its own sales value, management should review whether these products can be repriced, re-sourced at lower cost, or phased out entirely.</w:t>
      </w:r>
    </w:p>
    <w:p w14:paraId="076A10A5" w14:textId="77777777" w:rsidR="00326B18" w:rsidRDefault="00F16DFD">
      <w:pPr>
        <w:spacing w:before="200" w:after="90"/>
      </w:pPr>
      <w:r>
        <w:rPr>
          <w:b/>
          <w:bCs/>
          <w:color w:val="2E9E5B"/>
          <w:sz w:val="22"/>
          <w:szCs w:val="22"/>
        </w:rPr>
        <w:t>4. Replicate APAC's approach in EMEA</w:t>
      </w:r>
    </w:p>
    <w:p w14:paraId="0B0D4FB4" w14:textId="77777777" w:rsidR="00326B18" w:rsidRDefault="00F16DFD">
      <w:pPr>
        <w:spacing w:after="150" w:line="276" w:lineRule="auto"/>
      </w:pPr>
      <w:r>
        <w:t>Since APAC combines high sale</w:t>
      </w:r>
      <w:r>
        <w:t>s with a healthy 12.2% margin and a moderate 15% average discount, while EMEA combines low sales with a 5.4% margin and a 20% discount, studying and adapting APAC's pricing and discount discipline is a concrete, evidence-based path to improving EMEA specif</w:t>
      </w:r>
      <w:r>
        <w:t>ically.</w:t>
      </w:r>
    </w:p>
    <w:p w14:paraId="18B763FD" w14:textId="77777777" w:rsidR="00326B18" w:rsidRDefault="00F16DFD">
      <w:pPr>
        <w:spacing w:before="200" w:after="90"/>
      </w:pPr>
      <w:r>
        <w:rPr>
          <w:b/>
          <w:bCs/>
          <w:color w:val="2E9E5B"/>
          <w:sz w:val="22"/>
          <w:szCs w:val="22"/>
        </w:rPr>
        <w:t>5. Prioritise Q4 inventory and staffing planning</w:t>
      </w:r>
    </w:p>
    <w:p w14:paraId="4E83B235" w14:textId="77777777" w:rsidR="00326B18" w:rsidRDefault="00F16DFD">
      <w:pPr>
        <w:spacing w:after="150" w:line="276" w:lineRule="auto"/>
      </w:pPr>
      <w:r>
        <w:t xml:space="preserve">Since Q4 is consistently the strongest quarter every year without exception, ensuring adequate stock levels and support resourcing ahead of this period would help the business capture the full value </w:t>
      </w:r>
      <w:r>
        <w:t>of its most reliable demand window.</w:t>
      </w:r>
    </w:p>
    <w:p w14:paraId="2D58782B" w14:textId="77777777" w:rsidR="00326B18" w:rsidRDefault="00F16DFD">
      <w:pPr>
        <w:spacing w:before="200" w:after="90"/>
      </w:pPr>
      <w:r>
        <w:rPr>
          <w:b/>
          <w:bCs/>
          <w:color w:val="2E9E5B"/>
          <w:sz w:val="22"/>
          <w:szCs w:val="22"/>
        </w:rPr>
        <w:t>6. Shift marketing emphasis toward Technology and Home Office</w:t>
      </w:r>
    </w:p>
    <w:p w14:paraId="3606C617" w14:textId="77777777" w:rsidR="00326B18" w:rsidRDefault="00F16DFD">
      <w:pPr>
        <w:spacing w:after="150" w:line="276" w:lineRule="auto"/>
      </w:pPr>
      <w:r>
        <w:t>Technology delivers the strongest profit-to-sales ratio of any category, and Home Office is the most efficient segment by margin — both represent a better ret</w:t>
      </w:r>
      <w:r>
        <w:t>urn on incremental marketing spend than areas where the business already leads on volume alone.</w:t>
      </w:r>
    </w:p>
    <w:sectPr w:rsidR="00326B1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5F268E"/>
    <w:multiLevelType w:val="hybridMultilevel"/>
    <w:tmpl w:val="9C142E6E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B18"/>
    <w:rsid w:val="00326B18"/>
    <w:rsid w:val="00F16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31D61"/>
  <w15:docId w15:val="{6F614A6E-8EE9-48F7-8106-C5DA12D88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824</Words>
  <Characters>4702</Characters>
  <Application>Microsoft Office Word</Application>
  <DocSecurity>0</DocSecurity>
  <Lines>39</Lines>
  <Paragraphs>11</Paragraphs>
  <ScaleCrop>false</ScaleCrop>
  <Company/>
  <LinksUpToDate>false</LinksUpToDate>
  <CharactersWithSpaces>5515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Precious Osagie</cp:lastModifiedBy>
  <cp:revision>2</cp:revision>
  <dcterms:created xsi:type="dcterms:W3CDTF">2026-08-21T05:28:00Z</dcterms:created>
  <dcterms:modified xsi:type="dcterms:W3CDTF">2026-08-21T08:21:00Z</dcterms:modified>
</cp:coreProperties>
</file>