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F18E7" w14:textId="77777777" w:rsidR="00051EBA" w:rsidRDefault="008C14D0">
      <w:pPr>
        <w:spacing w:after="40"/>
      </w:pPr>
      <w:r>
        <w:rPr>
          <w:b/>
          <w:bCs/>
          <w:color w:val="1C7293"/>
        </w:rPr>
        <w:t>ANALYSTLAB AFRICA</w:t>
      </w:r>
    </w:p>
    <w:p w14:paraId="77EAFBC1" w14:textId="77777777" w:rsidR="00051EBA" w:rsidRDefault="008C14D0">
      <w:pPr>
        <w:spacing w:after="40"/>
      </w:pPr>
      <w:r>
        <w:rPr>
          <w:color w:val="5A6472"/>
          <w:sz w:val="22"/>
          <w:szCs w:val="22"/>
        </w:rPr>
        <w:t>Data Analytics Internship — Week 3</w:t>
      </w:r>
    </w:p>
    <w:p w14:paraId="0CC910E7" w14:textId="77777777" w:rsidR="00051EBA" w:rsidRDefault="008C14D0">
      <w:pPr>
        <w:pStyle w:val="Title"/>
        <w:spacing w:before="100" w:after="60"/>
      </w:pPr>
      <w:r>
        <w:rPr>
          <w:b/>
          <w:bCs/>
          <w:color w:val="1E2761"/>
          <w:sz w:val="40"/>
          <w:szCs w:val="40"/>
        </w:rPr>
        <w:t>Project Continuity Summary</w:t>
      </w:r>
    </w:p>
    <w:p w14:paraId="189A3614" w14:textId="77777777" w:rsidR="00051EBA" w:rsidRDefault="008C14D0">
      <w:pPr>
        <w:spacing w:after="300"/>
      </w:pPr>
      <w:r>
        <w:rPr>
          <w:i/>
          <w:iCs/>
          <w:color w:val="5A6472"/>
          <w:sz w:val="22"/>
          <w:szCs w:val="22"/>
        </w:rPr>
        <w:t>Advanced Data Analysis, KPI Development &amp; Business Intelligence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051EBA" w14:paraId="0BCC429D" w14:textId="77777777">
        <w:tc>
          <w:tcPr>
            <w:tcW w:w="2800" w:type="dxa"/>
            <w:shd w:val="clear" w:color="auto" w:fill="1E2761"/>
            <w:tcMar>
              <w:top w:w="100" w:type="dxa"/>
              <w:left w:w="120" w:type="dxa"/>
              <w:bottom w:w="100" w:type="dxa"/>
              <w:right w:w="120" w:type="dxa"/>
            </w:tcMar>
          </w:tcPr>
          <w:p w14:paraId="6F194DAB" w14:textId="77777777" w:rsidR="00051EBA" w:rsidRDefault="008C14D0">
            <w:r>
              <w:rPr>
                <w:b/>
                <w:bCs/>
                <w:color w:val="FFFFFF"/>
              </w:rPr>
              <w:t>Field</w:t>
            </w:r>
          </w:p>
        </w:tc>
        <w:tc>
          <w:tcPr>
            <w:tcW w:w="6550" w:type="dxa"/>
            <w:shd w:val="clear" w:color="auto" w:fill="1E2761"/>
            <w:tcMar>
              <w:top w:w="100" w:type="dxa"/>
              <w:left w:w="120" w:type="dxa"/>
              <w:bottom w:w="100" w:type="dxa"/>
              <w:right w:w="120" w:type="dxa"/>
            </w:tcMar>
          </w:tcPr>
          <w:p w14:paraId="38C58000" w14:textId="77777777" w:rsidR="00051EBA" w:rsidRDefault="008C14D0">
            <w:r>
              <w:rPr>
                <w:b/>
                <w:bCs/>
                <w:color w:val="FFFFFF"/>
              </w:rPr>
              <w:t>Detail</w:t>
            </w:r>
          </w:p>
        </w:tc>
      </w:tr>
      <w:tr w:rsidR="00051EBA" w14:paraId="5926D5F1" w14:textId="77777777">
        <w:tc>
          <w:tcPr>
            <w:tcW w:w="2800" w:type="dxa"/>
            <w:tcMar>
              <w:top w:w="100" w:type="dxa"/>
              <w:left w:w="120" w:type="dxa"/>
              <w:bottom w:w="100" w:type="dxa"/>
              <w:right w:w="120" w:type="dxa"/>
            </w:tcMar>
          </w:tcPr>
          <w:p w14:paraId="362446DF" w14:textId="77777777" w:rsidR="00051EBA" w:rsidRDefault="008C14D0">
            <w:r>
              <w:rPr>
                <w:color w:val="1A1A2E"/>
              </w:rPr>
              <w:t>Prepared by</w:t>
            </w:r>
          </w:p>
        </w:tc>
        <w:tc>
          <w:tcPr>
            <w:tcW w:w="6550" w:type="dxa"/>
            <w:tcMar>
              <w:top w:w="100" w:type="dxa"/>
              <w:left w:w="120" w:type="dxa"/>
              <w:bottom w:w="100" w:type="dxa"/>
              <w:right w:w="120" w:type="dxa"/>
            </w:tcMar>
          </w:tcPr>
          <w:p w14:paraId="28BF9794" w14:textId="0AA1B226" w:rsidR="00051EBA" w:rsidRDefault="008C14D0">
            <w:r>
              <w:rPr>
                <w:color w:val="1A1A2E"/>
              </w:rPr>
              <w:t xml:space="preserve">Osagie </w:t>
            </w:r>
            <w:proofErr w:type="spellStart"/>
            <w:r>
              <w:rPr>
                <w:color w:val="1A1A2E"/>
              </w:rPr>
              <w:t>Osagieduwa</w:t>
            </w:r>
            <w:proofErr w:type="spellEnd"/>
            <w:r>
              <w:rPr>
                <w:color w:val="1A1A2E"/>
              </w:rPr>
              <w:t xml:space="preserve"> Precious — Data Analyst</w:t>
            </w:r>
          </w:p>
        </w:tc>
      </w:tr>
      <w:tr w:rsidR="00051EBA" w14:paraId="5158CE5C" w14:textId="77777777">
        <w:tc>
          <w:tcPr>
            <w:tcW w:w="2800" w:type="dxa"/>
            <w:tcMar>
              <w:top w:w="100" w:type="dxa"/>
              <w:left w:w="120" w:type="dxa"/>
              <w:bottom w:w="100" w:type="dxa"/>
              <w:right w:w="120" w:type="dxa"/>
            </w:tcMar>
          </w:tcPr>
          <w:p w14:paraId="41EA5BD6" w14:textId="77777777" w:rsidR="00051EBA" w:rsidRDefault="008C14D0">
            <w:r>
              <w:rPr>
                <w:color w:val="1A1A2E"/>
              </w:rPr>
              <w:t>Engagement</w:t>
            </w:r>
          </w:p>
        </w:tc>
        <w:tc>
          <w:tcPr>
            <w:tcW w:w="6550" w:type="dxa"/>
            <w:tcMar>
              <w:top w:w="100" w:type="dxa"/>
              <w:left w:w="120" w:type="dxa"/>
              <w:bottom w:w="100" w:type="dxa"/>
              <w:right w:w="120" w:type="dxa"/>
            </w:tcMar>
          </w:tcPr>
          <w:p w14:paraId="56D2000D" w14:textId="77777777" w:rsidR="00051EBA" w:rsidRDefault="008C14D0">
            <w:proofErr w:type="spellStart"/>
            <w:r>
              <w:rPr>
                <w:color w:val="1A1A2E"/>
              </w:rPr>
              <w:t>AnalystLab</w:t>
            </w:r>
            <w:proofErr w:type="spellEnd"/>
            <w:r>
              <w:rPr>
                <w:color w:val="1A1A2E"/>
              </w:rPr>
              <w:t xml:space="preserve"> Africa Consulting — continuing the Global Retail Sales &amp; Profitability engagement from Week 2</w:t>
            </w:r>
          </w:p>
        </w:tc>
      </w:tr>
    </w:tbl>
    <w:p w14:paraId="56F17EE1" w14:textId="77777777" w:rsidR="00051EBA" w:rsidRDefault="008C14D0">
      <w:pPr>
        <w:pStyle w:val="Heading1"/>
        <w:spacing w:before="260" w:after="130"/>
      </w:pPr>
      <w:r>
        <w:rPr>
          <w:b/>
          <w:bCs/>
          <w:color w:val="1E2761"/>
        </w:rPr>
        <w:t>1. Dataset</w:t>
      </w:r>
    </w:p>
    <w:p w14:paraId="099D6751" w14:textId="3E170B68" w:rsidR="00051EBA" w:rsidRDefault="008C14D0">
      <w:pPr>
        <w:spacing w:after="150" w:line="276" w:lineRule="auto"/>
      </w:pPr>
      <w:r>
        <w:t>This project continues to the</w:t>
      </w:r>
      <w:r w:rsidR="00BC0E38">
        <w:t xml:space="preserve"> use of</w:t>
      </w:r>
      <w:r>
        <w:t xml:space="preserve"> Global Superstore Dataset, the same dataset used in Week 2. It contains 51,290 individual order line items placed between 2011 and 2014, across 147 countries, spanning three product categories (Technology, Furniture, Office Supplies), three customer segments (Consumer, Corporate, Home Office), and seven markets (APAC, EU, US, LATAM, EMEA, Africa, Canada).</w:t>
      </w:r>
    </w:p>
    <w:p w14:paraId="76913F47" w14:textId="77777777" w:rsidR="00051EBA" w:rsidRDefault="008C14D0">
      <w:pPr>
        <w:pStyle w:val="Heading1"/>
        <w:spacing w:before="260" w:after="130"/>
      </w:pPr>
      <w:r>
        <w:rPr>
          <w:b/>
          <w:bCs/>
          <w:color w:val="1E2761"/>
        </w:rPr>
        <w:t>2. Business Problem</w:t>
      </w:r>
    </w:p>
    <w:p w14:paraId="3D35711E" w14:textId="279EE88B" w:rsidR="00051EBA" w:rsidRDefault="008C14D0">
      <w:pPr>
        <w:spacing w:after="150" w:line="276" w:lineRule="auto"/>
      </w:pPr>
      <w:r>
        <w:t xml:space="preserve">ABC Communications' retail client needed a single executive view of sales performance, profitability, regional performance, and customer </w:t>
      </w:r>
      <w:r w:rsidR="005358CB">
        <w:t>behaviors</w:t>
      </w:r>
      <w:r>
        <w:t>, replacing scattered manual reporting. Week 2 delivered an initial Power BI dashboard answering the core questions of overall performance, top markets, and category-level results. Week 3 extends this into a deeper, more advanced analysis: identifying underperforming areas, quantifying the impact of discounting, developing additional KPIs and DAX measures, and translating findings into evidence-based recommendations for leadership.</w:t>
      </w:r>
    </w:p>
    <w:p w14:paraId="46415C26" w14:textId="77777777" w:rsidR="00051EBA" w:rsidRDefault="008C14D0">
      <w:pPr>
        <w:pStyle w:val="Heading1"/>
        <w:spacing w:before="260" w:after="130"/>
      </w:pPr>
      <w:r>
        <w:rPr>
          <w:b/>
          <w:bCs/>
          <w:color w:val="1E2761"/>
        </w:rPr>
        <w:t>3. Key Findings from Week 2</w:t>
      </w:r>
    </w:p>
    <w:p w14:paraId="5478E5E3" w14:textId="77777777" w:rsidR="00051EBA" w:rsidRDefault="008C14D0">
      <w:pPr>
        <w:spacing w:after="90" w:line="260" w:lineRule="auto"/>
        <w:ind w:left="360"/>
      </w:pPr>
      <w:r>
        <w:t>•  APAC is the leading market by a wide margin, generating $3.59M in sales, ahead of the US ($2.30M) and EMEA ($806K).</w:t>
      </w:r>
    </w:p>
    <w:p w14:paraId="3D180544" w14:textId="77777777" w:rsidR="00051EBA" w:rsidRDefault="008C14D0">
      <w:pPr>
        <w:spacing w:after="90" w:line="260" w:lineRule="auto"/>
        <w:ind w:left="360"/>
      </w:pPr>
      <w:r>
        <w:t>•  Sales nearly doubled over four years, growing from $2.26M in 2011 to $4.30M in 2014.</w:t>
      </w:r>
    </w:p>
    <w:p w14:paraId="5D8EC656" w14:textId="77777777" w:rsidR="00051EBA" w:rsidRDefault="008C14D0">
      <w:pPr>
        <w:spacing w:after="90" w:line="260" w:lineRule="auto"/>
        <w:ind w:left="360"/>
      </w:pPr>
      <w:r>
        <w:t>•  Technology is the most profitable category ($663,740 in profit), ahead of Office Supplies ($518,443) and Furniture ($285,244), despite Furniture generating comparable sales to Technology.</w:t>
      </w:r>
    </w:p>
    <w:p w14:paraId="495BB9C4" w14:textId="77777777" w:rsidR="00051EBA" w:rsidRDefault="008C14D0">
      <w:pPr>
        <w:spacing w:after="90" w:line="260" w:lineRule="auto"/>
        <w:ind w:left="360"/>
      </w:pPr>
      <w:r>
        <w:t>•  Tables is the only loss-making sub-category, posting a net -$64,100, while every other sub-category (Copiers, Phones, Bookcases, Chairs) is profitable.</w:t>
      </w:r>
    </w:p>
    <w:p w14:paraId="5EF27CF4" w14:textId="77777777" w:rsidR="00051EBA" w:rsidRDefault="008C14D0">
      <w:pPr>
        <w:spacing w:after="90" w:line="260" w:lineRule="auto"/>
        <w:ind w:left="360"/>
      </w:pPr>
      <w:r>
        <w:t>•  The Consumer segment drives roughly 51% of total sales ($6.5M of $12.64M) and outperforms Corporate and Home Office combined.</w:t>
      </w:r>
    </w:p>
    <w:p w14:paraId="17B073EF" w14:textId="77777777" w:rsidR="00051EBA" w:rsidRDefault="008C14D0">
      <w:pPr>
        <w:pStyle w:val="Heading1"/>
        <w:spacing w:before="260" w:after="130"/>
      </w:pPr>
      <w:r>
        <w:rPr>
          <w:b/>
          <w:bCs/>
          <w:color w:val="1E2761"/>
        </w:rPr>
        <w:t>4. Areas to Investigate Further in Week 3</w:t>
      </w:r>
    </w:p>
    <w:p w14:paraId="675C62C0" w14:textId="77777777" w:rsidR="00051EBA" w:rsidRDefault="008C14D0">
      <w:pPr>
        <w:spacing w:after="90" w:line="260" w:lineRule="auto"/>
        <w:ind w:left="360"/>
      </w:pPr>
      <w:r>
        <w:t>•  Discount impact: whether high discount levels are associated with lower profitability, and which categories or sub-categories are most affected — not yet examined in Week 2.</w:t>
      </w:r>
    </w:p>
    <w:p w14:paraId="5E45522A" w14:textId="77777777" w:rsidR="00051EBA" w:rsidRDefault="008C14D0">
      <w:pPr>
        <w:spacing w:after="90" w:line="260" w:lineRule="auto"/>
        <w:ind w:left="360"/>
      </w:pPr>
      <w:r>
        <w:t>•  Product-level performance: identifying specific best- and worst-performing products (not just sub-categories), including products with high sales but low or negative profit.</w:t>
      </w:r>
    </w:p>
    <w:p w14:paraId="246DFD1C" w14:textId="77777777" w:rsidR="00051EBA" w:rsidRDefault="008C14D0">
      <w:pPr>
        <w:spacing w:after="90" w:line="260" w:lineRule="auto"/>
        <w:ind w:left="360"/>
      </w:pPr>
      <w:r>
        <w:t>•  Time-based trends: monthly and quarterly sales and profit patterns, seasonality, and whether profit growth is tracking sales growth or lagging behind it.</w:t>
      </w:r>
    </w:p>
    <w:p w14:paraId="2A93EB92" w14:textId="77777777" w:rsidR="00051EBA" w:rsidRDefault="008C14D0">
      <w:pPr>
        <w:spacing w:after="90" w:line="260" w:lineRule="auto"/>
        <w:ind w:left="360"/>
      </w:pPr>
      <w:r>
        <w:t>•  Regional underperformance in more depth: comparing EMEA and Canada (the weakest markets) against APAC to identify specific, actionable gaps rather than a high-level sales comparison.</w:t>
      </w:r>
    </w:p>
    <w:p w14:paraId="07C1160F" w14:textId="21F83336" w:rsidR="00051EBA" w:rsidRDefault="008C14D0">
      <w:pPr>
        <w:spacing w:after="90" w:line="260" w:lineRule="auto"/>
        <w:ind w:left="360"/>
      </w:pPr>
      <w:r>
        <w:lastRenderedPageBreak/>
        <w:t xml:space="preserve">•  Customer segment profitability, not just sales contribution — Week 2 established Consumer leads on sales, but its profit contribution and margin relative to Corporate and Home Office has not yet been </w:t>
      </w:r>
      <w:r w:rsidR="005358CB">
        <w:t>analyzed</w:t>
      </w:r>
      <w:r>
        <w:t>.</w:t>
      </w:r>
    </w:p>
    <w:p w14:paraId="15780502" w14:textId="77777777" w:rsidR="00051EBA" w:rsidRDefault="008C14D0">
      <w:pPr>
        <w:spacing w:after="90" w:line="260" w:lineRule="auto"/>
        <w:ind w:left="360"/>
      </w:pPr>
      <w:r>
        <w:t>•  Additional KPIs and DAX measures (profit margin, sales growth, profit growth, average discount, loss-making order counts) to support a more advanced, decision-ready dashboard.</w:t>
      </w:r>
    </w:p>
    <w:sectPr w:rsidR="00051E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EC24CC"/>
    <w:multiLevelType w:val="hybridMultilevel"/>
    <w:tmpl w:val="BFAEFA9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EBA"/>
    <w:rsid w:val="00051EBA"/>
    <w:rsid w:val="005358CB"/>
    <w:rsid w:val="008C14D0"/>
    <w:rsid w:val="00BC0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8AA8"/>
  <w15:docId w15:val="{02DB4CFB-A5CC-471D-83BB-C8782748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Osagie</cp:lastModifiedBy>
  <cp:revision>4</cp:revision>
  <dcterms:created xsi:type="dcterms:W3CDTF">2026-08-20T16:13:00Z</dcterms:created>
  <dcterms:modified xsi:type="dcterms:W3CDTF">2026-08-22T13:55:00Z</dcterms:modified>
</cp:coreProperties>
</file>