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C480A" w14:textId="34A45007" w:rsidR="000E01FF" w:rsidRPr="00E862AC" w:rsidRDefault="000E01FF" w:rsidP="0092050D">
      <w:pPr>
        <w:pStyle w:val="Heading1"/>
      </w:pPr>
      <w:r w:rsidRPr="00E862AC">
        <w:t>IAM project</w:t>
      </w:r>
      <w:r w:rsidR="009C7E3A">
        <w:t xml:space="preserve"> – adding cement</w:t>
      </w:r>
      <w:r w:rsidR="0047702F">
        <w:t xml:space="preserve"> product chain to the South African </w:t>
      </w:r>
      <w:r w:rsidR="00A17020">
        <w:t>MESSAGE model.</w:t>
      </w:r>
    </w:p>
    <w:p w14:paraId="5B86D9D8" w14:textId="1B1FECB7" w:rsidR="00A17020" w:rsidRPr="00417C18" w:rsidRDefault="00417C18" w:rsidP="00A17020">
      <w:pPr>
        <w:rPr>
          <w:i/>
          <w:iCs/>
        </w:rPr>
      </w:pPr>
      <w:r>
        <w:rPr>
          <w:i/>
          <w:iCs/>
        </w:rPr>
        <w:t>Project report by Philip Gjedde</w:t>
      </w:r>
      <w:r w:rsidR="004310A0">
        <w:rPr>
          <w:i/>
          <w:iCs/>
        </w:rPr>
        <w:t xml:space="preserve"> (</w:t>
      </w:r>
      <w:r>
        <w:rPr>
          <w:i/>
          <w:iCs/>
        </w:rPr>
        <w:t>2022</w:t>
      </w:r>
      <w:r w:rsidR="004310A0">
        <w:rPr>
          <w:i/>
          <w:iCs/>
        </w:rPr>
        <w:t>)</w:t>
      </w:r>
      <w:r>
        <w:rPr>
          <w:i/>
          <w:iCs/>
        </w:rPr>
        <w:t xml:space="preserve"> in course </w:t>
      </w:r>
      <w:r w:rsidR="007E4193">
        <w:rPr>
          <w:i/>
          <w:iCs/>
        </w:rPr>
        <w:t>“Integrated Assessment Modelling</w:t>
      </w:r>
      <w:r w:rsidR="00BA29AB">
        <w:rPr>
          <w:i/>
          <w:iCs/>
        </w:rPr>
        <w:t>, EP8900”.</w:t>
      </w:r>
    </w:p>
    <w:p w14:paraId="0F7E4102" w14:textId="7D439DFB" w:rsidR="000E01FF" w:rsidRDefault="009C7E3A" w:rsidP="00FB4A00">
      <w:pPr>
        <w:pStyle w:val="Heading3"/>
      </w:pPr>
      <w:r>
        <w:t>Introduction</w:t>
      </w:r>
    </w:p>
    <w:p w14:paraId="56C7F91D" w14:textId="1242E34A" w:rsidR="00F127BA" w:rsidRDefault="004538FD" w:rsidP="00F316E6">
      <w:r>
        <w:t xml:space="preserve">The cement industry </w:t>
      </w:r>
      <w:r w:rsidR="002A0B38">
        <w:t>is among</w:t>
      </w:r>
      <w:r w:rsidR="00F443C1">
        <w:t xml:space="preserve"> the five highest energy consuming industries and is responsible for 11% of</w:t>
      </w:r>
      <w:r w:rsidR="00DC2A4A">
        <w:t xml:space="preserve"> global energy consumption (105 EJ in 2009</w:t>
      </w:r>
      <w:r w:rsidR="00E2251E">
        <w:t>) (IEA, 2011).</w:t>
      </w:r>
      <w:r w:rsidR="00AC3B32">
        <w:t xml:space="preserve"> In 2010 cement production accounted for 26% of global CO</w:t>
      </w:r>
      <w:r w:rsidR="00AC3B32">
        <w:rPr>
          <w:vertAlign w:val="subscript"/>
        </w:rPr>
        <w:t>2</w:t>
      </w:r>
      <w:r w:rsidR="00AC3B32">
        <w:t xml:space="preserve"> emissions (IEA, 2012).</w:t>
      </w:r>
      <w:r w:rsidR="00E2251E">
        <w:t xml:space="preserve"> </w:t>
      </w:r>
      <w:r w:rsidR="00F316E6">
        <w:t>Emissions of</w:t>
      </w:r>
      <w:r w:rsidR="007F7D76">
        <w:t xml:space="preserve"> 2.3 Gt</w:t>
      </w:r>
      <w:r w:rsidR="00F316E6">
        <w:t xml:space="preserve"> </w:t>
      </w:r>
      <w:r w:rsidR="007F7D76">
        <w:t>CO</w:t>
      </w:r>
      <w:r w:rsidR="00F316E6">
        <w:rPr>
          <w:vertAlign w:val="subscript"/>
        </w:rPr>
        <w:t>2</w:t>
      </w:r>
      <w:r w:rsidR="00F316E6">
        <w:t xml:space="preserve"> was </w:t>
      </w:r>
      <w:r w:rsidR="00427B15">
        <w:t>from the cement industry in 2009, 1.1 Gt CO</w:t>
      </w:r>
      <w:r w:rsidR="00427B15">
        <w:rPr>
          <w:vertAlign w:val="subscript"/>
        </w:rPr>
        <w:t xml:space="preserve">2 </w:t>
      </w:r>
      <w:r w:rsidR="00427B15">
        <w:t>were energy related and the rest</w:t>
      </w:r>
      <w:r w:rsidR="005A4822">
        <w:t xml:space="preserve"> was</w:t>
      </w:r>
      <w:r w:rsidR="00427B15">
        <w:t xml:space="preserve"> process related</w:t>
      </w:r>
      <w:r w:rsidR="00336589">
        <w:t xml:space="preserve">. </w:t>
      </w:r>
      <w:r w:rsidR="00126CF7">
        <w:t xml:space="preserve">An effect of the process related emissions makes the cement industry an even higher emitter than simply through energy consumption, </w:t>
      </w:r>
      <w:r w:rsidR="00336589">
        <w:t xml:space="preserve">and it makes it </w:t>
      </w:r>
      <w:r w:rsidR="007645D5">
        <w:t>a problem to be solved independently parallel to the</w:t>
      </w:r>
      <w:r w:rsidR="005649D6">
        <w:t xml:space="preserve"> climate change caused by energy consumption.</w:t>
      </w:r>
    </w:p>
    <w:p w14:paraId="46A89850" w14:textId="5B48A51C" w:rsidR="004538FD" w:rsidRDefault="00F127BA" w:rsidP="000E01FF">
      <w:r>
        <w:t xml:space="preserve">Therefore, including the cement industry in </w:t>
      </w:r>
      <w:r w:rsidR="00AE282B">
        <w:t xml:space="preserve">national and international policy decisions for a sustainable future is vital. The question becomes especially important when modelling </w:t>
      </w:r>
      <w:r w:rsidR="00A43AFC">
        <w:t xml:space="preserve">substituting technologies for ordinary Portland cement or </w:t>
      </w:r>
      <w:r w:rsidR="0068494E">
        <w:t xml:space="preserve">carbon capture and storage (CCS) technologies as the process related emissions </w:t>
      </w:r>
      <w:r w:rsidR="00A43AFC">
        <w:t xml:space="preserve">from clinker production are </w:t>
      </w:r>
      <w:r w:rsidR="0068494E">
        <w:t xml:space="preserve">disconnected from the energy grid </w:t>
      </w:r>
      <w:r w:rsidR="00233EC5">
        <w:t xml:space="preserve">that </w:t>
      </w:r>
      <w:r w:rsidR="00F509C5">
        <w:t>is usually the focus of IAMs.</w:t>
      </w:r>
      <w:r w:rsidR="00233EC5">
        <w:t xml:space="preserve"> </w:t>
      </w:r>
    </w:p>
    <w:p w14:paraId="0CF30E53" w14:textId="542E6FA5" w:rsidR="00E7750E" w:rsidRPr="000E01FF" w:rsidRDefault="00E7750E" w:rsidP="000E01FF">
      <w:r>
        <w:t>Cement production is an especially interesting technology because the process emissions from the calcination process in clinker production cannot be optimized technologically: You can substitute clinker</w:t>
      </w:r>
      <w:r w:rsidR="00363157">
        <w:t xml:space="preserve"> </w:t>
      </w:r>
      <w:r w:rsidR="009B3097">
        <w:rPr>
          <w:i/>
          <w:iCs/>
        </w:rPr>
        <w:t>e.g.</w:t>
      </w:r>
      <w:r w:rsidR="00363157">
        <w:rPr>
          <w:i/>
          <w:iCs/>
        </w:rPr>
        <w:t>,</w:t>
      </w:r>
      <w:r w:rsidR="009B3097">
        <w:t xml:space="preserve"> use wood as construction material</w:t>
      </w:r>
      <w:r w:rsidR="00AE554E">
        <w:t xml:space="preserve">, or </w:t>
      </w:r>
      <w:r w:rsidR="00363157">
        <w:t xml:space="preserve">other </w:t>
      </w:r>
      <w:r w:rsidR="00EB06F0">
        <w:t xml:space="preserve">compositions of cement with less clinker (fly ash, </w:t>
      </w:r>
      <w:r w:rsidR="001F69FA">
        <w:t>GGBFS),</w:t>
      </w:r>
      <w:r w:rsidR="009B3097">
        <w:t xml:space="preserve"> or you can capture the </w:t>
      </w:r>
      <m:oMath>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oMath>
      <w:r w:rsidR="009B3097">
        <w:rPr>
          <w:rFonts w:eastAsiaTheme="minorEastAsia"/>
        </w:rPr>
        <w:t xml:space="preserve"> </w:t>
      </w:r>
      <w:r w:rsidR="00696585">
        <w:rPr>
          <w:rFonts w:eastAsiaTheme="minorEastAsia"/>
        </w:rPr>
        <w:t xml:space="preserve">process </w:t>
      </w:r>
      <w:r w:rsidR="009B3097">
        <w:rPr>
          <w:rFonts w:eastAsiaTheme="minorEastAsia"/>
        </w:rPr>
        <w:t xml:space="preserve">emissions </w:t>
      </w:r>
      <w:r w:rsidR="00696585">
        <w:rPr>
          <w:rFonts w:eastAsiaTheme="minorEastAsia"/>
        </w:rPr>
        <w:t>with C</w:t>
      </w:r>
      <w:r w:rsidR="00FD26BA">
        <w:rPr>
          <w:rFonts w:eastAsiaTheme="minorEastAsia"/>
        </w:rPr>
        <w:t>C</w:t>
      </w:r>
      <w:r w:rsidR="00696585">
        <w:rPr>
          <w:rFonts w:eastAsiaTheme="minorEastAsia"/>
        </w:rPr>
        <w:t xml:space="preserve">S. </w:t>
      </w:r>
      <w:r w:rsidR="004402E7">
        <w:rPr>
          <w:rFonts w:eastAsiaTheme="minorEastAsia"/>
        </w:rPr>
        <w:t>Other materials will have different properties and it is unlikely that we will ever be able to fully replace cement</w:t>
      </w:r>
      <w:r w:rsidR="00FD26BA">
        <w:rPr>
          <w:rFonts w:eastAsiaTheme="minorEastAsia"/>
        </w:rPr>
        <w:t xml:space="preserve"> as a commodity in the construction sector</w:t>
      </w:r>
      <w:r w:rsidR="000D3F98">
        <w:rPr>
          <w:rFonts w:eastAsiaTheme="minorEastAsia"/>
        </w:rPr>
        <w:t>.</w:t>
      </w:r>
      <w:r w:rsidR="00686081">
        <w:rPr>
          <w:rFonts w:eastAsiaTheme="minorEastAsia"/>
        </w:rPr>
        <w:t xml:space="preserve"> While it would be interesting to see technologies that substitute clinker it is not studied</w:t>
      </w:r>
      <w:r w:rsidR="00A60D92">
        <w:rPr>
          <w:rFonts w:eastAsiaTheme="minorEastAsia"/>
        </w:rPr>
        <w:t xml:space="preserve"> herein.</w:t>
      </w:r>
      <w:r w:rsidR="000D3F98">
        <w:rPr>
          <w:rFonts w:eastAsiaTheme="minorEastAsia"/>
        </w:rPr>
        <w:t xml:space="preserve"> CCS use more energy and therefore the </w:t>
      </w:r>
      <w:r w:rsidR="00724C84">
        <w:rPr>
          <w:rFonts w:eastAsiaTheme="minorEastAsia"/>
        </w:rPr>
        <w:t>benefit of CCS is only feasible if the energy used to capture the carbon</w:t>
      </w:r>
      <w:r w:rsidR="00AF0511">
        <w:rPr>
          <w:rFonts w:eastAsiaTheme="minorEastAsia"/>
        </w:rPr>
        <w:t xml:space="preserve"> is from a non or low-emitting </w:t>
      </w:r>
      <w:r w:rsidR="00BE2AAF">
        <w:rPr>
          <w:rFonts w:eastAsiaTheme="minorEastAsia"/>
        </w:rPr>
        <w:t xml:space="preserve">energy </w:t>
      </w:r>
      <w:r w:rsidR="00AF0511">
        <w:rPr>
          <w:rFonts w:eastAsiaTheme="minorEastAsia"/>
        </w:rPr>
        <w:t xml:space="preserve">source </w:t>
      </w:r>
      <w:r w:rsidR="00097B34">
        <w:rPr>
          <w:rFonts w:eastAsiaTheme="minorEastAsia"/>
          <w:i/>
          <w:iCs/>
        </w:rPr>
        <w:t xml:space="preserve">e.g., </w:t>
      </w:r>
      <w:r w:rsidR="00BE2AAF">
        <w:rPr>
          <w:rFonts w:eastAsiaTheme="minorEastAsia"/>
        </w:rPr>
        <w:t>wind, solar, nuclear, or hydro power.</w:t>
      </w:r>
    </w:p>
    <w:p w14:paraId="3F24A072" w14:textId="10FEE4BB" w:rsidR="000E01FF" w:rsidRDefault="000E01FF" w:rsidP="000E01FF">
      <w:pPr>
        <w:pStyle w:val="Heading3"/>
      </w:pPr>
      <w:r w:rsidRPr="000E01FF">
        <w:t>Go</w:t>
      </w:r>
      <w:r>
        <w:t>al</w:t>
      </w:r>
    </w:p>
    <w:p w14:paraId="540851E1" w14:textId="2E901103" w:rsidR="00122145" w:rsidRDefault="00947BB0">
      <w:pPr>
        <w:rPr>
          <w:rFonts w:asciiTheme="majorHAnsi" w:eastAsiaTheme="majorEastAsia" w:hAnsiTheme="majorHAnsi" w:cstheme="majorBidi"/>
          <w:color w:val="2F5496" w:themeColor="accent1" w:themeShade="BF"/>
          <w:sz w:val="26"/>
          <w:szCs w:val="26"/>
        </w:rPr>
      </w:pPr>
      <w:r>
        <w:t>In this study, three cement producing technologies are added to the MESSAGEix IAM with data for South Africa: Portland cement (conventional), Portland cement with CCS, and Portland cement with optimized dry kiln.</w:t>
      </w:r>
      <w:r w:rsidR="001C04C1">
        <w:t xml:space="preserve"> The goal is then to see </w:t>
      </w:r>
      <w:r w:rsidR="00691C39">
        <w:t xml:space="preserve">in what scenario </w:t>
      </w:r>
      <w:r w:rsidR="001C04C1">
        <w:t xml:space="preserve">CCS </w:t>
      </w:r>
      <w:r w:rsidR="00691C39">
        <w:t xml:space="preserve">becomes preferable </w:t>
      </w:r>
      <w:r w:rsidR="001C04C1">
        <w:t xml:space="preserve">related to the conventional </w:t>
      </w:r>
      <w:r w:rsidR="00A82EB6">
        <w:t xml:space="preserve">technology but also allowing </w:t>
      </w:r>
      <w:r w:rsidR="00D16B66">
        <w:t xml:space="preserve">the conventional technology </w:t>
      </w:r>
      <w:r w:rsidR="00A82EB6">
        <w:t>to be</w:t>
      </w:r>
      <w:r w:rsidR="00296EAC">
        <w:t xml:space="preserve"> environmentally</w:t>
      </w:r>
      <w:r w:rsidR="00A82EB6">
        <w:t xml:space="preserve"> </w:t>
      </w:r>
      <w:r w:rsidR="00D16B66">
        <w:t>optimized</w:t>
      </w:r>
      <w:r w:rsidR="00165676">
        <w:t>,</w:t>
      </w:r>
      <w:r w:rsidR="00B6628E">
        <w:t xml:space="preserve"> through minimizing energy consumption in an optimized dry kiln</w:t>
      </w:r>
      <w:r w:rsidR="00296EAC">
        <w:t>, which in turn also decrease cost</w:t>
      </w:r>
      <w:r w:rsidR="003663AE">
        <w:t xml:space="preserve"> from energy consumption.</w:t>
      </w:r>
      <w:r w:rsidR="00122145">
        <w:br w:type="page"/>
      </w:r>
    </w:p>
    <w:p w14:paraId="5746D62C" w14:textId="53C552DA" w:rsidR="000E01FF" w:rsidRPr="000E01FF" w:rsidRDefault="000E01FF" w:rsidP="000E01FF">
      <w:pPr>
        <w:pStyle w:val="Heading2"/>
      </w:pPr>
      <w:r w:rsidRPr="000E01FF">
        <w:lastRenderedPageBreak/>
        <w:t>Method</w:t>
      </w:r>
    </w:p>
    <w:p w14:paraId="68B06474" w14:textId="11079A1E" w:rsidR="00B115FB" w:rsidRPr="00B115FB" w:rsidRDefault="005C5395" w:rsidP="005C5395">
      <w:r>
        <w:t xml:space="preserve">The code for the IAM model can be found in </w:t>
      </w:r>
      <w:r w:rsidR="00F16C7E">
        <w:t>file “</w:t>
      </w:r>
      <w:r w:rsidR="00F16C7E" w:rsidRPr="00F16C7E">
        <w:t>South_Africa_cement-Final</w:t>
      </w:r>
      <w:r w:rsidR="00F16C7E">
        <w:t>.ipynb”.</w:t>
      </w:r>
    </w:p>
    <w:p w14:paraId="0219F999" w14:textId="352BB44B" w:rsidR="00D96E15" w:rsidRPr="00C5170F" w:rsidRDefault="00D96E15" w:rsidP="00D96E15">
      <w:pPr>
        <w:pStyle w:val="Heading4"/>
      </w:pPr>
      <w:r>
        <w:t>Demand</w:t>
      </w:r>
    </w:p>
    <w:p w14:paraId="5AC13364" w14:textId="36A21286" w:rsidR="00D96E15" w:rsidRPr="002E0347" w:rsidRDefault="00D96E15" w:rsidP="00D96E15">
      <w:r>
        <w:t>Cement demand is based on exogenous GDP of South Africa</w:t>
      </w:r>
      <w:r w:rsidR="003663AE">
        <w:t xml:space="preserve"> </w:t>
      </w:r>
      <w:r w:rsidR="002223CB">
        <w:fldChar w:fldCharType="begin" w:fldLock="1"/>
      </w:r>
      <w:r w:rsidR="00715A3D">
        <w:instrText>ADDIN CSL_CITATION {"citationItems":[{"id":"ITEM-1","itemData":{"author":[{"dropping-particle":"","family":"Fricko","given":"Oliver","non-dropping-particle":"","parse-names":false,"suffix":""},{"dropping-particle":"","family":"Havlik","given":"Petr","non-dropping-particle":"","parse-names":false,"suffix":""},{"dropping-particle":"","family":"Rogelj","given":"Joeri","non-dropping-particle":"","parse-names":false,"suffix":""},{"dropping-particle":"","family":"Klimont","given":"Zbigniew","non-dropping-particle":"","parse-names":false,"suffix":""},{"dropping-particle":"","family":"Gusti","given":"Mykola","non-dropping-particle":"","parse-names":false,"suffix":""},{"dropping-particle":"","family":"Johnson","given":"Nils","non-dropping-particle":"","parse-names":false,"suffix":""},{"dropping-particle":"","family":"Kolp","given":"Peter","non-dropping-particle":"","parse-names":false,"suffix":""},{"dropping-particle":"","family":"Strubegger","given":"Manfred","non-dropping-particle":"","parse-names":false,"suffix":""},{"dropping-particle":"","family":"Valin","given":"Hugo","non-dropping-particle":"","parse-names":false,"suffix":""},{"dropping-particle":"","family":"Amann","given":"Markus","non-dropping-particle":"","parse-names":false,"suffix":""},{"dropping-particle":"","family":"Ermolieva","given":"Tatiana","non-dropping-particle":"","parse-names":false,"suffix":""},{"dropping-particle":"","family":"Forsell","given":"Nicklas","non-dropping-particle":"","parse-names":false,"suffix":""},{"dropping-particle":"","family":"Herrero","given":"Mario","non-dropping-particle":"","parse-names":false,"suffix":""},{"dropping-particle":"","family":"Heyes","given":"Chris","non-dropping-particle":"","parse-names":false,"suffix":""},{"dropping-particle":"","family":"Kindermann","given":"Georg","non-dropping-particle":"","parse-names":false,"suffix":""},{"dropping-particle":"","family":"Krey","given":"Volker","non-dropping-particle":"","parse-names":false,"suffix":""},{"dropping-particle":"","family":"McCollum","given":"David L","non-dropping-particle":"","parse-names":false,"suffix":""},{"dropping-particle":"","family":"Obersteiner","given":"Michael","non-dropping-particle":"","parse-names":false,"suffix":""},{"dropping-particle":"","family":"Pachauri","given":"Shonali","non-dropping-particle":"","parse-names":false,"suffix":""},{"dropping-particle":"","family":"Rao","given":"Shilpa","non-dropping-particle":"","parse-names":false,"suffix":""},{"dropping-particle":"","family":"Schmid","given":"Erwin","non-dropping-particle":"","parse-names":false,"suffix":""},{"dropping-particle":"","family":"Schoepp","given":"Wolfgang","non-dropping-particle":"","parse-names":false,"suffix":""},{"dropping-particle":"","family":"Riahi","given":"Keywan","non-dropping-particle":"","parse-names":false,"suffix":""}],"container-title":"Global Environmental Change","id":"ITEM-1","issued":{"date-parts":[["2017","1"]]},"page":"251-267","title":"The marker quantification of the Shared Socioeconomic Pathway 2: A middle-of-the-road scenario for the 21st century","type":"article-journal","volume":"42 "},"uris":["http://www.mendeley.com/documents/?uuid=d2a116bf-c4ed-4a6f-ba33-1e20377ac319"]}],"mendeley":{"formattedCitation":"(Fricko et al., 2017)","manualFormatting":"(Fricko et al., 2017)","plainTextFormattedCitation":"(Fricko et al., 2017)","previouslyFormattedCitation":"(Fricko et al., 2017)"},"properties":{"noteIndex":0},"schema":"https://github.com/citation-style-language/schema/raw/master/csl-citation.json"}</w:instrText>
      </w:r>
      <w:r w:rsidR="002223CB">
        <w:fldChar w:fldCharType="separate"/>
      </w:r>
      <w:r w:rsidR="002223CB" w:rsidRPr="002223CB">
        <w:rPr>
          <w:noProof/>
        </w:rPr>
        <w:t>(Fricko et al.</w:t>
      </w:r>
      <w:r w:rsidR="007A5E20">
        <w:rPr>
          <w:noProof/>
        </w:rPr>
        <w:t>, 2017</w:t>
      </w:r>
      <w:r w:rsidR="002223CB" w:rsidRPr="002223CB">
        <w:rPr>
          <w:noProof/>
        </w:rPr>
        <w:t>)</w:t>
      </w:r>
      <w:r w:rsidR="002223CB">
        <w:fldChar w:fldCharType="end"/>
      </w:r>
      <w:r>
        <w:t xml:space="preserve">. </w:t>
      </w:r>
      <w:r w:rsidRPr="002E0347">
        <w:t>Bas van Ruijven’s formula, based on regression analysis, is used</w:t>
      </w:r>
      <w:r>
        <w:t xml:space="preserve"> to predict per capita cement consumption from 2020-2070. The parameters a = 487</w:t>
      </w:r>
      <w:r w:rsidR="007F04E6">
        <w:t xml:space="preserve"> indicates the</w:t>
      </w:r>
      <w:r w:rsidR="00035BBE">
        <w:t xml:space="preserve"> “per capita</w:t>
      </w:r>
      <w:r w:rsidR="007F04E6">
        <w:t xml:space="preserve"> saturation level of </w:t>
      </w:r>
      <w:r w:rsidR="0006184E">
        <w:t>cement consumption</w:t>
      </w:r>
      <w:r w:rsidR="00035BBE">
        <w:t>”</w:t>
      </w:r>
      <w:r>
        <w:t>, and b = -3047</w:t>
      </w:r>
      <w:r w:rsidR="0006184E">
        <w:t xml:space="preserve"> indicates the </w:t>
      </w:r>
      <w:r w:rsidR="00C9491B">
        <w:t>“income level at which the maximum consumption occurs”</w:t>
      </w:r>
      <w:r>
        <w:t>.</w:t>
      </w:r>
      <w:r w:rsidR="00716633">
        <w:t xml:space="preserve"> See equati</w:t>
      </w:r>
      <w:r w:rsidR="00030624">
        <w:t>o</w:t>
      </w:r>
      <w:r w:rsidR="00716633">
        <w:t>n</w:t>
      </w:r>
      <w:r w:rsidR="00030624">
        <w:t xml:space="preserve"> 1:</w:t>
      </w:r>
    </w:p>
    <w:p w14:paraId="40DD6243" w14:textId="61395B6C" w:rsidR="00D96E15" w:rsidRPr="00716633" w:rsidRDefault="0067448D" w:rsidP="00D96E15">
      <w:pPr>
        <w:rPr>
          <w:rFonts w:eastAsiaTheme="minorEastAsia"/>
        </w:rPr>
      </w:pPr>
      <m:oMathPara>
        <m:oMath>
          <m:eqArr>
            <m:eqArrPr>
              <m:maxDist m:val="1"/>
              <m:ctrlPr>
                <w:rPr>
                  <w:rFonts w:ascii="Cambria Math" w:eastAsiaTheme="minorEastAsia" w:hAnsi="Cambria Math"/>
                  <w:i/>
                  <w:lang w:val="es-ES"/>
                </w:rPr>
              </m:ctrlPr>
            </m:eqArrPr>
            <m:e>
              <m:r>
                <w:rPr>
                  <w:rFonts w:ascii="Cambria Math" w:hAnsi="Cambria Math"/>
                </w:rPr>
                <m:t>C=</m:t>
              </m:r>
              <m:r>
                <w:rPr>
                  <w:rFonts w:ascii="Cambria Math" w:hAnsi="Cambria Math"/>
                  <w:lang w:val="es-ES"/>
                </w:rPr>
                <m:t>a</m:t>
              </m:r>
              <m:r>
                <w:rPr>
                  <w:rFonts w:ascii="Cambria Math" w:hAnsi="Cambria Math"/>
                </w:rPr>
                <m:t>⋅</m:t>
              </m:r>
              <m:func>
                <m:funcPr>
                  <m:ctrlPr>
                    <w:rPr>
                      <w:rFonts w:ascii="Cambria Math" w:hAnsi="Cambria Math"/>
                      <w:i/>
                      <w:lang w:val="es-ES"/>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lang w:val="es-ES"/>
                            </w:rPr>
                          </m:ctrlPr>
                        </m:fPr>
                        <m:num>
                          <m:r>
                            <w:rPr>
                              <w:rFonts w:ascii="Cambria Math" w:hAnsi="Cambria Math"/>
                              <w:lang w:val="es-ES"/>
                            </w:rPr>
                            <m:t>b</m:t>
                          </m:r>
                        </m:num>
                        <m:den>
                          <m:r>
                            <w:rPr>
                              <w:rFonts w:ascii="Cambria Math" w:hAnsi="Cambria Math"/>
                              <w:lang w:val="es-ES"/>
                            </w:rPr>
                            <m:t>GD</m:t>
                          </m:r>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pe</m:t>
                              </m:r>
                              <m:sSub>
                                <m:sSubPr>
                                  <m:ctrlPr>
                                    <w:rPr>
                                      <w:rFonts w:ascii="Cambria Math" w:hAnsi="Cambria Math"/>
                                      <w:i/>
                                    </w:rPr>
                                  </m:ctrlPr>
                                </m:sSubPr>
                                <m:e>
                                  <m:r>
                                    <w:rPr>
                                      <w:rFonts w:ascii="Cambria Math" w:hAnsi="Cambria Math"/>
                                      <w:lang w:val="es-ES"/>
                                    </w:rPr>
                                    <m:t>r</m:t>
                                  </m:r>
                                  <m:ctrlPr>
                                    <w:rPr>
                                      <w:rFonts w:ascii="Cambria Math" w:hAnsi="Cambria Math"/>
                                      <w:i/>
                                      <w:lang w:val="es-ES"/>
                                    </w:rPr>
                                  </m:ctrlPr>
                                </m:e>
                                <m:sub>
                                  <m:r>
                                    <w:rPr>
                                      <w:rFonts w:ascii="Cambria Math" w:hAnsi="Cambria Math"/>
                                      <w:lang w:val="es-ES"/>
                                    </w:rPr>
                                    <m:t>cap</m:t>
                                  </m:r>
                                </m:sub>
                              </m:sSub>
                            </m:sub>
                          </m:sSub>
                        </m:den>
                      </m:f>
                    </m:e>
                  </m:d>
                </m:e>
              </m:func>
              <m:r>
                <w:rPr>
                  <w:rFonts w:ascii="Cambria Math" w:hAnsi="Cambria Math"/>
                </w:rPr>
                <m:t>#</m:t>
              </m:r>
              <m:d>
                <m:dPr>
                  <m:ctrlPr>
                    <w:rPr>
                      <w:rFonts w:ascii="Cambria Math" w:eastAsiaTheme="minorEastAsia" w:hAnsi="Cambria Math"/>
                      <w:i/>
                      <w:lang w:val="es-ES"/>
                    </w:rPr>
                  </m:ctrlPr>
                </m:dPr>
                <m:e>
                  <m:r>
                    <w:rPr>
                      <w:rFonts w:ascii="Cambria Math" w:eastAsiaTheme="minorEastAsia" w:hAnsi="Cambria Math"/>
                      <w:lang w:val="es-ES"/>
                    </w:rPr>
                    <m:t>1</m:t>
                  </m:r>
                </m:e>
              </m:d>
              <m:ctrlPr>
                <w:rPr>
                  <w:rFonts w:ascii="Cambria Math" w:hAnsi="Cambria Math"/>
                  <w:i/>
                </w:rPr>
              </m:ctrlPr>
            </m:e>
          </m:eqArr>
        </m:oMath>
      </m:oMathPara>
    </w:p>
    <w:p w14:paraId="707516B9" w14:textId="77777777" w:rsidR="00716633" w:rsidRPr="00716633" w:rsidRDefault="00716633" w:rsidP="00D96E15">
      <w:pPr>
        <w:rPr>
          <w:rFonts w:eastAsiaTheme="minorEastAsia"/>
        </w:rPr>
      </w:pPr>
    </w:p>
    <w:p w14:paraId="08474931" w14:textId="394207F5" w:rsidR="00D96E15" w:rsidRDefault="00D96E15" w:rsidP="000E01FF">
      <w:r>
        <w:t xml:space="preserve">It is economically infeasible to transport cement long distances, except with ships. For simplicity, shipping of cement is excluded from the scenario and it is thereby assumed that all cement demand and supply is domestic to South Africa in the scenarios discussed in this report. </w:t>
      </w:r>
    </w:p>
    <w:p w14:paraId="35380A29" w14:textId="1ED34836" w:rsidR="00747F19" w:rsidRDefault="00747F19" w:rsidP="00747F19">
      <w:pPr>
        <w:pStyle w:val="Heading4"/>
      </w:pPr>
      <w:r>
        <w:t>Inputs and outputs</w:t>
      </w:r>
    </w:p>
    <w:p w14:paraId="2A85F724" w14:textId="717CD600" w:rsidR="00747F19" w:rsidRDefault="00F562B7" w:rsidP="00747F19">
      <w:r>
        <w:t>The cement demand creates demand for multiple commodities down the product chain</w:t>
      </w:r>
      <w:r w:rsidR="00417E19">
        <w:t xml:space="preserve"> – one of these commodities is clinker, which from an environmental perspective is the most interesting part of the product chain since the production of clinker</w:t>
      </w:r>
      <w:r w:rsidR="003E07F9">
        <w:t xml:space="preserve"> has the direct emissions and also consumes the most energy. The product chain has been added to the South African model</w:t>
      </w:r>
      <w:r w:rsidR="00884E3B">
        <w:t xml:space="preserve"> as described in</w:t>
      </w:r>
      <w:r w:rsidR="00AE4F8A">
        <w:t xml:space="preserve"> </w:t>
      </w:r>
      <w:r w:rsidR="00AE4F8A">
        <w:fldChar w:fldCharType="begin"/>
      </w:r>
      <w:r w:rsidR="00AE4F8A">
        <w:instrText xml:space="preserve"> REF _Ref101225928 \h </w:instrText>
      </w:r>
      <w:r w:rsidR="00AE4F8A">
        <w:fldChar w:fldCharType="separate"/>
      </w:r>
      <w:r w:rsidR="001B47DF">
        <w:t xml:space="preserve">Figure </w:t>
      </w:r>
      <w:r w:rsidR="001B47DF">
        <w:rPr>
          <w:noProof/>
        </w:rPr>
        <w:t>1</w:t>
      </w:r>
      <w:r w:rsidR="00AE4F8A">
        <w:fldChar w:fldCharType="end"/>
      </w:r>
      <w:r w:rsidR="00AE4F8A">
        <w:t>.</w:t>
      </w:r>
    </w:p>
    <w:p w14:paraId="1955C2BE" w14:textId="77777777" w:rsidR="00AE4F8A" w:rsidRDefault="00AE4F8A" w:rsidP="00AE4F8A">
      <w:pPr>
        <w:keepNext/>
      </w:pPr>
      <w:r>
        <w:rPr>
          <w:i/>
          <w:iCs/>
          <w:noProof/>
        </w:rPr>
        <w:drawing>
          <wp:inline distT="0" distB="0" distL="0" distR="0" wp14:anchorId="05FC3087" wp14:editId="3A69F34C">
            <wp:extent cx="5731510" cy="1584960"/>
            <wp:effectExtent l="0" t="0" r="254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584960"/>
                    </a:xfrm>
                    <a:prstGeom prst="rect">
                      <a:avLst/>
                    </a:prstGeom>
                  </pic:spPr>
                </pic:pic>
              </a:graphicData>
            </a:graphic>
          </wp:inline>
        </w:drawing>
      </w:r>
    </w:p>
    <w:p w14:paraId="7C7A6D69" w14:textId="43372991" w:rsidR="00884E3B" w:rsidRPr="00884E3B" w:rsidRDefault="00AE4F8A" w:rsidP="00AE4F8A">
      <w:pPr>
        <w:pStyle w:val="Caption"/>
        <w:rPr>
          <w:i w:val="0"/>
          <w:iCs w:val="0"/>
        </w:rPr>
      </w:pPr>
      <w:bookmarkStart w:id="0" w:name="_Ref101225928"/>
      <w:r>
        <w:t xml:space="preserve">Figure </w:t>
      </w:r>
      <w:r>
        <w:fldChar w:fldCharType="begin"/>
      </w:r>
      <w:r>
        <w:instrText xml:space="preserve"> SEQ Figure \* ARABIC </w:instrText>
      </w:r>
      <w:r>
        <w:fldChar w:fldCharType="separate"/>
      </w:r>
      <w:r>
        <w:rPr>
          <w:noProof/>
        </w:rPr>
        <w:t>1</w:t>
      </w:r>
      <w:r>
        <w:fldChar w:fldCharType="end"/>
      </w:r>
      <w:bookmarkEnd w:id="0"/>
      <w:r>
        <w:t>: Flow diagram of the cement product chain. To every technology/process is also an energy input and a cost related. The Clinker-Burning technologies all have fuel inputs as well.</w:t>
      </w:r>
    </w:p>
    <w:p w14:paraId="6BA07218" w14:textId="77777777" w:rsidR="007C593C" w:rsidRDefault="007C593C" w:rsidP="007C593C">
      <w:pPr>
        <w:pStyle w:val="Heading4"/>
      </w:pPr>
      <w:r>
        <w:t>Resources</w:t>
      </w:r>
    </w:p>
    <w:p w14:paraId="373B78D0" w14:textId="7501BD31" w:rsidR="00747F19" w:rsidRPr="00747F19" w:rsidRDefault="007C593C" w:rsidP="00747F19">
      <w:r>
        <w:t xml:space="preserve">Multiple parts of the cement product chain are added to the IAM so that the commodity output from the virtual technology “Resource_mine” can be evaluated. This allows for further development of the model – for example if it is desired to couple the IAM with LCA to see possible resource depletion. In such a development, one should remember to also develop the background life cycle inventory relevant for the system and not forget to avoid double counting energy consumption. The multiple steps allow for different commodity inputs at each step, but currently only limestone is used as a raw resource output from “Resource_mine” and there is still a focus on energy consumption and </w:t>
      </w:r>
      <m:oMath>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oMath>
      <w:r>
        <w:rPr>
          <w:rFonts w:eastAsiaTheme="minorEastAsia"/>
        </w:rPr>
        <w:t xml:space="preserve"> emissions rather than resource use.</w:t>
      </w:r>
    </w:p>
    <w:p w14:paraId="4091E287" w14:textId="23F87B23" w:rsidR="00DB7EEC" w:rsidRDefault="00F831C0" w:rsidP="00F961F0">
      <w:pPr>
        <w:pStyle w:val="Heading4"/>
      </w:pPr>
      <w:r>
        <w:t>Technology cost and e</w:t>
      </w:r>
      <w:r w:rsidR="001E2F11">
        <w:t>nergy consumption</w:t>
      </w:r>
    </w:p>
    <w:p w14:paraId="352250A3" w14:textId="51B56700" w:rsidR="00E13C09" w:rsidRDefault="00D96E15" w:rsidP="00D96E15">
      <w:r w:rsidRPr="00A562FB">
        <w:t>Clinker production comprises the most energy intensive step in cement manufacture, accounting for about 90% of the overall energy use.</w:t>
      </w:r>
      <w:r w:rsidR="00083818">
        <w:t xml:space="preserve"> This is the reason for</w:t>
      </w:r>
      <w:r w:rsidR="00BB2F86">
        <w:t xml:space="preserve"> choosing alternative technologies for clinker production rather than technologies in the actual cement grinder.</w:t>
      </w:r>
      <w:r w:rsidR="00016195">
        <w:t xml:space="preserve"> The energy consumption </w:t>
      </w:r>
      <w:r w:rsidR="00016195">
        <w:lastRenderedPageBreak/>
        <w:t xml:space="preserve">for </w:t>
      </w:r>
      <w:r w:rsidR="00B06A5D">
        <w:t>the technologies can be divided into fuel and electricity</w:t>
      </w:r>
      <w:r w:rsidR="000C3470">
        <w:t xml:space="preserve">, the energy consumption for each </w:t>
      </w:r>
      <w:r w:rsidR="00F03A15">
        <w:t xml:space="preserve">technology is given in </w:t>
      </w:r>
      <w:r w:rsidR="001169A7">
        <w:fldChar w:fldCharType="begin"/>
      </w:r>
      <w:r w:rsidR="001169A7">
        <w:instrText xml:space="preserve"> REF _Ref97813670 \h </w:instrText>
      </w:r>
      <w:r w:rsidR="001169A7">
        <w:fldChar w:fldCharType="separate"/>
      </w:r>
      <w:r w:rsidR="001169A7">
        <w:t xml:space="preserve">Table </w:t>
      </w:r>
      <w:r w:rsidR="001169A7">
        <w:rPr>
          <w:noProof/>
        </w:rPr>
        <w:t>1</w:t>
      </w:r>
      <w:r w:rsidR="001169A7">
        <w:fldChar w:fldCharType="end"/>
      </w:r>
      <w:r w:rsidR="001169A7">
        <w:t xml:space="preserve"> </w:t>
      </w:r>
      <w:r w:rsidR="00F03A15">
        <w:t>along with the economic cost of introducing the technology.</w:t>
      </w:r>
    </w:p>
    <w:p w14:paraId="2A27543B" w14:textId="300C392B" w:rsidR="00E13C09" w:rsidRDefault="00E13C09" w:rsidP="00E13C09">
      <w:pPr>
        <w:pStyle w:val="Caption"/>
        <w:keepNext/>
      </w:pPr>
      <w:bookmarkStart w:id="1" w:name="_Ref97813670"/>
      <w:r>
        <w:t xml:space="preserve">Table </w:t>
      </w:r>
      <w:r>
        <w:fldChar w:fldCharType="begin"/>
      </w:r>
      <w:r>
        <w:instrText xml:space="preserve"> SEQ Table \* ARABIC </w:instrText>
      </w:r>
      <w:r>
        <w:fldChar w:fldCharType="separate"/>
      </w:r>
      <w:r w:rsidR="00633842">
        <w:rPr>
          <w:noProof/>
        </w:rPr>
        <w:t>1</w:t>
      </w:r>
      <w:r>
        <w:fldChar w:fldCharType="end"/>
      </w:r>
      <w:bookmarkEnd w:id="1"/>
      <w:r>
        <w:t>: Energy consumption and cost for clinker technologies.</w:t>
      </w:r>
    </w:p>
    <w:tbl>
      <w:tblPr>
        <w:tblStyle w:val="TableGrid"/>
        <w:tblW w:w="0" w:type="auto"/>
        <w:tblLook w:val="04A0" w:firstRow="1" w:lastRow="0" w:firstColumn="1" w:lastColumn="0" w:noHBand="0" w:noVBand="1"/>
      </w:tblPr>
      <w:tblGrid>
        <w:gridCol w:w="2254"/>
        <w:gridCol w:w="2254"/>
        <w:gridCol w:w="2433"/>
        <w:gridCol w:w="2075"/>
      </w:tblGrid>
      <w:tr w:rsidR="00A53929" w14:paraId="24687CB9" w14:textId="77777777" w:rsidTr="00E300A6">
        <w:tc>
          <w:tcPr>
            <w:tcW w:w="2254" w:type="dxa"/>
            <w:shd w:val="clear" w:color="auto" w:fill="D9E2F3" w:themeFill="accent1" w:themeFillTint="33"/>
          </w:tcPr>
          <w:p w14:paraId="31CEBB34" w14:textId="2F9EEF6D" w:rsidR="00A53929" w:rsidRPr="00107CD1" w:rsidRDefault="00A53929" w:rsidP="00D96E15">
            <w:pPr>
              <w:rPr>
                <w:b/>
                <w:bCs/>
              </w:rPr>
            </w:pPr>
            <w:r w:rsidRPr="00107CD1">
              <w:rPr>
                <w:b/>
                <w:bCs/>
              </w:rPr>
              <w:t>Technology</w:t>
            </w:r>
          </w:p>
        </w:tc>
        <w:tc>
          <w:tcPr>
            <w:tcW w:w="2254" w:type="dxa"/>
            <w:shd w:val="clear" w:color="auto" w:fill="D9E2F3" w:themeFill="accent1" w:themeFillTint="33"/>
          </w:tcPr>
          <w:p w14:paraId="62F09035" w14:textId="2AE44E64" w:rsidR="00A53929" w:rsidRPr="00107CD1" w:rsidRDefault="00A53929" w:rsidP="00D96E15">
            <w:pPr>
              <w:rPr>
                <w:b/>
                <w:bCs/>
              </w:rPr>
            </w:pPr>
            <w:r w:rsidRPr="00107CD1">
              <w:rPr>
                <w:b/>
                <w:bCs/>
              </w:rPr>
              <w:t>Fuel consumption (</w:t>
            </w:r>
            <w:r w:rsidR="00107CD1" w:rsidRPr="00107CD1">
              <w:rPr>
                <w:b/>
                <w:bCs/>
              </w:rPr>
              <w:t>GWa/</w:t>
            </w:r>
            <w:r w:rsidR="005B02FF">
              <w:rPr>
                <w:b/>
                <w:bCs/>
              </w:rPr>
              <w:t>Mt</w:t>
            </w:r>
            <w:r w:rsidR="00107CD1" w:rsidRPr="00107CD1">
              <w:rPr>
                <w:b/>
                <w:bCs/>
              </w:rPr>
              <w:t>)</w:t>
            </w:r>
          </w:p>
        </w:tc>
        <w:tc>
          <w:tcPr>
            <w:tcW w:w="2433" w:type="dxa"/>
            <w:shd w:val="clear" w:color="auto" w:fill="D9E2F3" w:themeFill="accent1" w:themeFillTint="33"/>
          </w:tcPr>
          <w:p w14:paraId="41D924AF" w14:textId="6A8822AC" w:rsidR="00A53929" w:rsidRPr="00107CD1" w:rsidRDefault="00107CD1" w:rsidP="00D96E15">
            <w:pPr>
              <w:rPr>
                <w:b/>
                <w:bCs/>
              </w:rPr>
            </w:pPr>
            <w:r w:rsidRPr="00107CD1">
              <w:rPr>
                <w:b/>
                <w:bCs/>
              </w:rPr>
              <w:t>Electricity consumption (GWa/</w:t>
            </w:r>
            <w:r w:rsidR="005B02FF">
              <w:rPr>
                <w:b/>
                <w:bCs/>
              </w:rPr>
              <w:t>Mt)</w:t>
            </w:r>
          </w:p>
        </w:tc>
        <w:tc>
          <w:tcPr>
            <w:tcW w:w="2075" w:type="dxa"/>
            <w:shd w:val="clear" w:color="auto" w:fill="D9E2F3" w:themeFill="accent1" w:themeFillTint="33"/>
          </w:tcPr>
          <w:p w14:paraId="426128D6" w14:textId="6B3CA563" w:rsidR="00A53929" w:rsidRPr="00107CD1" w:rsidRDefault="00107CD1" w:rsidP="00D96E15">
            <w:pPr>
              <w:rPr>
                <w:b/>
                <w:bCs/>
              </w:rPr>
            </w:pPr>
            <w:r w:rsidRPr="00107CD1">
              <w:rPr>
                <w:b/>
                <w:bCs/>
              </w:rPr>
              <w:t>Variable cost (USD</w:t>
            </w:r>
            <w:r w:rsidR="000F140A">
              <w:rPr>
                <w:b/>
                <w:bCs/>
              </w:rPr>
              <w:t>/</w:t>
            </w:r>
            <w:r w:rsidR="005B02FF">
              <w:rPr>
                <w:b/>
                <w:bCs/>
              </w:rPr>
              <w:t>Mt</w:t>
            </w:r>
            <w:r w:rsidRPr="00107CD1">
              <w:rPr>
                <w:b/>
                <w:bCs/>
              </w:rPr>
              <w:t>)</w:t>
            </w:r>
          </w:p>
        </w:tc>
      </w:tr>
      <w:tr w:rsidR="00A53929" w14:paraId="2BF2449C" w14:textId="77777777" w:rsidTr="00E300A6">
        <w:tc>
          <w:tcPr>
            <w:tcW w:w="2254" w:type="dxa"/>
            <w:shd w:val="clear" w:color="auto" w:fill="D9E2F3" w:themeFill="accent1" w:themeFillTint="33"/>
          </w:tcPr>
          <w:p w14:paraId="57859D06" w14:textId="0BB59905" w:rsidR="00A53929" w:rsidRDefault="002F3512" w:rsidP="00D96E15">
            <w:r>
              <w:t xml:space="preserve">Conventional </w:t>
            </w:r>
            <w:r w:rsidR="00C31FAF">
              <w:t>clinker burning</w:t>
            </w:r>
          </w:p>
        </w:tc>
        <w:tc>
          <w:tcPr>
            <w:tcW w:w="2254" w:type="dxa"/>
          </w:tcPr>
          <w:p w14:paraId="3BE5C486" w14:textId="27077103" w:rsidR="00A53929" w:rsidRDefault="007D3915" w:rsidP="00E300A6">
            <w:pPr>
              <w:jc w:val="center"/>
            </w:pPr>
            <w:r>
              <w:t>0.0</w:t>
            </w:r>
            <w:r w:rsidR="00021775">
              <w:t>9513</w:t>
            </w:r>
          </w:p>
        </w:tc>
        <w:tc>
          <w:tcPr>
            <w:tcW w:w="2433" w:type="dxa"/>
          </w:tcPr>
          <w:p w14:paraId="78B11E3F" w14:textId="28800819" w:rsidR="00A53929" w:rsidRDefault="00253477" w:rsidP="00E300A6">
            <w:pPr>
              <w:jc w:val="center"/>
            </w:pPr>
            <w:r>
              <w:t>0.023</w:t>
            </w:r>
            <w:r w:rsidR="00F83E77">
              <w:t>78</w:t>
            </w:r>
          </w:p>
        </w:tc>
        <w:tc>
          <w:tcPr>
            <w:tcW w:w="2075" w:type="dxa"/>
          </w:tcPr>
          <w:p w14:paraId="3DE2415C" w14:textId="55C6EDA1" w:rsidR="00A53929" w:rsidRDefault="00F53A3C" w:rsidP="00E300A6">
            <w:pPr>
              <w:jc w:val="center"/>
            </w:pPr>
            <w:r>
              <w:t>100</w:t>
            </w:r>
          </w:p>
        </w:tc>
      </w:tr>
      <w:tr w:rsidR="00A53929" w14:paraId="0B8D8F5A" w14:textId="77777777" w:rsidTr="00E300A6">
        <w:tc>
          <w:tcPr>
            <w:tcW w:w="2254" w:type="dxa"/>
            <w:shd w:val="clear" w:color="auto" w:fill="D9E2F3" w:themeFill="accent1" w:themeFillTint="33"/>
          </w:tcPr>
          <w:p w14:paraId="083ED484" w14:textId="2929A94B" w:rsidR="00A53929" w:rsidRDefault="00C31FAF" w:rsidP="00D96E15">
            <w:r>
              <w:t xml:space="preserve">Clinker burning </w:t>
            </w:r>
            <w:r w:rsidR="003E5D26">
              <w:t>with op</w:t>
            </w:r>
            <w:r w:rsidR="002F3512">
              <w:t>timized dry kiln</w:t>
            </w:r>
          </w:p>
        </w:tc>
        <w:tc>
          <w:tcPr>
            <w:tcW w:w="2254" w:type="dxa"/>
          </w:tcPr>
          <w:p w14:paraId="6D6B7623" w14:textId="40849EC5" w:rsidR="00A53929" w:rsidRDefault="005547FA" w:rsidP="00E300A6">
            <w:pPr>
              <w:jc w:val="center"/>
            </w:pPr>
            <w:r>
              <w:t>0.04</w:t>
            </w:r>
            <w:r w:rsidR="00EC727A">
              <w:t>915</w:t>
            </w:r>
          </w:p>
        </w:tc>
        <w:tc>
          <w:tcPr>
            <w:tcW w:w="2433" w:type="dxa"/>
          </w:tcPr>
          <w:p w14:paraId="4EA000AB" w14:textId="5BAADEC8" w:rsidR="00A53929" w:rsidRDefault="001801B3" w:rsidP="00E300A6">
            <w:pPr>
              <w:jc w:val="center"/>
            </w:pPr>
            <w:r>
              <w:t>0.0</w:t>
            </w:r>
            <w:r w:rsidR="005405DA">
              <w:t>1</w:t>
            </w:r>
            <w:r>
              <w:t>8</w:t>
            </w:r>
            <w:r w:rsidR="00C42BC1">
              <w:t>36</w:t>
            </w:r>
          </w:p>
        </w:tc>
        <w:tc>
          <w:tcPr>
            <w:tcW w:w="2075" w:type="dxa"/>
          </w:tcPr>
          <w:p w14:paraId="6B4685F2" w14:textId="37F86CA9" w:rsidR="00A53929" w:rsidRDefault="000F140A" w:rsidP="00E300A6">
            <w:pPr>
              <w:jc w:val="center"/>
            </w:pPr>
            <w:r>
              <w:t>1</w:t>
            </w:r>
            <w:r w:rsidR="00E3334E">
              <w:t>90</w:t>
            </w:r>
          </w:p>
        </w:tc>
      </w:tr>
      <w:tr w:rsidR="00A53929" w14:paraId="47D498B8" w14:textId="77777777" w:rsidTr="00E300A6">
        <w:tc>
          <w:tcPr>
            <w:tcW w:w="2254" w:type="dxa"/>
            <w:shd w:val="clear" w:color="auto" w:fill="D9E2F3" w:themeFill="accent1" w:themeFillTint="33"/>
          </w:tcPr>
          <w:p w14:paraId="50C11BAD" w14:textId="304A21E7" w:rsidR="00A53929" w:rsidRDefault="00C31FAF" w:rsidP="00D96E15">
            <w:r>
              <w:t>Clinker burning</w:t>
            </w:r>
            <w:r w:rsidR="003E5D26">
              <w:t xml:space="preserve"> with CCS</w:t>
            </w:r>
          </w:p>
        </w:tc>
        <w:tc>
          <w:tcPr>
            <w:tcW w:w="2254" w:type="dxa"/>
          </w:tcPr>
          <w:p w14:paraId="1B4FAD97" w14:textId="42FC6B3F" w:rsidR="00A53929" w:rsidRDefault="005547FA" w:rsidP="00E300A6">
            <w:pPr>
              <w:jc w:val="center"/>
            </w:pPr>
            <w:r>
              <w:t>0.09814</w:t>
            </w:r>
          </w:p>
        </w:tc>
        <w:tc>
          <w:tcPr>
            <w:tcW w:w="2433" w:type="dxa"/>
          </w:tcPr>
          <w:p w14:paraId="5AC3495A" w14:textId="38CE7336" w:rsidR="00A53929" w:rsidRDefault="00B36B1D" w:rsidP="00E300A6">
            <w:pPr>
              <w:jc w:val="center"/>
            </w:pPr>
            <w:r>
              <w:t>0.03691</w:t>
            </w:r>
          </w:p>
        </w:tc>
        <w:tc>
          <w:tcPr>
            <w:tcW w:w="2075" w:type="dxa"/>
          </w:tcPr>
          <w:p w14:paraId="1C217FE2" w14:textId="0751CB03" w:rsidR="00A53929" w:rsidRDefault="000F140A" w:rsidP="00E300A6">
            <w:pPr>
              <w:jc w:val="center"/>
            </w:pPr>
            <w:r>
              <w:t>27</w:t>
            </w:r>
            <w:r w:rsidR="00E3334E">
              <w:t>2.5</w:t>
            </w:r>
            <w:r w:rsidR="00C147BB">
              <w:t xml:space="preserve"> (until 2050)</w:t>
            </w:r>
          </w:p>
          <w:p w14:paraId="10E1F730" w14:textId="2013198D" w:rsidR="00E13C09" w:rsidRDefault="00E13C09" w:rsidP="00E300A6">
            <w:pPr>
              <w:jc w:val="center"/>
            </w:pPr>
            <w:r>
              <w:t>24</w:t>
            </w:r>
            <w:r w:rsidR="00CD16C3">
              <w:t>2.5</w:t>
            </w:r>
            <w:r>
              <w:t xml:space="preserve"> (from 2050)</w:t>
            </w:r>
          </w:p>
        </w:tc>
      </w:tr>
    </w:tbl>
    <w:p w14:paraId="4C1B3C58" w14:textId="79306ADF" w:rsidR="009B3AA1" w:rsidRDefault="009B3AA1" w:rsidP="00D96E15"/>
    <w:p w14:paraId="6B91CF29" w14:textId="27921321" w:rsidR="00122145" w:rsidRDefault="00F831C0" w:rsidP="00D96E15">
      <w:r>
        <w:t>Values for the technologies are taken from</w:t>
      </w:r>
      <w:r w:rsidR="00CD16C3">
        <w:t xml:space="preserve"> </w:t>
      </w:r>
      <w:r w:rsidR="0078225B">
        <w:fldChar w:fldCharType="begin" w:fldLock="1"/>
      </w:r>
      <w:r w:rsidR="00715A3D">
        <w:instrText>ADDIN CSL_CITATION {"citationItems":[{"id":"ITEM-1","itemData":{"author":[{"dropping-particle":"","family":"Kermeli","given":"K","non-dropping-particle":"","parse-names":false,"suffix":""}],"id":"ITEM-1","issue":"December","issued":{"date-parts":[["2014"]]},"page":"1-37","title":"ADVANCE-WP2 Enhancing the representation of energy demand developments in IAM models – Modeling the cement industry. Work in progress","type":"article-journal","volume":"308329"},"uris":["http://www.mendeley.com/documents/?uuid=8fb45fec-8a96-4848-a91b-9bbc494b76ba"]}],"mendeley":{"formattedCitation":"(Kermeli, 2014)","manualFormatting":"Kermeli (2014)","plainTextFormattedCitation":"(Kermeli, 2014)","previouslyFormattedCitation":"(Kermeli, 2014)"},"properties":{"noteIndex":0},"schema":"https://github.com/citation-style-language/schema/raw/master/csl-citation.json"}</w:instrText>
      </w:r>
      <w:r w:rsidR="0078225B">
        <w:fldChar w:fldCharType="separate"/>
      </w:r>
      <w:r w:rsidR="00F77FDC" w:rsidRPr="00F77FDC">
        <w:rPr>
          <w:noProof/>
        </w:rPr>
        <w:t xml:space="preserve">Kermeli </w:t>
      </w:r>
      <w:r w:rsidR="00F77FDC">
        <w:rPr>
          <w:noProof/>
        </w:rPr>
        <w:t>(</w:t>
      </w:r>
      <w:r w:rsidR="00F77FDC" w:rsidRPr="00F77FDC">
        <w:rPr>
          <w:noProof/>
        </w:rPr>
        <w:t>2014)</w:t>
      </w:r>
      <w:r w:rsidR="0078225B">
        <w:fldChar w:fldCharType="end"/>
      </w:r>
      <w:r w:rsidR="00395F00">
        <w:t xml:space="preserve"> </w:t>
      </w:r>
      <w:r w:rsidR="00226E19">
        <w:t>and converted to the appropriate units</w:t>
      </w:r>
      <w:r w:rsidR="001B757A">
        <w:t xml:space="preserve">. </w:t>
      </w:r>
      <w:r w:rsidR="00AD7728">
        <w:t xml:space="preserve">Kermeli </w:t>
      </w:r>
      <w:r w:rsidR="001B757A">
        <w:t>did not include the price for conventional clinker burning</w:t>
      </w:r>
      <w:r w:rsidR="00787A7B">
        <w:t>, instead this value is taken from</w:t>
      </w:r>
      <w:r w:rsidR="00AD7728">
        <w:t xml:space="preserve"> </w:t>
      </w:r>
      <w:r w:rsidR="00715A3D">
        <w:fldChar w:fldCharType="begin" w:fldLock="1"/>
      </w:r>
      <w:r w:rsidR="00D64AEA">
        <w:instrText>ADDIN CSL_CITATION {"citationItems":[{"id":"ITEM-1","itemData":{"URL":"quora.com/How-much-does-it-cost-to-set-up-a-cement-factory","author":[{"dropping-particle":"","family":"Kandaswamy","given":"V","non-dropping-particle":"","parse-names":false,"suffix":""}],"id":"ITEM-1","issued":{"date-parts":[["2018"]]},"title":"Quora: How much does it cost to set up a cement factory","type":"webpage"},"uris":["http://www.mendeley.com/documents/?uuid=b1b9ca44-af07-47fa-b6bb-9df0f3e847e0"]}],"mendeley":{"formattedCitation":"(Kandaswamy, 2018)","manualFormatting":"Kandaswamy (2018)","plainTextFormattedCitation":"(Kandaswamy, 2018)","previouslyFormattedCitation":"(Kandaswamy, 2018)"},"properties":{"noteIndex":0},"schema":"https://github.com/citation-style-language/schema/raw/master/csl-citation.json"}</w:instrText>
      </w:r>
      <w:r w:rsidR="00715A3D">
        <w:fldChar w:fldCharType="separate"/>
      </w:r>
      <w:r w:rsidR="00715A3D" w:rsidRPr="00715A3D">
        <w:rPr>
          <w:noProof/>
        </w:rPr>
        <w:t xml:space="preserve">Kandaswamy </w:t>
      </w:r>
      <w:r w:rsidR="0006081C">
        <w:rPr>
          <w:noProof/>
        </w:rPr>
        <w:t>(</w:t>
      </w:r>
      <w:r w:rsidR="00715A3D" w:rsidRPr="00715A3D">
        <w:rPr>
          <w:noProof/>
        </w:rPr>
        <w:t>2018)</w:t>
      </w:r>
      <w:r w:rsidR="00715A3D">
        <w:fldChar w:fldCharType="end"/>
      </w:r>
      <w:r w:rsidR="0006081C">
        <w:t xml:space="preserve"> which brings high uncertainty to the base cost of a cement plant.</w:t>
      </w:r>
    </w:p>
    <w:p w14:paraId="414C40CA" w14:textId="2BBD8A25" w:rsidR="00EF6D0D" w:rsidRDefault="00DC0734" w:rsidP="004331A9">
      <w:r>
        <w:t xml:space="preserve">The </w:t>
      </w:r>
      <w:r w:rsidR="00053A99">
        <w:t xml:space="preserve">optimized dry kiln technology is taken from table 9 in </w:t>
      </w:r>
      <w:r w:rsidR="00D64AEA">
        <w:fldChar w:fldCharType="begin" w:fldLock="1"/>
      </w:r>
      <w:r w:rsidR="006621AF">
        <w:instrText>ADDIN CSL_CITATION {"citationItems":[{"id":"ITEM-1","itemData":{"author":[{"dropping-particle":"","family":"Kermeli","given":"K","non-dropping-particle":"","parse-names":false,"suffix":""}],"id":"ITEM-1","issue":"December","issued":{"date-parts":[["2014"]]},"page":"1-37","title":"ADVANCE-WP2 Enhancing the representation of energy demand developments in IAM models – Modeling the cement industry. Work in progress","type":"article-journal","volume":"308329"},"uris":["http://www.mendeley.com/documents/?uuid=8fb45fec-8a96-4848-a91b-9bbc494b76ba"]}],"mendeley":{"formattedCitation":"(Kermeli, 2014)","plainTextFormattedCitation":"(Kermeli, 2014)","previouslyFormattedCitation":"(Kermeli, 2014)"},"properties":{"noteIndex":0},"schema":"https://github.com/citation-style-language/schema/raw/master/csl-citation.json"}</w:instrText>
      </w:r>
      <w:r w:rsidR="00D64AEA">
        <w:fldChar w:fldCharType="separate"/>
      </w:r>
      <w:r w:rsidR="00D64AEA" w:rsidRPr="00D64AEA">
        <w:rPr>
          <w:noProof/>
        </w:rPr>
        <w:t>(Kermeli, 2014)</w:t>
      </w:r>
      <w:r w:rsidR="00D64AEA">
        <w:fldChar w:fldCharType="end"/>
      </w:r>
      <w:r w:rsidR="00D64AEA">
        <w:t xml:space="preserve"> </w:t>
      </w:r>
      <w:r w:rsidR="00053A99">
        <w:t>and was called “</w:t>
      </w:r>
      <w:r w:rsidR="00025576">
        <w:t>Conversion to Dry precalciner Kiln”</w:t>
      </w:r>
      <w:r w:rsidR="00FD7BC2">
        <w:t xml:space="preserve"> and is considered t</w:t>
      </w:r>
      <w:r w:rsidR="00097D4C">
        <w:t>he best available technology of 2010</w:t>
      </w:r>
      <w:r w:rsidR="00025576">
        <w:t>. The clinker burning with CCS from the same source</w:t>
      </w:r>
      <w:r w:rsidR="00853851">
        <w:t xml:space="preserve"> but in table 17 with technology name “Post-combustion</w:t>
      </w:r>
      <w:r w:rsidR="0014501B">
        <w:t xml:space="preserve"> (absorption tech.)”.</w:t>
      </w:r>
    </w:p>
    <w:p w14:paraId="3B836E83" w14:textId="6F0001D0" w:rsidR="00017D4E" w:rsidRDefault="00017D4E" w:rsidP="00017D4E">
      <w:pPr>
        <w:pStyle w:val="Heading4"/>
      </w:pPr>
      <w:r>
        <w:t>Emissions</w:t>
      </w:r>
    </w:p>
    <w:p w14:paraId="6E5284CB" w14:textId="1D902E90" w:rsidR="0030231E" w:rsidRDefault="00CC3F9E" w:rsidP="0030231E">
      <w:r>
        <w:t xml:space="preserve">Cement production has three sources of emission: Electricity consumption, fuel </w:t>
      </w:r>
      <w:r w:rsidR="005D58F6">
        <w:t xml:space="preserve">extraction </w:t>
      </w:r>
      <w:r w:rsidR="0050433A">
        <w:t xml:space="preserve">and </w:t>
      </w:r>
      <w:r w:rsidR="005A73A6">
        <w:t>combustion</w:t>
      </w:r>
      <w:r w:rsidR="0050433A">
        <w:t xml:space="preserve">, and direct process emissions from </w:t>
      </w:r>
      <w:r w:rsidR="00CA3FF2">
        <w:t>the calcination process.</w:t>
      </w:r>
      <w:r w:rsidR="008A1A95">
        <w:t xml:space="preserve"> Emissions related to electricity</w:t>
      </w:r>
      <w:r w:rsidR="00825A74">
        <w:t xml:space="preserve">, </w:t>
      </w:r>
      <w:r w:rsidR="008A1A95">
        <w:t>fuel consumption</w:t>
      </w:r>
      <w:r w:rsidR="00825A74">
        <w:t>, and fuel combustion</w:t>
      </w:r>
      <w:r w:rsidR="008A1A95">
        <w:t xml:space="preserve"> is already included in the South Africa model, while </w:t>
      </w:r>
      <w:r w:rsidR="005A73A6">
        <w:t>direct process emissions are added</w:t>
      </w:r>
      <w:r w:rsidR="00CD50D1">
        <w:t>.</w:t>
      </w:r>
    </w:p>
    <w:p w14:paraId="031C86F9" w14:textId="336567B8" w:rsidR="00906BED" w:rsidRDefault="002A1D96" w:rsidP="0030231E">
      <w:pPr>
        <w:rPr>
          <w:rFonts w:eastAsiaTheme="minorEastAsia"/>
        </w:rPr>
      </w:pPr>
      <w:r>
        <w:t>Direct process emissions</w:t>
      </w:r>
      <w:r w:rsidR="003F090D">
        <w:t xml:space="preserve"> from the technologies: “Clinker_burning” </w:t>
      </w:r>
      <w:r w:rsidR="00F7212C">
        <w:t xml:space="preserve">and “Clinker_burning_dry_kiln” </w:t>
      </w:r>
      <w:r w:rsidR="00843FD7">
        <w:t xml:space="preserve">are 0.5262 tonne </w:t>
      </w:r>
      <m:oMath>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oMath>
      <w:r w:rsidR="00843FD7">
        <w:rPr>
          <w:rFonts w:eastAsiaTheme="minorEastAsia"/>
        </w:rPr>
        <w:t xml:space="preserve"> per tonne clinker </w:t>
      </w:r>
      <w:r w:rsidR="00843FD7" w:rsidRPr="00B24DA7">
        <w:t>production</w:t>
      </w:r>
      <w:r w:rsidR="00B24DA7" w:rsidRPr="00B24DA7">
        <w:t xml:space="preserve"> (IPTS/EC, 2010)</w:t>
      </w:r>
      <w:r w:rsidR="00AA402C" w:rsidRPr="00B24DA7">
        <w:t>, which in the</w:t>
      </w:r>
      <w:r w:rsidR="00AA402C">
        <w:rPr>
          <w:rFonts w:eastAsiaTheme="minorEastAsia"/>
        </w:rPr>
        <w:t xml:space="preserve"> MESSAGEix model is given </w:t>
      </w:r>
      <w:r w:rsidR="00906BED">
        <w:rPr>
          <w:rFonts w:eastAsiaTheme="minorEastAsia"/>
        </w:rPr>
        <w:t>as follows:</w:t>
      </w:r>
    </w:p>
    <w:p w14:paraId="512E9945" w14:textId="31E462E3" w:rsidR="00CD50D1" w:rsidRPr="00906BED" w:rsidRDefault="00AA402C" w:rsidP="0030231E">
      <w:pPr>
        <w:rPr>
          <w:rFonts w:eastAsiaTheme="minorEastAsia"/>
        </w:rPr>
      </w:pPr>
      <m:oMathPara>
        <m:oMath>
          <m:r>
            <m:rPr>
              <m:sty m:val="p"/>
            </m:rPr>
            <w:rPr>
              <w:rFonts w:ascii="Cambria Math" w:hAnsi="Cambria Math"/>
            </w:rPr>
            <m:t>0.5262</m:t>
          </m:r>
          <m:f>
            <m:fPr>
              <m:ctrlPr>
                <w:rPr>
                  <w:rFonts w:ascii="Cambria Math" w:hAnsi="Cambria Math" w:cs="Cambria Math"/>
                  <w:i/>
                </w:rPr>
              </m:ctrlPr>
            </m:fPr>
            <m:num>
              <m:r>
                <w:rPr>
                  <w:rFonts w:ascii="Cambria Math" w:hAnsi="Cambria Math" w:cs="Cambria Math"/>
                </w:rPr>
                <m:t>Mt C</m:t>
              </m:r>
              <m:sSub>
                <m:sSubPr>
                  <m:ctrlPr>
                    <w:rPr>
                      <w:rFonts w:ascii="Cambria Math" w:hAnsi="Cambria Math" w:cs="Cambria Math"/>
                      <w:i/>
                    </w:rPr>
                  </m:ctrlPr>
                </m:sSubPr>
                <m:e>
                  <m:r>
                    <w:rPr>
                      <w:rFonts w:ascii="Cambria Math" w:hAnsi="Cambria Math" w:cs="Cambria Math"/>
                    </w:rPr>
                    <m:t>O</m:t>
                  </m:r>
                </m:e>
                <m:sub>
                  <m:r>
                    <w:rPr>
                      <w:rFonts w:ascii="Cambria Math" w:hAnsi="Cambria Math" w:cs="Cambria Math"/>
                    </w:rPr>
                    <m:t>2</m:t>
                  </m:r>
                </m:sub>
              </m:sSub>
            </m:num>
            <m:den>
              <m:r>
                <w:rPr>
                  <w:rFonts w:ascii="Cambria Math" w:hAnsi="Cambria Math" w:cs="Cambria Math"/>
                </w:rPr>
                <m:t>Mt clinker</m:t>
              </m:r>
            </m:den>
          </m:f>
        </m:oMath>
      </m:oMathPara>
    </w:p>
    <w:p w14:paraId="35E5811B" w14:textId="7BCBD1B5" w:rsidR="00906BED" w:rsidRDefault="003F090D" w:rsidP="0030231E">
      <w:pPr>
        <w:rPr>
          <w:rFonts w:eastAsiaTheme="minorEastAsia"/>
        </w:rPr>
      </w:pPr>
      <w:r>
        <w:rPr>
          <w:rFonts w:eastAsiaTheme="minorEastAsia"/>
        </w:rPr>
        <w:t>However</w:t>
      </w:r>
      <w:r w:rsidR="00F7212C">
        <w:rPr>
          <w:rFonts w:eastAsiaTheme="minorEastAsia"/>
        </w:rPr>
        <w:t xml:space="preserve">, the </w:t>
      </w:r>
      <w:r w:rsidR="001D6C8A">
        <w:rPr>
          <w:rFonts w:eastAsiaTheme="minorEastAsia"/>
        </w:rPr>
        <w:t>“Clinker_burning_</w:t>
      </w:r>
      <w:r w:rsidR="00F7212C">
        <w:rPr>
          <w:rFonts w:eastAsiaTheme="minorEastAsia"/>
        </w:rPr>
        <w:t>CCS</w:t>
      </w:r>
      <w:r w:rsidR="001D6C8A">
        <w:rPr>
          <w:rFonts w:eastAsiaTheme="minorEastAsia"/>
        </w:rPr>
        <w:t xml:space="preserve">” </w:t>
      </w:r>
      <w:r w:rsidR="00666D21">
        <w:rPr>
          <w:rFonts w:eastAsiaTheme="minorEastAsia"/>
        </w:rPr>
        <w:t xml:space="preserve">is </w:t>
      </w:r>
      <m:oMath>
        <m:r>
          <w:rPr>
            <w:rFonts w:ascii="Cambria Math" w:eastAsiaTheme="minorEastAsia" w:hAnsi="Cambria Math"/>
          </w:rPr>
          <m:t>0.5262-0.7= -0.1738</m:t>
        </m:r>
      </m:oMath>
      <w:r w:rsidR="001820B2">
        <w:rPr>
          <w:rFonts w:eastAsiaTheme="minorEastAsia"/>
        </w:rPr>
        <w:t xml:space="preserve"> Mt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sidR="001F5A94">
        <w:rPr>
          <w:rFonts w:eastAsiaTheme="minorEastAsia"/>
        </w:rPr>
        <w:t xml:space="preserve"> per </w:t>
      </w:r>
      <w:r w:rsidR="009C056E">
        <w:rPr>
          <w:rFonts w:eastAsiaTheme="minorEastAsia"/>
        </w:rPr>
        <w:t xml:space="preserve">Mt </w:t>
      </w:r>
      <w:r w:rsidR="001F5A94">
        <w:rPr>
          <w:rFonts w:eastAsiaTheme="minorEastAsia"/>
        </w:rPr>
        <w:t>clinker</w:t>
      </w:r>
      <w:r w:rsidR="00A162B9">
        <w:rPr>
          <w:rFonts w:eastAsiaTheme="minorEastAsia"/>
        </w:rPr>
        <w:t>,</w:t>
      </w:r>
      <w:r w:rsidR="00F67CF7">
        <w:rPr>
          <w:rFonts w:eastAsiaTheme="minorEastAsia"/>
        </w:rPr>
        <w:t xml:space="preserve"> the negative value</w:t>
      </w:r>
      <w:r w:rsidR="00A162B9">
        <w:rPr>
          <w:rFonts w:eastAsiaTheme="minorEastAsia"/>
        </w:rPr>
        <w:t xml:space="preserve"> mean</w:t>
      </w:r>
      <w:r w:rsidR="00614C12">
        <w:rPr>
          <w:rFonts w:eastAsiaTheme="minorEastAsia"/>
        </w:rPr>
        <w:t>s</w:t>
      </w:r>
      <w:r w:rsidR="00A162B9">
        <w:rPr>
          <w:rFonts w:eastAsiaTheme="minorEastAsia"/>
        </w:rPr>
        <w:t xml:space="preserve"> that for every ton clinker produced</w:t>
      </w:r>
      <w:r w:rsidR="008C2B77">
        <w:rPr>
          <w:rFonts w:eastAsiaTheme="minorEastAsia"/>
        </w:rPr>
        <w:t xml:space="preserve"> 0.17</w:t>
      </w:r>
      <w:r w:rsidR="00023CA4">
        <w:rPr>
          <w:rFonts w:eastAsiaTheme="minorEastAsia"/>
        </w:rPr>
        <w:t xml:space="preserve"> Mt</w:t>
      </w:r>
      <w:r w:rsidR="00A162B9">
        <w:rPr>
          <w:rFonts w:eastAsiaTheme="minorEastAsia"/>
        </w:rPr>
        <w:t xml:space="preserve">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sidR="00A162B9">
        <w:rPr>
          <w:rFonts w:eastAsiaTheme="minorEastAsia"/>
        </w:rPr>
        <w:t xml:space="preserve"> is absorbed from</w:t>
      </w:r>
      <w:r w:rsidR="00614C12">
        <w:rPr>
          <w:rFonts w:eastAsiaTheme="minorEastAsia"/>
        </w:rPr>
        <w:t xml:space="preserve"> the </w:t>
      </w:r>
      <w:r w:rsidR="00180308">
        <w:rPr>
          <w:rFonts w:eastAsiaTheme="minorEastAsia"/>
        </w:rPr>
        <w:t>chimney</w:t>
      </w:r>
      <w:r w:rsidR="001F5A94">
        <w:rPr>
          <w:rFonts w:eastAsiaTheme="minorEastAsia"/>
        </w:rPr>
        <w:t xml:space="preserve">. However, notice in </w:t>
      </w:r>
      <w:r w:rsidR="001F5A94">
        <w:rPr>
          <w:rFonts w:eastAsiaTheme="minorEastAsia"/>
        </w:rPr>
        <w:fldChar w:fldCharType="begin"/>
      </w:r>
      <w:r w:rsidR="001F5A94">
        <w:rPr>
          <w:rFonts w:eastAsiaTheme="minorEastAsia"/>
        </w:rPr>
        <w:instrText xml:space="preserve"> REF _Ref97813670 \h </w:instrText>
      </w:r>
      <w:r w:rsidR="001F5A94">
        <w:rPr>
          <w:rFonts w:eastAsiaTheme="minorEastAsia"/>
        </w:rPr>
      </w:r>
      <w:r w:rsidR="001F5A94">
        <w:rPr>
          <w:rFonts w:eastAsiaTheme="minorEastAsia"/>
        </w:rPr>
        <w:fldChar w:fldCharType="separate"/>
      </w:r>
      <w:r w:rsidR="00827C89">
        <w:t xml:space="preserve">Table </w:t>
      </w:r>
      <w:r w:rsidR="00827C89">
        <w:rPr>
          <w:noProof/>
        </w:rPr>
        <w:t>1</w:t>
      </w:r>
      <w:r w:rsidR="001F5A94">
        <w:rPr>
          <w:rFonts w:eastAsiaTheme="minorEastAsia"/>
        </w:rPr>
        <w:fldChar w:fldCharType="end"/>
      </w:r>
      <w:r w:rsidR="00371D64">
        <w:rPr>
          <w:rFonts w:eastAsiaTheme="minorEastAsia"/>
        </w:rPr>
        <w:t xml:space="preserve"> that fuel and electricity input increases</w:t>
      </w:r>
      <w:r w:rsidR="00180308">
        <w:rPr>
          <w:rFonts w:eastAsiaTheme="minorEastAsia"/>
        </w:rPr>
        <w:t xml:space="preserve"> as well.</w:t>
      </w:r>
      <w:r w:rsidR="00724476">
        <w:rPr>
          <w:rFonts w:eastAsiaTheme="minorEastAsia"/>
        </w:rPr>
        <w:t xml:space="preserve"> The </w:t>
      </w:r>
      <w:r w:rsidR="00725F59">
        <w:rPr>
          <w:rFonts w:eastAsiaTheme="minorEastAsia"/>
        </w:rPr>
        <w:t xml:space="preserve">lowest emission possible from fuel and electricity input to the clinker burning CCS is 0.1734 Mt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sidR="00725F59">
        <w:rPr>
          <w:rFonts w:eastAsiaTheme="minorEastAsia"/>
        </w:rPr>
        <w:t xml:space="preserve"> per Mt clinker</w:t>
      </w:r>
      <w:r w:rsidR="000C1271">
        <w:rPr>
          <w:rFonts w:eastAsiaTheme="minorEastAsia"/>
        </w:rPr>
        <w:t xml:space="preserve">. The CCS technology therefore </w:t>
      </w:r>
      <w:r w:rsidR="00187948">
        <w:rPr>
          <w:rFonts w:eastAsiaTheme="minorEastAsia"/>
        </w:rPr>
        <w:t xml:space="preserve">captures all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sidR="00187948">
        <w:rPr>
          <w:rFonts w:eastAsiaTheme="minorEastAsia"/>
        </w:rPr>
        <w:t xml:space="preserve"> and a bit more – which </w:t>
      </w:r>
      <w:r w:rsidR="006F1E08">
        <w:rPr>
          <w:rFonts w:eastAsiaTheme="minorEastAsia"/>
        </w:rPr>
        <w:t xml:space="preserve">in practice would </w:t>
      </w:r>
      <w:r w:rsidR="00603956">
        <w:rPr>
          <w:rFonts w:eastAsiaTheme="minorEastAsia"/>
        </w:rPr>
        <w:t xml:space="preserve">mistakenly </w:t>
      </w:r>
      <w:r w:rsidR="006F1E08">
        <w:rPr>
          <w:rFonts w:eastAsiaTheme="minorEastAsia"/>
        </w:rPr>
        <w:t xml:space="preserve">suggest that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sidR="006F1E08">
        <w:rPr>
          <w:rFonts w:eastAsiaTheme="minorEastAsia"/>
        </w:rPr>
        <w:t xml:space="preserve"> is taken from the atmosphere</w:t>
      </w:r>
      <w:r w:rsidR="00603956">
        <w:rPr>
          <w:rFonts w:eastAsiaTheme="minorEastAsia"/>
        </w:rPr>
        <w:t xml:space="preserve">. However, </w:t>
      </w:r>
      <w:r w:rsidR="0015138B">
        <w:rPr>
          <w:rFonts w:eastAsiaTheme="minorEastAsia"/>
        </w:rPr>
        <w:t xml:space="preserve">the minimum possible emission from the fuel and electricity input is </w:t>
      </w:r>
      <w:r w:rsidR="008F6811">
        <w:rPr>
          <w:rFonts w:eastAsiaTheme="minorEastAsia"/>
        </w:rPr>
        <w:t>not obtained in any of the scenarios</w:t>
      </w:r>
      <w:r w:rsidR="00B30CC3">
        <w:rPr>
          <w:rFonts w:eastAsiaTheme="minorEastAsia"/>
        </w:rPr>
        <w:t>.</w:t>
      </w:r>
    </w:p>
    <w:p w14:paraId="15496636" w14:textId="2A1152E5" w:rsidR="00017D4E" w:rsidRDefault="00F44037" w:rsidP="00F44037">
      <w:pPr>
        <w:pStyle w:val="Heading4"/>
      </w:pPr>
      <w:r>
        <w:t>Share constraints</w:t>
      </w:r>
    </w:p>
    <w:p w14:paraId="3B0B69FD" w14:textId="6D633525" w:rsidR="004E470B" w:rsidRPr="004E470B" w:rsidRDefault="009F0F3C" w:rsidP="00F44037">
      <w:pPr>
        <w:rPr>
          <w:rFonts w:eastAsiaTheme="minorEastAsia"/>
        </w:rPr>
      </w:pPr>
      <w:r>
        <w:t xml:space="preserve">There is a share constraint on the </w:t>
      </w:r>
      <w:r w:rsidR="000C747D">
        <w:t>commodity “</w:t>
      </w:r>
      <w:r>
        <w:t>clinker</w:t>
      </w:r>
      <w:r w:rsidR="000C747D">
        <w:t xml:space="preserve">” </w:t>
      </w:r>
      <w:r>
        <w:t xml:space="preserve">from </w:t>
      </w:r>
      <w:r w:rsidR="000C747D">
        <w:t>the technology “clinker burning with CCS”</w:t>
      </w:r>
      <w:r w:rsidR="00C31EF3">
        <w:t xml:space="preserve"> of 0.7. This is because it is assumed that only half of the clinker production can be done with </w:t>
      </w:r>
      <w:r w:rsidR="00A436D7">
        <w:t>CCS</w:t>
      </w:r>
      <w:r w:rsidR="00805536">
        <w:t xml:space="preserve"> due to the fact that </w:t>
      </w:r>
      <w:r w:rsidR="00353124">
        <w:t xml:space="preserve">captured </w:t>
      </w:r>
      <m:oMath>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oMath>
      <w:r w:rsidR="00353124">
        <w:rPr>
          <w:rFonts w:eastAsiaTheme="minorEastAsia"/>
        </w:rPr>
        <w:t xml:space="preserve"> would have to be </w:t>
      </w:r>
      <w:r w:rsidR="008B1413">
        <w:rPr>
          <w:rFonts w:eastAsiaTheme="minorEastAsia"/>
        </w:rPr>
        <w:t>transferred to a storage site – therefore there is a need for a specific infrastructure and</w:t>
      </w:r>
      <w:r w:rsidR="00DF2826">
        <w:rPr>
          <w:rFonts w:eastAsiaTheme="minorEastAsia"/>
        </w:rPr>
        <w:t xml:space="preserve"> a suitable location for said task. Also, the high investment cost of </w:t>
      </w:r>
      <w:r w:rsidR="0075345A">
        <w:rPr>
          <w:rFonts w:eastAsiaTheme="minorEastAsia"/>
        </w:rPr>
        <w:t>CCS makes it an infeasible investment for cement plants producing less than 4-5 kt</w:t>
      </w:r>
      <w:r w:rsidR="00F961F0">
        <w:rPr>
          <w:rFonts w:eastAsiaTheme="minorEastAsia"/>
        </w:rPr>
        <w:t xml:space="preserve"> per day.</w:t>
      </w:r>
    </w:p>
    <w:p w14:paraId="4A08B073" w14:textId="4C280962" w:rsidR="004331A9" w:rsidRDefault="004331A9" w:rsidP="004331A9">
      <w:pPr>
        <w:pStyle w:val="Heading4"/>
      </w:pPr>
      <w:r>
        <w:lastRenderedPageBreak/>
        <w:t>Other assumptions</w:t>
      </w:r>
    </w:p>
    <w:p w14:paraId="0CE73E44" w14:textId="152FBAF6" w:rsidR="000E01FF" w:rsidRDefault="004331A9" w:rsidP="000E01FF">
      <w:r>
        <w:t xml:space="preserve">I am not adding growth activity constraints on the cement technologies. </w:t>
      </w:r>
      <w:r w:rsidR="00090F91">
        <w:t xml:space="preserve">For now, </w:t>
      </w:r>
      <w:r>
        <w:t xml:space="preserve">I also assume that all costs except </w:t>
      </w:r>
      <w:r w:rsidR="00090F91">
        <w:t>variable</w:t>
      </w:r>
      <w:r>
        <w:t xml:space="preserve"> costs are similar between the technologies, and therefore only </w:t>
      </w:r>
      <w:r w:rsidR="009831F9">
        <w:t>var</w:t>
      </w:r>
      <w:r w:rsidR="00090F91">
        <w:t>iable</w:t>
      </w:r>
      <w:r>
        <w:t xml:space="preserve"> costs are introduced to the model. </w:t>
      </w:r>
      <w:r w:rsidR="004D2FFF">
        <w:t xml:space="preserve">Since capacity, investment costs, and fixed costs are not implemented, the life time of </w:t>
      </w:r>
      <w:r w:rsidR="00A01A7D">
        <w:t>any technology is irrelevant to the model.</w:t>
      </w:r>
    </w:p>
    <w:p w14:paraId="2DF8F596" w14:textId="0AAEF49B" w:rsidR="00551E8E" w:rsidRPr="000E01FF" w:rsidRDefault="00551E8E" w:rsidP="00551E8E">
      <w:pPr>
        <w:pStyle w:val="Heading4"/>
      </w:pPr>
      <w:r>
        <w:t>Scenarios</w:t>
      </w:r>
    </w:p>
    <w:p w14:paraId="29344726" w14:textId="49B52BAB" w:rsidR="00EA144C" w:rsidRDefault="00F701A6">
      <w:r>
        <w:t xml:space="preserve">The preference of the technologies change depending on </w:t>
      </w:r>
      <w:r w:rsidR="002646AF">
        <w:t>which scenario is followed by the model. Since MESSAGEix always try to minimize economic cost</w:t>
      </w:r>
      <w:r w:rsidR="003A7211">
        <w:t xml:space="preserve">, the implementation of </w:t>
      </w:r>
      <w:r w:rsidR="00FD4CD1">
        <w:t xml:space="preserve">the </w:t>
      </w:r>
      <w:r w:rsidR="003A7211" w:rsidRPr="00FD4CD1">
        <w:rPr>
          <w:i/>
          <w:iCs/>
        </w:rPr>
        <w:t>optimized dry kiln</w:t>
      </w:r>
      <w:r w:rsidR="003A7211">
        <w:t xml:space="preserve"> or </w:t>
      </w:r>
      <w:r w:rsidR="00FD4CD1" w:rsidRPr="00FD4CD1">
        <w:rPr>
          <w:i/>
          <w:iCs/>
        </w:rPr>
        <w:t>CCS</w:t>
      </w:r>
      <w:r w:rsidR="00FD4CD1">
        <w:t xml:space="preserve"> for clinker production is </w:t>
      </w:r>
      <w:r w:rsidR="00920B59">
        <w:t xml:space="preserve">enticed </w:t>
      </w:r>
      <w:r w:rsidR="0059190A">
        <w:t>by either emission taxes, boundaries, or subsidies</w:t>
      </w:r>
      <w:r w:rsidR="00CC47E5">
        <w:t xml:space="preserve">. </w:t>
      </w:r>
      <w:r w:rsidR="006D0032">
        <w:t>I introduce emission boundaries</w:t>
      </w:r>
      <w:r w:rsidR="00CE2729">
        <w:t>.</w:t>
      </w:r>
    </w:p>
    <w:p w14:paraId="52DC198A" w14:textId="6FEA93FC" w:rsidR="0009758F" w:rsidRDefault="0009758F">
      <w:pPr>
        <w:rPr>
          <w:rFonts w:asciiTheme="majorHAnsi" w:eastAsiaTheme="majorEastAsia" w:hAnsiTheme="majorHAnsi" w:cstheme="majorBidi"/>
          <w:color w:val="2F5496" w:themeColor="accent1" w:themeShade="BF"/>
          <w:sz w:val="26"/>
          <w:szCs w:val="26"/>
        </w:rPr>
      </w:pPr>
    </w:p>
    <w:p w14:paraId="4E66BF33" w14:textId="1CBC7A1B" w:rsidR="008F3C0B" w:rsidRDefault="000E01FF" w:rsidP="008F3C0B">
      <w:pPr>
        <w:pStyle w:val="Heading2"/>
      </w:pPr>
      <w:r w:rsidRPr="000E01FF">
        <w:t>Results</w:t>
      </w:r>
    </w:p>
    <w:p w14:paraId="55EC70FD" w14:textId="477EA1F3" w:rsidR="00553284" w:rsidRDefault="00162D73" w:rsidP="00231ED5">
      <w:r>
        <w:t xml:space="preserve">By evaluating the difference between the baseline and cement scenario either introduced to emission bounds or not, I examine how cement demand affects the South African model and what the preferred energy structure looks like at the lowest possible CO2 emissions optimized to lowest cost. </w:t>
      </w:r>
      <w:r w:rsidR="00553284">
        <w:t xml:space="preserve">The results chapter </w:t>
      </w:r>
      <w:r>
        <w:t>is based on</w:t>
      </w:r>
      <w:r w:rsidR="0015332E">
        <w:t xml:space="preserve"> </w:t>
      </w:r>
      <w:r w:rsidR="00435DA9">
        <w:t xml:space="preserve">the model’s variables: Emissions (EMISS), activity (ACT), </w:t>
      </w:r>
      <w:r w:rsidR="001C337E">
        <w:t>commodity price (PRICE_COMMODITY), and the aggregated cost (</w:t>
      </w:r>
      <w:r w:rsidR="002D24A9">
        <w:t>the objective function OBJ).</w:t>
      </w:r>
    </w:p>
    <w:p w14:paraId="2CF4042B" w14:textId="55BE093C" w:rsidR="0015332E" w:rsidRDefault="0015332E" w:rsidP="00231ED5">
      <w:r>
        <w:t xml:space="preserve">The clinker technologies all </w:t>
      </w:r>
      <w:r w:rsidR="002D24A9">
        <w:t>use</w:t>
      </w:r>
      <w:r>
        <w:t xml:space="preserve"> fuel and electricity from the secondary level. Therefore, the activities evaluated are of technologies with electricity or fuel (coal, fueloil, lightoil, and gas) output to the secondary level.</w:t>
      </w:r>
    </w:p>
    <w:p w14:paraId="4A643BC1" w14:textId="1EB5CB8A" w:rsidR="00231ED5" w:rsidRPr="008F3C0B" w:rsidRDefault="008F3C0B" w:rsidP="00231ED5">
      <w:pPr>
        <w:rPr>
          <w:b/>
          <w:bCs/>
        </w:rPr>
      </w:pPr>
      <w:r>
        <w:br/>
      </w:r>
      <w:r w:rsidR="00231ED5">
        <w:rPr>
          <w:b/>
          <w:bCs/>
        </w:rPr>
        <w:t>Emission</w:t>
      </w:r>
      <w:r>
        <w:rPr>
          <w:b/>
          <w:bCs/>
        </w:rPr>
        <w:t>s</w:t>
      </w:r>
      <w:r>
        <w:rPr>
          <w:b/>
          <w:bCs/>
        </w:rPr>
        <w:br/>
      </w:r>
      <w:r w:rsidR="005C6D8D">
        <w:t>The addition of cement demand and production leads to higher emissions due</w:t>
      </w:r>
      <w:r w:rsidR="00E07688">
        <w:t xml:space="preserve"> to</w:t>
      </w:r>
      <w:r w:rsidR="005C6D8D">
        <w:t xml:space="preserve"> </w:t>
      </w:r>
      <w:r w:rsidR="00521F7B">
        <w:t xml:space="preserve">the higher demand for energy and fuel as well as direct emissions from the </w:t>
      </w:r>
      <w:r w:rsidR="00AF161D">
        <w:t xml:space="preserve">clinker production. However, it is possible to reduce the extra emission </w:t>
      </w:r>
      <w:r w:rsidR="002E04D8">
        <w:t>to a fraction of what is already emitted</w:t>
      </w:r>
      <w:r w:rsidR="001B47DF">
        <w:t xml:space="preserve"> as seen in </w:t>
      </w:r>
      <w:r w:rsidR="001B47DF">
        <w:fldChar w:fldCharType="begin"/>
      </w:r>
      <w:r w:rsidR="001B47DF">
        <w:instrText xml:space="preserve"> REF _Ref101226035 \h </w:instrText>
      </w:r>
      <w:r w:rsidR="001B47DF">
        <w:fldChar w:fldCharType="separate"/>
      </w:r>
      <w:r w:rsidR="001B47DF">
        <w:t xml:space="preserve">Figure </w:t>
      </w:r>
      <w:r w:rsidR="001B47DF">
        <w:rPr>
          <w:noProof/>
        </w:rPr>
        <w:t>2</w:t>
      </w:r>
      <w:r w:rsidR="001B47DF">
        <w:fldChar w:fldCharType="end"/>
      </w:r>
      <w:r w:rsidR="001B47DF">
        <w:t>.</w:t>
      </w:r>
    </w:p>
    <w:p w14:paraId="765A693C" w14:textId="77777777" w:rsidR="00DA798F" w:rsidRDefault="00521F7B" w:rsidP="00DA798F">
      <w:pPr>
        <w:keepNext/>
      </w:pPr>
      <w:r>
        <w:rPr>
          <w:noProof/>
        </w:rPr>
        <w:drawing>
          <wp:inline distT="0" distB="0" distL="0" distR="0" wp14:anchorId="11386A10" wp14:editId="4ECA23D5">
            <wp:extent cx="5731510" cy="3075940"/>
            <wp:effectExtent l="0" t="0" r="254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9"/>
                    <a:stretch>
                      <a:fillRect/>
                    </a:stretch>
                  </pic:blipFill>
                  <pic:spPr>
                    <a:xfrm>
                      <a:off x="0" y="0"/>
                      <a:ext cx="5731510" cy="3075940"/>
                    </a:xfrm>
                    <a:prstGeom prst="rect">
                      <a:avLst/>
                    </a:prstGeom>
                  </pic:spPr>
                </pic:pic>
              </a:graphicData>
            </a:graphic>
          </wp:inline>
        </w:drawing>
      </w:r>
    </w:p>
    <w:p w14:paraId="77DE1C37" w14:textId="1F037A5F" w:rsidR="00231ED5" w:rsidRDefault="00DA798F" w:rsidP="00DA798F">
      <w:pPr>
        <w:pStyle w:val="Caption"/>
        <w:rPr>
          <w:b/>
          <w:bCs/>
        </w:rPr>
      </w:pPr>
      <w:bookmarkStart w:id="2" w:name="_Ref101226035"/>
      <w:r>
        <w:t xml:space="preserve">Figure </w:t>
      </w:r>
      <w:r>
        <w:fldChar w:fldCharType="begin"/>
      </w:r>
      <w:r>
        <w:instrText xml:space="preserve"> SEQ Figure \* ARABIC </w:instrText>
      </w:r>
      <w:r>
        <w:fldChar w:fldCharType="separate"/>
      </w:r>
      <w:r w:rsidR="00AE4F8A">
        <w:rPr>
          <w:noProof/>
        </w:rPr>
        <w:t>2</w:t>
      </w:r>
      <w:r>
        <w:fldChar w:fldCharType="end"/>
      </w:r>
      <w:bookmarkEnd w:id="2"/>
      <w:r>
        <w:t>: Mt CO2 emissions from 4 scenarios: Baseline and cement scenario with either low emissions (due to emissions bounds) or high emissions (no emission bounds).</w:t>
      </w:r>
    </w:p>
    <w:p w14:paraId="15E41541" w14:textId="4D108944" w:rsidR="00231ED5" w:rsidRPr="00231ED5" w:rsidRDefault="00231ED5" w:rsidP="00231ED5">
      <w:pPr>
        <w:rPr>
          <w:b/>
          <w:bCs/>
        </w:rPr>
      </w:pPr>
      <w:r>
        <w:rPr>
          <w:b/>
          <w:bCs/>
        </w:rPr>
        <w:lastRenderedPageBreak/>
        <w:t>Activity</w:t>
      </w:r>
    </w:p>
    <w:p w14:paraId="09C33BC8" w14:textId="2A875F0D" w:rsidR="00286794" w:rsidRDefault="00060F0E" w:rsidP="003D2B0B">
      <w:r>
        <w:t>When cement is added to the South African model</w:t>
      </w:r>
      <w:r w:rsidR="001413D4">
        <w:t xml:space="preserve"> without setting emission bounds</w:t>
      </w:r>
      <w:r>
        <w:t>, s</w:t>
      </w:r>
      <w:r w:rsidR="003E627D">
        <w:t xml:space="preserve">lightly more activity is seen for </w:t>
      </w:r>
      <w:r w:rsidR="006D1610">
        <w:t>fossil fueled</w:t>
      </w:r>
      <w:r w:rsidR="003E627D">
        <w:t xml:space="preserve"> energy</w:t>
      </w:r>
      <w:r w:rsidR="00A20B93">
        <w:t xml:space="preserve"> producing technolog</w:t>
      </w:r>
      <w:r w:rsidR="006D1610">
        <w:t>ies</w:t>
      </w:r>
      <w:r w:rsidR="006B28F5">
        <w:t xml:space="preserve"> (coal and oil)</w:t>
      </w:r>
      <w:r w:rsidR="00A20B93">
        <w:t>. Transport,</w:t>
      </w:r>
      <w:r w:rsidR="00B15C2E">
        <w:t xml:space="preserve"> feedstock,</w:t>
      </w:r>
      <w:r w:rsidR="00A20B93">
        <w:t xml:space="preserve"> export, and import</w:t>
      </w:r>
      <w:r w:rsidR="006B28F5">
        <w:t xml:space="preserve"> activities</w:t>
      </w:r>
      <w:r w:rsidR="00A20B93">
        <w:t xml:space="preserve"> has no change. </w:t>
      </w:r>
      <w:r w:rsidR="0064500A">
        <w:t xml:space="preserve"> </w:t>
      </w:r>
      <w:r w:rsidR="00B64DF9">
        <w:t>But also hydro</w:t>
      </w:r>
      <w:r w:rsidR="00075980">
        <w:t xml:space="preserve">, </w:t>
      </w:r>
      <w:r w:rsidR="006B5E37">
        <w:t>bio</w:t>
      </w:r>
      <w:r w:rsidR="00075980">
        <w:t>gas,</w:t>
      </w:r>
      <w:r w:rsidR="00761320">
        <w:t xml:space="preserve"> nuclear</w:t>
      </w:r>
      <w:r w:rsidR="00075980">
        <w:t xml:space="preserve"> and solar power</w:t>
      </w:r>
      <w:r w:rsidR="006B28F5">
        <w:t xml:space="preserve"> has no change</w:t>
      </w:r>
      <w:r w:rsidR="006723A6">
        <w:t xml:space="preserve"> meaning that the extra required energy demand is met by combustion of fossil fuels.</w:t>
      </w:r>
      <w:r w:rsidR="00B15953">
        <w:t xml:space="preserve"> See </w:t>
      </w:r>
      <w:r w:rsidR="00AE4C79">
        <w:t xml:space="preserve">the </w:t>
      </w:r>
      <w:r w:rsidR="00B15953">
        <w:t>appendix</w:t>
      </w:r>
      <w:r w:rsidR="00AE4C79">
        <w:t xml:space="preserve"> for the activity table</w:t>
      </w:r>
      <w:r w:rsidR="00B15953">
        <w:t>.</w:t>
      </w:r>
    </w:p>
    <w:p w14:paraId="64F01BF8" w14:textId="339A9E42" w:rsidR="00A50B0A" w:rsidRDefault="0010537D" w:rsidP="003D2B0B">
      <w:r>
        <w:t>When boundaries are strict,</w:t>
      </w:r>
      <w:r w:rsidR="00053231">
        <w:t xml:space="preserve"> meaning the lowest possible emission boundary is set,</w:t>
      </w:r>
      <w:r>
        <w:t xml:space="preserve"> </w:t>
      </w:r>
      <w:r w:rsidR="00A50B0A">
        <w:t>lower activity is seen from coal power</w:t>
      </w:r>
      <w:r w:rsidR="00B354F4">
        <w:t xml:space="preserve"> </w:t>
      </w:r>
      <w:r w:rsidR="00A50B0A">
        <w:t xml:space="preserve">plants, </w:t>
      </w:r>
      <w:r w:rsidR="0078480F">
        <w:t>gas combined cycle plants</w:t>
      </w:r>
      <w:r w:rsidR="00644B67">
        <w:t xml:space="preserve">, igcc plants, </w:t>
      </w:r>
      <w:r w:rsidR="003F2077">
        <w:t xml:space="preserve">and oil plants. Meanwhile, carbon capture and storage gas plants increase in activity along </w:t>
      </w:r>
      <w:r w:rsidR="00C5177F">
        <w:t xml:space="preserve">with less CO2 intensive energy sources: Nuclear, solar, </w:t>
      </w:r>
      <w:r w:rsidR="00941C67">
        <w:t xml:space="preserve">coal liquefaction, and wind power. </w:t>
      </w:r>
      <w:r w:rsidR="004851CA">
        <w:t xml:space="preserve">See </w:t>
      </w:r>
      <w:r w:rsidR="00314AE1">
        <w:fldChar w:fldCharType="begin"/>
      </w:r>
      <w:r w:rsidR="00314AE1">
        <w:instrText xml:space="preserve"> REF _Ref101219817 \h </w:instrText>
      </w:r>
      <w:r w:rsidR="00314AE1">
        <w:fldChar w:fldCharType="separate"/>
      </w:r>
      <w:r w:rsidR="001B47DF">
        <w:t xml:space="preserve">Figure </w:t>
      </w:r>
      <w:r w:rsidR="001B47DF">
        <w:rPr>
          <w:noProof/>
        </w:rPr>
        <w:t>3</w:t>
      </w:r>
      <w:r w:rsidR="00314AE1">
        <w:fldChar w:fldCharType="end"/>
      </w:r>
      <w:r w:rsidR="00314AE1">
        <w:t>.</w:t>
      </w:r>
    </w:p>
    <w:p w14:paraId="14901EFF" w14:textId="77777777" w:rsidR="00314AE1" w:rsidRDefault="006B3A89" w:rsidP="00314AE1">
      <w:pPr>
        <w:keepNext/>
      </w:pPr>
      <w:r>
        <w:rPr>
          <w:noProof/>
        </w:rPr>
        <w:drawing>
          <wp:inline distT="0" distB="0" distL="0" distR="0" wp14:anchorId="1E551AF4" wp14:editId="7E8DD756">
            <wp:extent cx="5731510" cy="3267710"/>
            <wp:effectExtent l="0" t="0" r="2540" b="889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0"/>
                    <a:stretch>
                      <a:fillRect/>
                    </a:stretch>
                  </pic:blipFill>
                  <pic:spPr>
                    <a:xfrm>
                      <a:off x="0" y="0"/>
                      <a:ext cx="5731510" cy="3267710"/>
                    </a:xfrm>
                    <a:prstGeom prst="rect">
                      <a:avLst/>
                    </a:prstGeom>
                  </pic:spPr>
                </pic:pic>
              </a:graphicData>
            </a:graphic>
          </wp:inline>
        </w:drawing>
      </w:r>
    </w:p>
    <w:p w14:paraId="7EF8879A" w14:textId="0AA52D8C" w:rsidR="0096323C" w:rsidRDefault="00314AE1" w:rsidP="00314AE1">
      <w:pPr>
        <w:pStyle w:val="Caption"/>
      </w:pPr>
      <w:bookmarkStart w:id="3" w:name="_Ref101219817"/>
      <w:r>
        <w:t xml:space="preserve">Figure </w:t>
      </w:r>
      <w:r>
        <w:fldChar w:fldCharType="begin"/>
      </w:r>
      <w:r>
        <w:instrText xml:space="preserve"> SEQ Figure \* ARABIC </w:instrText>
      </w:r>
      <w:r>
        <w:fldChar w:fldCharType="separate"/>
      </w:r>
      <w:r w:rsidR="00AE4F8A">
        <w:rPr>
          <w:noProof/>
        </w:rPr>
        <w:t>3</w:t>
      </w:r>
      <w:r>
        <w:fldChar w:fldCharType="end"/>
      </w:r>
      <w:bookmarkEnd w:id="3"/>
      <w:r>
        <w:t xml:space="preserve">: </w:t>
      </w:r>
      <w:r w:rsidRPr="000155C1">
        <w:t>Activity in MWa for all technologies producing electricity to the secondary level. All activity is in the cement scenario but where there are either high emissions due to the absence of emission bounds, or low emissions due to emission bounds.</w:t>
      </w:r>
    </w:p>
    <w:p w14:paraId="63B967F4" w14:textId="77777777" w:rsidR="00B15953" w:rsidRDefault="00B15953" w:rsidP="003D2B0B"/>
    <w:p w14:paraId="3CD7D3AE" w14:textId="714CF1B3" w:rsidR="006B124E" w:rsidRDefault="005A7A5E" w:rsidP="006B124E">
      <w:r>
        <w:t>Specifically for the clinker and cement production, t</w:t>
      </w:r>
      <w:r w:rsidR="001F60C1">
        <w:t>he CCS and optimized clinker technologies are only used at the lowest emission bound, indicating that it is cheaper to optimize the energy producing infrastructure than it is to optimize the cement producing infrastructure. The CCS technology is also used to its fullest extend, and in the lowest emission scenario the optimized clinker burning is only used to substitute where CCS is not possible (modelled with the introduction of share constraint for CCS)</w:t>
      </w:r>
      <w:r w:rsidR="00287B70">
        <w:t>, s</w:t>
      </w:r>
      <w:r w:rsidR="001F60C1">
        <w:t xml:space="preserve">ee </w:t>
      </w:r>
      <w:r w:rsidR="006B124E">
        <w:fldChar w:fldCharType="begin"/>
      </w:r>
      <w:r w:rsidR="006B124E">
        <w:instrText xml:space="preserve"> REF _Ref101219895 \h </w:instrText>
      </w:r>
      <w:r w:rsidR="006B124E">
        <w:fldChar w:fldCharType="separate"/>
      </w:r>
      <w:r w:rsidR="001B47DF">
        <w:t xml:space="preserve">Figure </w:t>
      </w:r>
      <w:r w:rsidR="001B47DF">
        <w:rPr>
          <w:noProof/>
        </w:rPr>
        <w:t>4</w:t>
      </w:r>
      <w:r w:rsidR="006B124E">
        <w:fldChar w:fldCharType="end"/>
      </w:r>
      <w:r w:rsidR="006B124E">
        <w:t xml:space="preserve">. </w:t>
      </w:r>
      <w:r w:rsidR="001F60C1">
        <w:t>Therefore, if clinker production must be improved, it should start with CCS wherever possible rather than the optimized kiln technology. This means that despite a lower cost and energy consumption of the optimized kiln, the CCS technology is cheaper per CO2 emission saved. CCS is used before 2040, meaning that even before the cost drops for the technology, it is still preferred over the optimized kiln.</w:t>
      </w:r>
    </w:p>
    <w:p w14:paraId="0E9B7A44" w14:textId="04AB5B3D" w:rsidR="006B124E" w:rsidRDefault="001F60C1" w:rsidP="006B124E">
      <w:r>
        <w:rPr>
          <w:noProof/>
        </w:rPr>
        <w:lastRenderedPageBreak/>
        <w:drawing>
          <wp:inline distT="0" distB="0" distL="0" distR="0" wp14:anchorId="78D91930" wp14:editId="3C6B5927">
            <wp:extent cx="4659256" cy="2461260"/>
            <wp:effectExtent l="0" t="0" r="825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1"/>
                    <a:stretch>
                      <a:fillRect/>
                    </a:stretch>
                  </pic:blipFill>
                  <pic:spPr>
                    <a:xfrm>
                      <a:off x="0" y="0"/>
                      <a:ext cx="4659766" cy="2461530"/>
                    </a:xfrm>
                    <a:prstGeom prst="rect">
                      <a:avLst/>
                    </a:prstGeom>
                  </pic:spPr>
                </pic:pic>
              </a:graphicData>
            </a:graphic>
          </wp:inline>
        </w:drawing>
      </w:r>
    </w:p>
    <w:p w14:paraId="7DAE3739" w14:textId="40DA69E7" w:rsidR="006B124E" w:rsidRDefault="006B124E" w:rsidP="006B124E">
      <w:pPr>
        <w:pStyle w:val="Caption"/>
      </w:pPr>
      <w:bookmarkStart w:id="4" w:name="_Ref101219895"/>
      <w:r>
        <w:t xml:space="preserve">Figure </w:t>
      </w:r>
      <w:r>
        <w:fldChar w:fldCharType="begin"/>
      </w:r>
      <w:r>
        <w:instrText xml:space="preserve"> SEQ Figure \* ARABIC </w:instrText>
      </w:r>
      <w:r>
        <w:fldChar w:fldCharType="separate"/>
      </w:r>
      <w:r w:rsidR="00AE4F8A">
        <w:rPr>
          <w:noProof/>
        </w:rPr>
        <w:t>4</w:t>
      </w:r>
      <w:r>
        <w:fldChar w:fldCharType="end"/>
      </w:r>
      <w:bookmarkEnd w:id="4"/>
      <w:r>
        <w:t xml:space="preserve">: </w:t>
      </w:r>
      <w:r w:rsidRPr="00614B50">
        <w:t>The activity of clinker producing technologies in the cement scenario where the lowest possible bound of 211Mt CO2 is set. For other bounds, only conventional clinker burning is used.</w:t>
      </w:r>
    </w:p>
    <w:p w14:paraId="0B3DFAB9" w14:textId="7CE5953F" w:rsidR="001F60C1" w:rsidRDefault="001F60C1" w:rsidP="001F60C1">
      <w:r>
        <w:t xml:space="preserve"> </w:t>
      </w:r>
    </w:p>
    <w:p w14:paraId="63C82F65" w14:textId="1EE17615" w:rsidR="001F60C1" w:rsidRDefault="002F73EE" w:rsidP="001F60C1">
      <w:r>
        <w:t xml:space="preserve">The preferred choice of fuel for the different scenarios are </w:t>
      </w:r>
      <w:r w:rsidR="0002143B">
        <w:t xml:space="preserve">expected to be </w:t>
      </w:r>
      <w:r>
        <w:t xml:space="preserve">dependent on the commodity price which </w:t>
      </w:r>
      <w:r w:rsidR="008C28E4">
        <w:t xml:space="preserve">changes differently dependent on the emission bounds introduced to the scenario. </w:t>
      </w:r>
      <w:r w:rsidR="001F60C1">
        <w:t xml:space="preserve">As shown in </w:t>
      </w:r>
      <w:r w:rsidR="00287B70">
        <w:fldChar w:fldCharType="begin"/>
      </w:r>
      <w:r w:rsidR="00287B70">
        <w:instrText xml:space="preserve"> REF _Ref101220008 \h </w:instrText>
      </w:r>
      <w:r w:rsidR="00287B70">
        <w:fldChar w:fldCharType="separate"/>
      </w:r>
      <w:r w:rsidR="001B47DF">
        <w:t xml:space="preserve">Figure </w:t>
      </w:r>
      <w:r w:rsidR="001B47DF">
        <w:rPr>
          <w:noProof/>
        </w:rPr>
        <w:t>5</w:t>
      </w:r>
      <w:r w:rsidR="00287B70">
        <w:fldChar w:fldCharType="end"/>
      </w:r>
      <w:r w:rsidR="00287B70">
        <w:t xml:space="preserve">, </w:t>
      </w:r>
      <w:r w:rsidR="001F60C1">
        <w:t>gas replaces light</w:t>
      </w:r>
      <w:r w:rsidR="00287B70">
        <w:t xml:space="preserve"> </w:t>
      </w:r>
      <w:r w:rsidR="001F60C1">
        <w:t>oil when emission bounds have been introduced to the cement scenario, while coal replaces fuel</w:t>
      </w:r>
      <w:r w:rsidR="00287B70">
        <w:t xml:space="preserve"> </w:t>
      </w:r>
      <w:r w:rsidR="001F60C1">
        <w:t xml:space="preserve">oil when no emission bounds are introduced. When emissions bounds are not introduced, coal is preferred due to smaller costs. </w:t>
      </w:r>
      <w:r w:rsidR="008C28E4">
        <w:t>The</w:t>
      </w:r>
      <w:r w:rsidR="00FB0A79">
        <w:t xml:space="preserve"> commodity prices are</w:t>
      </w:r>
      <w:r w:rsidR="001F60C1">
        <w:t xml:space="preserve"> seen in </w:t>
      </w:r>
      <w:r w:rsidR="00633842">
        <w:fldChar w:fldCharType="begin"/>
      </w:r>
      <w:r w:rsidR="00633842">
        <w:instrText xml:space="preserve"> REF _Ref101220090 \h </w:instrText>
      </w:r>
      <w:r w:rsidR="00633842">
        <w:fldChar w:fldCharType="separate"/>
      </w:r>
      <w:r w:rsidR="00633842">
        <w:t xml:space="preserve">Table </w:t>
      </w:r>
      <w:r w:rsidR="00633842">
        <w:rPr>
          <w:noProof/>
        </w:rPr>
        <w:t>2</w:t>
      </w:r>
      <w:r w:rsidR="00633842">
        <w:fldChar w:fldCharType="end"/>
      </w:r>
      <w:r w:rsidR="00633842">
        <w:t xml:space="preserve"> and </w:t>
      </w:r>
      <w:r w:rsidR="00633842">
        <w:fldChar w:fldCharType="begin"/>
      </w:r>
      <w:r w:rsidR="00633842">
        <w:instrText xml:space="preserve"> REF _Ref101220099 \h </w:instrText>
      </w:r>
      <w:r w:rsidR="00633842">
        <w:fldChar w:fldCharType="separate"/>
      </w:r>
      <w:r w:rsidR="00633842">
        <w:rPr>
          <w:noProof/>
        </w:rPr>
        <w:t>3</w:t>
      </w:r>
      <w:r w:rsidR="00633842">
        <w:fldChar w:fldCharType="end"/>
      </w:r>
      <w:r w:rsidR="00633842">
        <w:t xml:space="preserve"> </w:t>
      </w:r>
      <w:r w:rsidR="00FB0A79">
        <w:t xml:space="preserve">and shows the </w:t>
      </w:r>
      <w:r w:rsidR="0002143B">
        <w:t>strong relation between change of fuel with price change</w:t>
      </w:r>
      <w:r w:rsidR="001F60C1">
        <w:t>.</w:t>
      </w:r>
    </w:p>
    <w:p w14:paraId="2650FCA5" w14:textId="77777777" w:rsidR="00287B70" w:rsidRDefault="001F60C1" w:rsidP="00287B70">
      <w:pPr>
        <w:keepNext/>
      </w:pPr>
      <w:r>
        <w:rPr>
          <w:noProof/>
        </w:rPr>
        <w:drawing>
          <wp:inline distT="0" distB="0" distL="0" distR="0" wp14:anchorId="4093FFF2" wp14:editId="08CEB7FD">
            <wp:extent cx="5731510" cy="2372995"/>
            <wp:effectExtent l="0" t="0" r="2540" b="825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2"/>
                    <a:stretch>
                      <a:fillRect/>
                    </a:stretch>
                  </pic:blipFill>
                  <pic:spPr>
                    <a:xfrm>
                      <a:off x="0" y="0"/>
                      <a:ext cx="5731510" cy="2372995"/>
                    </a:xfrm>
                    <a:prstGeom prst="rect">
                      <a:avLst/>
                    </a:prstGeom>
                  </pic:spPr>
                </pic:pic>
              </a:graphicData>
            </a:graphic>
          </wp:inline>
        </w:drawing>
      </w:r>
    </w:p>
    <w:p w14:paraId="11CF2BA2" w14:textId="0FA2D9BC" w:rsidR="001F60C1" w:rsidRDefault="00287B70" w:rsidP="00287B70">
      <w:pPr>
        <w:pStyle w:val="Caption"/>
      </w:pPr>
      <w:bookmarkStart w:id="5" w:name="_Ref101220008"/>
      <w:r>
        <w:t xml:space="preserve">Figure </w:t>
      </w:r>
      <w:r>
        <w:fldChar w:fldCharType="begin"/>
      </w:r>
      <w:r>
        <w:instrText xml:space="preserve"> SEQ Figure \* ARABIC </w:instrText>
      </w:r>
      <w:r>
        <w:fldChar w:fldCharType="separate"/>
      </w:r>
      <w:r w:rsidR="00AE4F8A">
        <w:rPr>
          <w:noProof/>
        </w:rPr>
        <w:t>5</w:t>
      </w:r>
      <w:r>
        <w:fldChar w:fldCharType="end"/>
      </w:r>
      <w:bookmarkEnd w:id="5"/>
      <w:r>
        <w:t>: Activity of fuel producing technologies with output of the fuels that are used by clinker production.</w:t>
      </w:r>
    </w:p>
    <w:p w14:paraId="53C99594" w14:textId="58223D3D" w:rsidR="001F60C1" w:rsidRPr="00BA2E3E" w:rsidRDefault="00633842" w:rsidP="00633842">
      <w:pPr>
        <w:pStyle w:val="Caption"/>
        <w:rPr>
          <w:i w:val="0"/>
          <w:iCs w:val="0"/>
        </w:rPr>
      </w:pPr>
      <w:bookmarkStart w:id="6" w:name="_Ref101220090"/>
      <w:r>
        <w:t xml:space="preserve">Table </w:t>
      </w:r>
      <w:r>
        <w:fldChar w:fldCharType="begin"/>
      </w:r>
      <w:r>
        <w:instrText xml:space="preserve"> SEQ Table \* ARABIC </w:instrText>
      </w:r>
      <w:r>
        <w:fldChar w:fldCharType="separate"/>
      </w:r>
      <w:r>
        <w:rPr>
          <w:noProof/>
        </w:rPr>
        <w:t>2</w:t>
      </w:r>
      <w:r>
        <w:fldChar w:fldCharType="end"/>
      </w:r>
      <w:bookmarkEnd w:id="6"/>
      <w:r>
        <w:t xml:space="preserve">: </w:t>
      </w:r>
      <w:r w:rsidRPr="002020C3">
        <w:t>No emissions bounds, commodity prices in million USD per MWa.</w:t>
      </w:r>
    </w:p>
    <w:tbl>
      <w:tblPr>
        <w:tblW w:w="8440" w:type="dxa"/>
        <w:tblLook w:val="04A0" w:firstRow="1" w:lastRow="0" w:firstColumn="1" w:lastColumn="0" w:noHBand="0" w:noVBand="1"/>
      </w:tblPr>
      <w:tblGrid>
        <w:gridCol w:w="1846"/>
        <w:gridCol w:w="1120"/>
        <w:gridCol w:w="1120"/>
        <w:gridCol w:w="1120"/>
        <w:gridCol w:w="1120"/>
        <w:gridCol w:w="1120"/>
        <w:gridCol w:w="1120"/>
      </w:tblGrid>
      <w:tr w:rsidR="001F60C1" w:rsidRPr="00B7049E" w14:paraId="40494AA3" w14:textId="77777777" w:rsidTr="007635B3">
        <w:trPr>
          <w:trHeight w:val="288"/>
        </w:trPr>
        <w:tc>
          <w:tcPr>
            <w:tcW w:w="1720" w:type="dxa"/>
            <w:tcBorders>
              <w:top w:val="single" w:sz="4" w:space="0" w:color="auto"/>
              <w:left w:val="single" w:sz="4" w:space="0" w:color="auto"/>
              <w:bottom w:val="single" w:sz="4" w:space="0" w:color="auto"/>
              <w:right w:val="single" w:sz="4" w:space="0" w:color="auto"/>
            </w:tcBorders>
            <w:shd w:val="clear" w:color="4F81BD" w:fill="4F81BD"/>
            <w:noWrap/>
            <w:hideMark/>
          </w:tcPr>
          <w:p w14:paraId="777C43A7" w14:textId="77777777" w:rsidR="001F60C1" w:rsidRPr="00B7049E" w:rsidRDefault="001F60C1" w:rsidP="007635B3">
            <w:pPr>
              <w:spacing w:after="0" w:line="240" w:lineRule="auto"/>
              <w:jc w:val="center"/>
              <w:rPr>
                <w:rFonts w:ascii="Calibri" w:eastAsia="Times New Roman" w:hAnsi="Calibri" w:cs="Calibri"/>
                <w:b/>
                <w:bCs/>
                <w:color w:val="FFFFFF" w:themeColor="background1"/>
                <w:lang w:val="en-DK" w:eastAsia="en-DK"/>
              </w:rPr>
            </w:pPr>
            <w:r w:rsidRPr="00B7049E">
              <w:rPr>
                <w:rFonts w:ascii="Calibri" w:eastAsia="Times New Roman" w:hAnsi="Calibri" w:cs="Calibri"/>
                <w:b/>
                <w:bCs/>
                <w:color w:val="FFFFFF" w:themeColor="background1"/>
                <w:lang w:val="en-DK" w:eastAsia="en-DK"/>
              </w:rPr>
              <w:t>Commodity|level</w:t>
            </w:r>
          </w:p>
        </w:tc>
        <w:tc>
          <w:tcPr>
            <w:tcW w:w="1120" w:type="dxa"/>
            <w:tcBorders>
              <w:top w:val="single" w:sz="4" w:space="0" w:color="auto"/>
              <w:left w:val="nil"/>
              <w:bottom w:val="single" w:sz="4" w:space="0" w:color="auto"/>
              <w:right w:val="single" w:sz="4" w:space="0" w:color="auto"/>
            </w:tcBorders>
            <w:shd w:val="clear" w:color="4F81BD" w:fill="4F81BD"/>
            <w:noWrap/>
            <w:hideMark/>
          </w:tcPr>
          <w:p w14:paraId="753C454A" w14:textId="77777777" w:rsidR="001F60C1" w:rsidRPr="00B7049E" w:rsidRDefault="001F60C1" w:rsidP="007635B3">
            <w:pPr>
              <w:spacing w:after="0" w:line="240" w:lineRule="auto"/>
              <w:jc w:val="center"/>
              <w:rPr>
                <w:rFonts w:ascii="Calibri" w:eastAsia="Times New Roman" w:hAnsi="Calibri" w:cs="Calibri"/>
                <w:b/>
                <w:bCs/>
                <w:color w:val="FFFFFF" w:themeColor="background1"/>
                <w:lang w:val="en-DK" w:eastAsia="en-DK"/>
              </w:rPr>
            </w:pPr>
            <w:r w:rsidRPr="00B7049E">
              <w:rPr>
                <w:rFonts w:ascii="Calibri" w:eastAsia="Times New Roman" w:hAnsi="Calibri" w:cs="Calibri"/>
                <w:b/>
                <w:bCs/>
                <w:color w:val="FFFFFF" w:themeColor="background1"/>
                <w:lang w:val="en-DK" w:eastAsia="en-DK"/>
              </w:rPr>
              <w:t>2020</w:t>
            </w:r>
          </w:p>
        </w:tc>
        <w:tc>
          <w:tcPr>
            <w:tcW w:w="1120" w:type="dxa"/>
            <w:tcBorders>
              <w:top w:val="single" w:sz="4" w:space="0" w:color="auto"/>
              <w:left w:val="nil"/>
              <w:bottom w:val="single" w:sz="4" w:space="0" w:color="auto"/>
              <w:right w:val="single" w:sz="4" w:space="0" w:color="auto"/>
            </w:tcBorders>
            <w:shd w:val="clear" w:color="4F81BD" w:fill="4F81BD"/>
            <w:noWrap/>
            <w:hideMark/>
          </w:tcPr>
          <w:p w14:paraId="243B302E" w14:textId="77777777" w:rsidR="001F60C1" w:rsidRPr="00B7049E" w:rsidRDefault="001F60C1" w:rsidP="007635B3">
            <w:pPr>
              <w:spacing w:after="0" w:line="240" w:lineRule="auto"/>
              <w:jc w:val="center"/>
              <w:rPr>
                <w:rFonts w:ascii="Calibri" w:eastAsia="Times New Roman" w:hAnsi="Calibri" w:cs="Calibri"/>
                <w:b/>
                <w:bCs/>
                <w:color w:val="FFFFFF" w:themeColor="background1"/>
                <w:lang w:val="en-DK" w:eastAsia="en-DK"/>
              </w:rPr>
            </w:pPr>
            <w:r w:rsidRPr="00B7049E">
              <w:rPr>
                <w:rFonts w:ascii="Calibri" w:eastAsia="Times New Roman" w:hAnsi="Calibri" w:cs="Calibri"/>
                <w:b/>
                <w:bCs/>
                <w:color w:val="FFFFFF" w:themeColor="background1"/>
                <w:lang w:val="en-DK" w:eastAsia="en-DK"/>
              </w:rPr>
              <w:t>2030</w:t>
            </w:r>
          </w:p>
        </w:tc>
        <w:tc>
          <w:tcPr>
            <w:tcW w:w="1120" w:type="dxa"/>
            <w:tcBorders>
              <w:top w:val="single" w:sz="4" w:space="0" w:color="auto"/>
              <w:left w:val="nil"/>
              <w:bottom w:val="single" w:sz="4" w:space="0" w:color="auto"/>
              <w:right w:val="single" w:sz="4" w:space="0" w:color="auto"/>
            </w:tcBorders>
            <w:shd w:val="clear" w:color="4F81BD" w:fill="4F81BD"/>
            <w:noWrap/>
            <w:hideMark/>
          </w:tcPr>
          <w:p w14:paraId="0DB417C6" w14:textId="77777777" w:rsidR="001F60C1" w:rsidRPr="00B7049E" w:rsidRDefault="001F60C1" w:rsidP="007635B3">
            <w:pPr>
              <w:spacing w:after="0" w:line="240" w:lineRule="auto"/>
              <w:jc w:val="center"/>
              <w:rPr>
                <w:rFonts w:ascii="Calibri" w:eastAsia="Times New Roman" w:hAnsi="Calibri" w:cs="Calibri"/>
                <w:b/>
                <w:bCs/>
                <w:color w:val="FFFFFF" w:themeColor="background1"/>
                <w:lang w:val="en-DK" w:eastAsia="en-DK"/>
              </w:rPr>
            </w:pPr>
            <w:r w:rsidRPr="00B7049E">
              <w:rPr>
                <w:rFonts w:ascii="Calibri" w:eastAsia="Times New Roman" w:hAnsi="Calibri" w:cs="Calibri"/>
                <w:b/>
                <w:bCs/>
                <w:color w:val="FFFFFF" w:themeColor="background1"/>
                <w:lang w:val="en-DK" w:eastAsia="en-DK"/>
              </w:rPr>
              <w:t>2040</w:t>
            </w:r>
          </w:p>
        </w:tc>
        <w:tc>
          <w:tcPr>
            <w:tcW w:w="1120" w:type="dxa"/>
            <w:tcBorders>
              <w:top w:val="single" w:sz="4" w:space="0" w:color="auto"/>
              <w:left w:val="nil"/>
              <w:bottom w:val="single" w:sz="4" w:space="0" w:color="auto"/>
              <w:right w:val="single" w:sz="4" w:space="0" w:color="auto"/>
            </w:tcBorders>
            <w:shd w:val="clear" w:color="4F81BD" w:fill="4F81BD"/>
            <w:noWrap/>
            <w:hideMark/>
          </w:tcPr>
          <w:p w14:paraId="5100D035" w14:textId="77777777" w:rsidR="001F60C1" w:rsidRPr="00B7049E" w:rsidRDefault="001F60C1" w:rsidP="007635B3">
            <w:pPr>
              <w:spacing w:after="0" w:line="240" w:lineRule="auto"/>
              <w:jc w:val="center"/>
              <w:rPr>
                <w:rFonts w:ascii="Calibri" w:eastAsia="Times New Roman" w:hAnsi="Calibri" w:cs="Calibri"/>
                <w:b/>
                <w:bCs/>
                <w:color w:val="FFFFFF" w:themeColor="background1"/>
                <w:lang w:val="en-DK" w:eastAsia="en-DK"/>
              </w:rPr>
            </w:pPr>
            <w:r w:rsidRPr="00B7049E">
              <w:rPr>
                <w:rFonts w:ascii="Calibri" w:eastAsia="Times New Roman" w:hAnsi="Calibri" w:cs="Calibri"/>
                <w:b/>
                <w:bCs/>
                <w:color w:val="FFFFFF" w:themeColor="background1"/>
                <w:lang w:val="en-DK" w:eastAsia="en-DK"/>
              </w:rPr>
              <w:t>2050</w:t>
            </w:r>
          </w:p>
        </w:tc>
        <w:tc>
          <w:tcPr>
            <w:tcW w:w="1120" w:type="dxa"/>
            <w:tcBorders>
              <w:top w:val="single" w:sz="4" w:space="0" w:color="auto"/>
              <w:left w:val="nil"/>
              <w:bottom w:val="single" w:sz="4" w:space="0" w:color="auto"/>
              <w:right w:val="single" w:sz="4" w:space="0" w:color="auto"/>
            </w:tcBorders>
            <w:shd w:val="clear" w:color="4F81BD" w:fill="4F81BD"/>
            <w:noWrap/>
            <w:hideMark/>
          </w:tcPr>
          <w:p w14:paraId="274073D2" w14:textId="77777777" w:rsidR="001F60C1" w:rsidRPr="00B7049E" w:rsidRDefault="001F60C1" w:rsidP="007635B3">
            <w:pPr>
              <w:spacing w:after="0" w:line="240" w:lineRule="auto"/>
              <w:jc w:val="center"/>
              <w:rPr>
                <w:rFonts w:ascii="Calibri" w:eastAsia="Times New Roman" w:hAnsi="Calibri" w:cs="Calibri"/>
                <w:b/>
                <w:bCs/>
                <w:color w:val="FFFFFF" w:themeColor="background1"/>
                <w:lang w:val="en-DK" w:eastAsia="en-DK"/>
              </w:rPr>
            </w:pPr>
            <w:r w:rsidRPr="00B7049E">
              <w:rPr>
                <w:rFonts w:ascii="Calibri" w:eastAsia="Times New Roman" w:hAnsi="Calibri" w:cs="Calibri"/>
                <w:b/>
                <w:bCs/>
                <w:color w:val="FFFFFF" w:themeColor="background1"/>
                <w:lang w:val="en-DK" w:eastAsia="en-DK"/>
              </w:rPr>
              <w:t>2060</w:t>
            </w:r>
          </w:p>
        </w:tc>
        <w:tc>
          <w:tcPr>
            <w:tcW w:w="1120" w:type="dxa"/>
            <w:tcBorders>
              <w:top w:val="single" w:sz="4" w:space="0" w:color="auto"/>
              <w:left w:val="nil"/>
              <w:bottom w:val="single" w:sz="4" w:space="0" w:color="auto"/>
              <w:right w:val="single" w:sz="4" w:space="0" w:color="auto"/>
            </w:tcBorders>
            <w:shd w:val="clear" w:color="4F81BD" w:fill="4F81BD"/>
            <w:noWrap/>
            <w:hideMark/>
          </w:tcPr>
          <w:p w14:paraId="6EA80EB6" w14:textId="77777777" w:rsidR="001F60C1" w:rsidRPr="00B7049E" w:rsidRDefault="001F60C1" w:rsidP="007635B3">
            <w:pPr>
              <w:spacing w:after="0" w:line="240" w:lineRule="auto"/>
              <w:jc w:val="center"/>
              <w:rPr>
                <w:rFonts w:ascii="Calibri" w:eastAsia="Times New Roman" w:hAnsi="Calibri" w:cs="Calibri"/>
                <w:b/>
                <w:bCs/>
                <w:color w:val="FFFFFF" w:themeColor="background1"/>
                <w:lang w:val="en-DK" w:eastAsia="en-DK"/>
              </w:rPr>
            </w:pPr>
            <w:r w:rsidRPr="00B7049E">
              <w:rPr>
                <w:rFonts w:ascii="Calibri" w:eastAsia="Times New Roman" w:hAnsi="Calibri" w:cs="Calibri"/>
                <w:b/>
                <w:bCs/>
                <w:color w:val="FFFFFF" w:themeColor="background1"/>
                <w:lang w:val="en-DK" w:eastAsia="en-DK"/>
              </w:rPr>
              <w:t>2070</w:t>
            </w:r>
          </w:p>
        </w:tc>
      </w:tr>
      <w:tr w:rsidR="001F60C1" w:rsidRPr="00B7049E" w14:paraId="1E00D8A2" w14:textId="77777777" w:rsidTr="007635B3">
        <w:trPr>
          <w:trHeight w:val="288"/>
        </w:trPr>
        <w:tc>
          <w:tcPr>
            <w:tcW w:w="17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6C1260E" w14:textId="77777777" w:rsidR="001F60C1" w:rsidRPr="00B7049E" w:rsidRDefault="001F60C1" w:rsidP="007635B3">
            <w:pPr>
              <w:spacing w:after="0" w:line="240" w:lineRule="auto"/>
              <w:rPr>
                <w:rFonts w:ascii="Calibri" w:eastAsia="Times New Roman" w:hAnsi="Calibri" w:cs="Calibri"/>
                <w:color w:val="000000"/>
                <w:lang w:val="en-DK" w:eastAsia="en-DK"/>
              </w:rPr>
            </w:pPr>
            <w:r w:rsidRPr="00B7049E">
              <w:rPr>
                <w:rFonts w:ascii="Calibri" w:eastAsia="Times New Roman" w:hAnsi="Calibri" w:cs="Calibri"/>
                <w:color w:val="000000"/>
                <w:lang w:val="en-DK" w:eastAsia="en-DK"/>
              </w:rPr>
              <w:t>coal|secondary</w:t>
            </w:r>
          </w:p>
        </w:tc>
        <w:tc>
          <w:tcPr>
            <w:tcW w:w="1120" w:type="dxa"/>
            <w:tcBorders>
              <w:top w:val="single" w:sz="4" w:space="0" w:color="FFFFFF"/>
              <w:left w:val="nil"/>
              <w:bottom w:val="single" w:sz="4" w:space="0" w:color="FFFFFF"/>
              <w:right w:val="single" w:sz="4" w:space="0" w:color="FFFFFF"/>
            </w:tcBorders>
            <w:shd w:val="clear" w:color="DCE6F1" w:fill="DCE6F1"/>
            <w:noWrap/>
            <w:vAlign w:val="bottom"/>
            <w:hideMark/>
          </w:tcPr>
          <w:p w14:paraId="4ADDD4EE" w14:textId="77777777" w:rsidR="001F60C1" w:rsidRPr="00B7049E" w:rsidRDefault="001F60C1" w:rsidP="007635B3">
            <w:pPr>
              <w:spacing w:after="0" w:line="240" w:lineRule="auto"/>
              <w:jc w:val="right"/>
              <w:rPr>
                <w:rFonts w:ascii="Calibri" w:eastAsia="Times New Roman" w:hAnsi="Calibri" w:cs="Calibri"/>
                <w:color w:val="000000"/>
                <w:lang w:val="en-DK" w:eastAsia="en-DK"/>
              </w:rPr>
            </w:pPr>
            <w:r w:rsidRPr="00B7049E">
              <w:rPr>
                <w:rFonts w:ascii="Calibri" w:eastAsia="Times New Roman" w:hAnsi="Calibri" w:cs="Calibri"/>
                <w:color w:val="000000"/>
                <w:lang w:val="en-DK" w:eastAsia="en-DK"/>
              </w:rPr>
              <w:t>285</w:t>
            </w:r>
          </w:p>
        </w:tc>
        <w:tc>
          <w:tcPr>
            <w:tcW w:w="1120" w:type="dxa"/>
            <w:tcBorders>
              <w:top w:val="single" w:sz="4" w:space="0" w:color="FFFFFF"/>
              <w:left w:val="nil"/>
              <w:bottom w:val="single" w:sz="4" w:space="0" w:color="FFFFFF"/>
              <w:right w:val="single" w:sz="4" w:space="0" w:color="FFFFFF"/>
            </w:tcBorders>
            <w:shd w:val="clear" w:color="DCE6F1" w:fill="DCE6F1"/>
            <w:noWrap/>
            <w:vAlign w:val="bottom"/>
            <w:hideMark/>
          </w:tcPr>
          <w:p w14:paraId="3B3E933D" w14:textId="77777777" w:rsidR="001F60C1" w:rsidRPr="00B7049E" w:rsidRDefault="001F60C1" w:rsidP="007635B3">
            <w:pPr>
              <w:spacing w:after="0" w:line="240" w:lineRule="auto"/>
              <w:jc w:val="right"/>
              <w:rPr>
                <w:rFonts w:ascii="Calibri" w:eastAsia="Times New Roman" w:hAnsi="Calibri" w:cs="Calibri"/>
                <w:color w:val="000000"/>
                <w:lang w:val="en-DK" w:eastAsia="en-DK"/>
              </w:rPr>
            </w:pPr>
            <w:r w:rsidRPr="00B7049E">
              <w:rPr>
                <w:rFonts w:ascii="Calibri" w:eastAsia="Times New Roman" w:hAnsi="Calibri" w:cs="Calibri"/>
                <w:color w:val="000000"/>
                <w:lang w:val="en-DK" w:eastAsia="en-DK"/>
              </w:rPr>
              <w:t>41</w:t>
            </w:r>
          </w:p>
        </w:tc>
        <w:tc>
          <w:tcPr>
            <w:tcW w:w="1120" w:type="dxa"/>
            <w:tcBorders>
              <w:top w:val="single" w:sz="4" w:space="0" w:color="FFFFFF"/>
              <w:left w:val="nil"/>
              <w:bottom w:val="single" w:sz="4" w:space="0" w:color="FFFFFF"/>
              <w:right w:val="single" w:sz="4" w:space="0" w:color="FFFFFF"/>
            </w:tcBorders>
            <w:shd w:val="clear" w:color="DCE6F1" w:fill="DCE6F1"/>
            <w:noWrap/>
            <w:vAlign w:val="bottom"/>
            <w:hideMark/>
          </w:tcPr>
          <w:p w14:paraId="6AA370C3" w14:textId="77777777" w:rsidR="001F60C1" w:rsidRPr="00B7049E" w:rsidRDefault="001F60C1" w:rsidP="007635B3">
            <w:pPr>
              <w:spacing w:after="0" w:line="240" w:lineRule="auto"/>
              <w:jc w:val="right"/>
              <w:rPr>
                <w:rFonts w:ascii="Calibri" w:eastAsia="Times New Roman" w:hAnsi="Calibri" w:cs="Calibri"/>
                <w:color w:val="000000"/>
                <w:lang w:val="en-DK" w:eastAsia="en-DK"/>
              </w:rPr>
            </w:pPr>
            <w:r w:rsidRPr="00B7049E">
              <w:rPr>
                <w:rFonts w:ascii="Calibri" w:eastAsia="Times New Roman" w:hAnsi="Calibri" w:cs="Calibri"/>
                <w:color w:val="000000"/>
                <w:lang w:val="en-DK" w:eastAsia="en-DK"/>
              </w:rPr>
              <w:t>37</w:t>
            </w:r>
          </w:p>
        </w:tc>
        <w:tc>
          <w:tcPr>
            <w:tcW w:w="1120" w:type="dxa"/>
            <w:tcBorders>
              <w:top w:val="single" w:sz="4" w:space="0" w:color="FFFFFF"/>
              <w:left w:val="nil"/>
              <w:bottom w:val="single" w:sz="4" w:space="0" w:color="FFFFFF"/>
              <w:right w:val="single" w:sz="4" w:space="0" w:color="FFFFFF"/>
            </w:tcBorders>
            <w:shd w:val="clear" w:color="DCE6F1" w:fill="DCE6F1"/>
            <w:noWrap/>
            <w:vAlign w:val="bottom"/>
            <w:hideMark/>
          </w:tcPr>
          <w:p w14:paraId="1B29CE5F" w14:textId="77777777" w:rsidR="001F60C1" w:rsidRPr="00B7049E" w:rsidRDefault="001F60C1" w:rsidP="007635B3">
            <w:pPr>
              <w:spacing w:after="0" w:line="240" w:lineRule="auto"/>
              <w:jc w:val="right"/>
              <w:rPr>
                <w:rFonts w:ascii="Calibri" w:eastAsia="Times New Roman" w:hAnsi="Calibri" w:cs="Calibri"/>
                <w:color w:val="000000"/>
                <w:lang w:val="en-DK" w:eastAsia="en-DK"/>
              </w:rPr>
            </w:pPr>
            <w:r w:rsidRPr="00B7049E">
              <w:rPr>
                <w:rFonts w:ascii="Calibri" w:eastAsia="Times New Roman" w:hAnsi="Calibri" w:cs="Calibri"/>
                <w:color w:val="000000"/>
                <w:lang w:val="en-DK" w:eastAsia="en-DK"/>
              </w:rPr>
              <w:t>37</w:t>
            </w:r>
          </w:p>
        </w:tc>
        <w:tc>
          <w:tcPr>
            <w:tcW w:w="1120" w:type="dxa"/>
            <w:tcBorders>
              <w:top w:val="single" w:sz="4" w:space="0" w:color="FFFFFF"/>
              <w:left w:val="nil"/>
              <w:bottom w:val="single" w:sz="4" w:space="0" w:color="FFFFFF"/>
              <w:right w:val="single" w:sz="4" w:space="0" w:color="FFFFFF"/>
            </w:tcBorders>
            <w:shd w:val="clear" w:color="DCE6F1" w:fill="DCE6F1"/>
            <w:noWrap/>
            <w:vAlign w:val="bottom"/>
            <w:hideMark/>
          </w:tcPr>
          <w:p w14:paraId="2DDECAB6" w14:textId="77777777" w:rsidR="001F60C1" w:rsidRPr="00B7049E" w:rsidRDefault="001F60C1" w:rsidP="007635B3">
            <w:pPr>
              <w:spacing w:after="0" w:line="240" w:lineRule="auto"/>
              <w:jc w:val="right"/>
              <w:rPr>
                <w:rFonts w:ascii="Calibri" w:eastAsia="Times New Roman" w:hAnsi="Calibri" w:cs="Calibri"/>
                <w:color w:val="000000"/>
                <w:lang w:val="en-DK" w:eastAsia="en-DK"/>
              </w:rPr>
            </w:pPr>
            <w:r w:rsidRPr="00B7049E">
              <w:rPr>
                <w:rFonts w:ascii="Calibri" w:eastAsia="Times New Roman" w:hAnsi="Calibri" w:cs="Calibri"/>
                <w:color w:val="000000"/>
                <w:lang w:val="en-DK" w:eastAsia="en-DK"/>
              </w:rPr>
              <w:t>37</w:t>
            </w:r>
          </w:p>
        </w:tc>
        <w:tc>
          <w:tcPr>
            <w:tcW w:w="1120" w:type="dxa"/>
            <w:tcBorders>
              <w:top w:val="single" w:sz="4" w:space="0" w:color="FFFFFF"/>
              <w:left w:val="nil"/>
              <w:bottom w:val="single" w:sz="4" w:space="0" w:color="FFFFFF"/>
              <w:right w:val="single" w:sz="4" w:space="0" w:color="FFFFFF"/>
            </w:tcBorders>
            <w:shd w:val="clear" w:color="DCE6F1" w:fill="DCE6F1"/>
            <w:noWrap/>
            <w:vAlign w:val="bottom"/>
            <w:hideMark/>
          </w:tcPr>
          <w:p w14:paraId="5713646F" w14:textId="77777777" w:rsidR="001F60C1" w:rsidRPr="00B7049E" w:rsidRDefault="001F60C1" w:rsidP="007635B3">
            <w:pPr>
              <w:spacing w:after="0" w:line="240" w:lineRule="auto"/>
              <w:jc w:val="right"/>
              <w:rPr>
                <w:rFonts w:ascii="Calibri" w:eastAsia="Times New Roman" w:hAnsi="Calibri" w:cs="Calibri"/>
                <w:color w:val="000000"/>
                <w:lang w:val="en-DK" w:eastAsia="en-DK"/>
              </w:rPr>
            </w:pPr>
            <w:r w:rsidRPr="00B7049E">
              <w:rPr>
                <w:rFonts w:ascii="Calibri" w:eastAsia="Times New Roman" w:hAnsi="Calibri" w:cs="Calibri"/>
                <w:color w:val="000000"/>
                <w:lang w:val="en-DK" w:eastAsia="en-DK"/>
              </w:rPr>
              <w:t>38</w:t>
            </w:r>
          </w:p>
        </w:tc>
      </w:tr>
      <w:tr w:rsidR="001F60C1" w:rsidRPr="00B7049E" w14:paraId="31CC8DFF" w14:textId="77777777" w:rsidTr="007635B3">
        <w:trPr>
          <w:trHeight w:val="288"/>
        </w:trPr>
        <w:tc>
          <w:tcPr>
            <w:tcW w:w="1720" w:type="dxa"/>
            <w:tcBorders>
              <w:top w:val="nil"/>
              <w:left w:val="single" w:sz="4" w:space="0" w:color="FFFFFF"/>
              <w:bottom w:val="single" w:sz="4" w:space="0" w:color="FFFFFF"/>
              <w:right w:val="single" w:sz="4" w:space="0" w:color="FFFFFF"/>
            </w:tcBorders>
            <w:shd w:val="clear" w:color="B8CCE4" w:fill="B8CCE4"/>
            <w:noWrap/>
            <w:vAlign w:val="bottom"/>
            <w:hideMark/>
          </w:tcPr>
          <w:p w14:paraId="21837E51" w14:textId="77777777" w:rsidR="001F60C1" w:rsidRPr="00B7049E" w:rsidRDefault="001F60C1" w:rsidP="007635B3">
            <w:pPr>
              <w:spacing w:after="0" w:line="240" w:lineRule="auto"/>
              <w:rPr>
                <w:rFonts w:ascii="Calibri" w:eastAsia="Times New Roman" w:hAnsi="Calibri" w:cs="Calibri"/>
                <w:color w:val="000000"/>
                <w:lang w:val="en-DK" w:eastAsia="en-DK"/>
              </w:rPr>
            </w:pPr>
            <w:r w:rsidRPr="00B7049E">
              <w:rPr>
                <w:rFonts w:ascii="Calibri" w:eastAsia="Times New Roman" w:hAnsi="Calibri" w:cs="Calibri"/>
                <w:color w:val="000000"/>
                <w:lang w:val="en-DK" w:eastAsia="en-DK"/>
              </w:rPr>
              <w:t>fueloil|secondary</w:t>
            </w:r>
          </w:p>
        </w:tc>
        <w:tc>
          <w:tcPr>
            <w:tcW w:w="1120" w:type="dxa"/>
            <w:tcBorders>
              <w:top w:val="nil"/>
              <w:left w:val="nil"/>
              <w:bottom w:val="single" w:sz="4" w:space="0" w:color="FFFFFF"/>
              <w:right w:val="single" w:sz="4" w:space="0" w:color="FFFFFF"/>
            </w:tcBorders>
            <w:shd w:val="clear" w:color="B8CCE4" w:fill="B8CCE4"/>
            <w:noWrap/>
            <w:vAlign w:val="bottom"/>
            <w:hideMark/>
          </w:tcPr>
          <w:p w14:paraId="4C91BD7F" w14:textId="77777777" w:rsidR="001F60C1" w:rsidRPr="00B7049E" w:rsidRDefault="001F60C1" w:rsidP="007635B3">
            <w:pPr>
              <w:spacing w:after="0" w:line="240" w:lineRule="auto"/>
              <w:jc w:val="right"/>
              <w:rPr>
                <w:rFonts w:ascii="Calibri" w:eastAsia="Times New Roman" w:hAnsi="Calibri" w:cs="Calibri"/>
                <w:color w:val="000000"/>
                <w:lang w:val="en-DK" w:eastAsia="en-DK"/>
              </w:rPr>
            </w:pPr>
            <w:r w:rsidRPr="00B7049E">
              <w:rPr>
                <w:rFonts w:ascii="Calibri" w:eastAsia="Times New Roman" w:hAnsi="Calibri" w:cs="Calibri"/>
                <w:color w:val="000000"/>
                <w:lang w:val="en-DK" w:eastAsia="en-DK"/>
              </w:rPr>
              <w:t>174</w:t>
            </w:r>
          </w:p>
        </w:tc>
        <w:tc>
          <w:tcPr>
            <w:tcW w:w="1120" w:type="dxa"/>
            <w:tcBorders>
              <w:top w:val="nil"/>
              <w:left w:val="nil"/>
              <w:bottom w:val="single" w:sz="4" w:space="0" w:color="FFFFFF"/>
              <w:right w:val="single" w:sz="4" w:space="0" w:color="FFFFFF"/>
            </w:tcBorders>
            <w:shd w:val="clear" w:color="B8CCE4" w:fill="B8CCE4"/>
            <w:noWrap/>
            <w:vAlign w:val="bottom"/>
            <w:hideMark/>
          </w:tcPr>
          <w:p w14:paraId="0E1F8356" w14:textId="77777777" w:rsidR="001F60C1" w:rsidRPr="00B7049E" w:rsidRDefault="001F60C1" w:rsidP="007635B3">
            <w:pPr>
              <w:spacing w:after="0" w:line="240" w:lineRule="auto"/>
              <w:jc w:val="right"/>
              <w:rPr>
                <w:rFonts w:ascii="Calibri" w:eastAsia="Times New Roman" w:hAnsi="Calibri" w:cs="Calibri"/>
                <w:color w:val="000000"/>
                <w:lang w:val="en-DK" w:eastAsia="en-DK"/>
              </w:rPr>
            </w:pPr>
            <w:r w:rsidRPr="00B7049E">
              <w:rPr>
                <w:rFonts w:ascii="Calibri" w:eastAsia="Times New Roman" w:hAnsi="Calibri" w:cs="Calibri"/>
                <w:color w:val="000000"/>
                <w:lang w:val="en-DK" w:eastAsia="en-DK"/>
              </w:rPr>
              <w:t>225</w:t>
            </w:r>
          </w:p>
        </w:tc>
        <w:tc>
          <w:tcPr>
            <w:tcW w:w="1120" w:type="dxa"/>
            <w:tcBorders>
              <w:top w:val="nil"/>
              <w:left w:val="nil"/>
              <w:bottom w:val="single" w:sz="4" w:space="0" w:color="FFFFFF"/>
              <w:right w:val="single" w:sz="4" w:space="0" w:color="FFFFFF"/>
            </w:tcBorders>
            <w:shd w:val="clear" w:color="B8CCE4" w:fill="B8CCE4"/>
            <w:noWrap/>
            <w:vAlign w:val="bottom"/>
            <w:hideMark/>
          </w:tcPr>
          <w:p w14:paraId="69FE37AE" w14:textId="77777777" w:rsidR="001F60C1" w:rsidRPr="00B7049E" w:rsidRDefault="001F60C1" w:rsidP="007635B3">
            <w:pPr>
              <w:spacing w:after="0" w:line="240" w:lineRule="auto"/>
              <w:jc w:val="right"/>
              <w:rPr>
                <w:rFonts w:ascii="Calibri" w:eastAsia="Times New Roman" w:hAnsi="Calibri" w:cs="Calibri"/>
                <w:color w:val="000000"/>
                <w:lang w:val="en-DK" w:eastAsia="en-DK"/>
              </w:rPr>
            </w:pPr>
            <w:r w:rsidRPr="00B7049E">
              <w:rPr>
                <w:rFonts w:ascii="Calibri" w:eastAsia="Times New Roman" w:hAnsi="Calibri" w:cs="Calibri"/>
                <w:color w:val="000000"/>
                <w:lang w:val="en-DK" w:eastAsia="en-DK"/>
              </w:rPr>
              <w:t>250</w:t>
            </w:r>
          </w:p>
        </w:tc>
        <w:tc>
          <w:tcPr>
            <w:tcW w:w="1120" w:type="dxa"/>
            <w:tcBorders>
              <w:top w:val="nil"/>
              <w:left w:val="nil"/>
              <w:bottom w:val="single" w:sz="4" w:space="0" w:color="FFFFFF"/>
              <w:right w:val="single" w:sz="4" w:space="0" w:color="FFFFFF"/>
            </w:tcBorders>
            <w:shd w:val="clear" w:color="B8CCE4" w:fill="B8CCE4"/>
            <w:noWrap/>
            <w:vAlign w:val="bottom"/>
            <w:hideMark/>
          </w:tcPr>
          <w:p w14:paraId="58AB0C50" w14:textId="77777777" w:rsidR="001F60C1" w:rsidRPr="00B7049E" w:rsidRDefault="001F60C1" w:rsidP="007635B3">
            <w:pPr>
              <w:spacing w:after="0" w:line="240" w:lineRule="auto"/>
              <w:jc w:val="right"/>
              <w:rPr>
                <w:rFonts w:ascii="Calibri" w:eastAsia="Times New Roman" w:hAnsi="Calibri" w:cs="Calibri"/>
                <w:color w:val="000000"/>
                <w:lang w:val="en-DK" w:eastAsia="en-DK"/>
              </w:rPr>
            </w:pPr>
            <w:r w:rsidRPr="00B7049E">
              <w:rPr>
                <w:rFonts w:ascii="Calibri" w:eastAsia="Times New Roman" w:hAnsi="Calibri" w:cs="Calibri"/>
                <w:color w:val="000000"/>
                <w:lang w:val="en-DK" w:eastAsia="en-DK"/>
              </w:rPr>
              <w:t>287</w:t>
            </w:r>
          </w:p>
        </w:tc>
        <w:tc>
          <w:tcPr>
            <w:tcW w:w="1120" w:type="dxa"/>
            <w:tcBorders>
              <w:top w:val="nil"/>
              <w:left w:val="nil"/>
              <w:bottom w:val="single" w:sz="4" w:space="0" w:color="FFFFFF"/>
              <w:right w:val="single" w:sz="4" w:space="0" w:color="FFFFFF"/>
            </w:tcBorders>
            <w:shd w:val="clear" w:color="B8CCE4" w:fill="B8CCE4"/>
            <w:noWrap/>
            <w:vAlign w:val="bottom"/>
            <w:hideMark/>
          </w:tcPr>
          <w:p w14:paraId="35044DCD" w14:textId="77777777" w:rsidR="001F60C1" w:rsidRPr="00B7049E" w:rsidRDefault="001F60C1" w:rsidP="007635B3">
            <w:pPr>
              <w:spacing w:after="0" w:line="240" w:lineRule="auto"/>
              <w:jc w:val="right"/>
              <w:rPr>
                <w:rFonts w:ascii="Calibri" w:eastAsia="Times New Roman" w:hAnsi="Calibri" w:cs="Calibri"/>
                <w:color w:val="000000"/>
                <w:lang w:val="en-DK" w:eastAsia="en-DK"/>
              </w:rPr>
            </w:pPr>
            <w:r w:rsidRPr="00B7049E">
              <w:rPr>
                <w:rFonts w:ascii="Calibri" w:eastAsia="Times New Roman" w:hAnsi="Calibri" w:cs="Calibri"/>
                <w:color w:val="000000"/>
                <w:lang w:val="en-DK" w:eastAsia="en-DK"/>
              </w:rPr>
              <w:t>331</w:t>
            </w:r>
          </w:p>
        </w:tc>
        <w:tc>
          <w:tcPr>
            <w:tcW w:w="1120" w:type="dxa"/>
            <w:tcBorders>
              <w:top w:val="nil"/>
              <w:left w:val="nil"/>
              <w:bottom w:val="single" w:sz="4" w:space="0" w:color="FFFFFF"/>
              <w:right w:val="single" w:sz="4" w:space="0" w:color="FFFFFF"/>
            </w:tcBorders>
            <w:shd w:val="clear" w:color="B8CCE4" w:fill="B8CCE4"/>
            <w:noWrap/>
            <w:vAlign w:val="bottom"/>
            <w:hideMark/>
          </w:tcPr>
          <w:p w14:paraId="01298B2A" w14:textId="77777777" w:rsidR="001F60C1" w:rsidRPr="00B7049E" w:rsidRDefault="001F60C1" w:rsidP="007635B3">
            <w:pPr>
              <w:spacing w:after="0" w:line="240" w:lineRule="auto"/>
              <w:jc w:val="right"/>
              <w:rPr>
                <w:rFonts w:ascii="Calibri" w:eastAsia="Times New Roman" w:hAnsi="Calibri" w:cs="Calibri"/>
                <w:color w:val="000000"/>
                <w:lang w:val="en-DK" w:eastAsia="en-DK"/>
              </w:rPr>
            </w:pPr>
            <w:r w:rsidRPr="00B7049E">
              <w:rPr>
                <w:rFonts w:ascii="Calibri" w:eastAsia="Times New Roman" w:hAnsi="Calibri" w:cs="Calibri"/>
                <w:color w:val="000000"/>
                <w:lang w:val="en-DK" w:eastAsia="en-DK"/>
              </w:rPr>
              <w:t>376</w:t>
            </w:r>
          </w:p>
        </w:tc>
      </w:tr>
      <w:tr w:rsidR="001F60C1" w:rsidRPr="00B7049E" w14:paraId="3E8E3D59" w14:textId="77777777" w:rsidTr="007635B3">
        <w:trPr>
          <w:trHeight w:val="288"/>
        </w:trPr>
        <w:tc>
          <w:tcPr>
            <w:tcW w:w="1720" w:type="dxa"/>
            <w:tcBorders>
              <w:top w:val="nil"/>
              <w:left w:val="single" w:sz="4" w:space="0" w:color="FFFFFF"/>
              <w:bottom w:val="single" w:sz="4" w:space="0" w:color="FFFFFF"/>
              <w:right w:val="single" w:sz="4" w:space="0" w:color="FFFFFF"/>
            </w:tcBorders>
            <w:shd w:val="clear" w:color="DCE6F1" w:fill="DCE6F1"/>
            <w:noWrap/>
            <w:vAlign w:val="bottom"/>
            <w:hideMark/>
          </w:tcPr>
          <w:p w14:paraId="0F702AE9" w14:textId="77777777" w:rsidR="001F60C1" w:rsidRPr="00B7049E" w:rsidRDefault="001F60C1" w:rsidP="007635B3">
            <w:pPr>
              <w:spacing w:after="0" w:line="240" w:lineRule="auto"/>
              <w:rPr>
                <w:rFonts w:ascii="Calibri" w:eastAsia="Times New Roman" w:hAnsi="Calibri" w:cs="Calibri"/>
                <w:color w:val="000000"/>
                <w:lang w:val="en-DK" w:eastAsia="en-DK"/>
              </w:rPr>
            </w:pPr>
            <w:r w:rsidRPr="00B7049E">
              <w:rPr>
                <w:rFonts w:ascii="Calibri" w:eastAsia="Times New Roman" w:hAnsi="Calibri" w:cs="Calibri"/>
                <w:color w:val="000000"/>
                <w:lang w:val="en-DK" w:eastAsia="en-DK"/>
              </w:rPr>
              <w:t>gas|secondary</w:t>
            </w:r>
          </w:p>
        </w:tc>
        <w:tc>
          <w:tcPr>
            <w:tcW w:w="1120" w:type="dxa"/>
            <w:tcBorders>
              <w:top w:val="nil"/>
              <w:left w:val="nil"/>
              <w:bottom w:val="single" w:sz="4" w:space="0" w:color="FFFFFF"/>
              <w:right w:val="single" w:sz="4" w:space="0" w:color="FFFFFF"/>
            </w:tcBorders>
            <w:shd w:val="clear" w:color="DCE6F1" w:fill="DCE6F1"/>
            <w:noWrap/>
            <w:vAlign w:val="bottom"/>
            <w:hideMark/>
          </w:tcPr>
          <w:p w14:paraId="5D2ADF42" w14:textId="77777777" w:rsidR="001F60C1" w:rsidRPr="00B7049E" w:rsidRDefault="001F60C1" w:rsidP="007635B3">
            <w:pPr>
              <w:spacing w:after="0" w:line="240" w:lineRule="auto"/>
              <w:jc w:val="right"/>
              <w:rPr>
                <w:rFonts w:ascii="Calibri" w:eastAsia="Times New Roman" w:hAnsi="Calibri" w:cs="Calibri"/>
                <w:color w:val="000000"/>
                <w:lang w:val="en-DK" w:eastAsia="en-DK"/>
              </w:rPr>
            </w:pPr>
            <w:r w:rsidRPr="00B7049E">
              <w:rPr>
                <w:rFonts w:ascii="Calibri" w:eastAsia="Times New Roman" w:hAnsi="Calibri" w:cs="Calibri"/>
                <w:color w:val="000000"/>
                <w:lang w:val="en-DK" w:eastAsia="en-DK"/>
              </w:rPr>
              <w:t>448</w:t>
            </w:r>
          </w:p>
        </w:tc>
        <w:tc>
          <w:tcPr>
            <w:tcW w:w="1120" w:type="dxa"/>
            <w:tcBorders>
              <w:top w:val="nil"/>
              <w:left w:val="nil"/>
              <w:bottom w:val="single" w:sz="4" w:space="0" w:color="FFFFFF"/>
              <w:right w:val="single" w:sz="4" w:space="0" w:color="FFFFFF"/>
            </w:tcBorders>
            <w:shd w:val="clear" w:color="DCE6F1" w:fill="DCE6F1"/>
            <w:noWrap/>
            <w:vAlign w:val="bottom"/>
            <w:hideMark/>
          </w:tcPr>
          <w:p w14:paraId="50C3C86C" w14:textId="77777777" w:rsidR="001F60C1" w:rsidRPr="00B7049E" w:rsidRDefault="001F60C1" w:rsidP="007635B3">
            <w:pPr>
              <w:spacing w:after="0" w:line="240" w:lineRule="auto"/>
              <w:jc w:val="right"/>
              <w:rPr>
                <w:rFonts w:ascii="Calibri" w:eastAsia="Times New Roman" w:hAnsi="Calibri" w:cs="Calibri"/>
                <w:color w:val="000000"/>
                <w:lang w:val="en-DK" w:eastAsia="en-DK"/>
              </w:rPr>
            </w:pPr>
            <w:r w:rsidRPr="00B7049E">
              <w:rPr>
                <w:rFonts w:ascii="Calibri" w:eastAsia="Times New Roman" w:hAnsi="Calibri" w:cs="Calibri"/>
                <w:color w:val="000000"/>
                <w:lang w:val="en-DK" w:eastAsia="en-DK"/>
              </w:rPr>
              <w:t>186</w:t>
            </w:r>
          </w:p>
        </w:tc>
        <w:tc>
          <w:tcPr>
            <w:tcW w:w="1120" w:type="dxa"/>
            <w:tcBorders>
              <w:top w:val="nil"/>
              <w:left w:val="nil"/>
              <w:bottom w:val="single" w:sz="4" w:space="0" w:color="FFFFFF"/>
              <w:right w:val="single" w:sz="4" w:space="0" w:color="FFFFFF"/>
            </w:tcBorders>
            <w:shd w:val="clear" w:color="DCE6F1" w:fill="DCE6F1"/>
            <w:noWrap/>
            <w:vAlign w:val="bottom"/>
            <w:hideMark/>
          </w:tcPr>
          <w:p w14:paraId="01ECA683" w14:textId="77777777" w:rsidR="001F60C1" w:rsidRPr="00B7049E" w:rsidRDefault="001F60C1" w:rsidP="007635B3">
            <w:pPr>
              <w:spacing w:after="0" w:line="240" w:lineRule="auto"/>
              <w:jc w:val="right"/>
              <w:rPr>
                <w:rFonts w:ascii="Calibri" w:eastAsia="Times New Roman" w:hAnsi="Calibri" w:cs="Calibri"/>
                <w:color w:val="000000"/>
                <w:lang w:val="en-DK" w:eastAsia="en-DK"/>
              </w:rPr>
            </w:pPr>
            <w:r w:rsidRPr="00B7049E">
              <w:rPr>
                <w:rFonts w:ascii="Calibri" w:eastAsia="Times New Roman" w:hAnsi="Calibri" w:cs="Calibri"/>
                <w:color w:val="000000"/>
                <w:lang w:val="en-DK" w:eastAsia="en-DK"/>
              </w:rPr>
              <w:t>172</w:t>
            </w:r>
          </w:p>
        </w:tc>
        <w:tc>
          <w:tcPr>
            <w:tcW w:w="1120" w:type="dxa"/>
            <w:tcBorders>
              <w:top w:val="nil"/>
              <w:left w:val="nil"/>
              <w:bottom w:val="single" w:sz="4" w:space="0" w:color="FFFFFF"/>
              <w:right w:val="single" w:sz="4" w:space="0" w:color="FFFFFF"/>
            </w:tcBorders>
            <w:shd w:val="clear" w:color="DCE6F1" w:fill="DCE6F1"/>
            <w:noWrap/>
            <w:vAlign w:val="bottom"/>
            <w:hideMark/>
          </w:tcPr>
          <w:p w14:paraId="6EBCA9CE" w14:textId="77777777" w:rsidR="001F60C1" w:rsidRPr="00B7049E" w:rsidRDefault="001F60C1" w:rsidP="007635B3">
            <w:pPr>
              <w:spacing w:after="0" w:line="240" w:lineRule="auto"/>
              <w:jc w:val="right"/>
              <w:rPr>
                <w:rFonts w:ascii="Calibri" w:eastAsia="Times New Roman" w:hAnsi="Calibri" w:cs="Calibri"/>
                <w:color w:val="000000"/>
                <w:lang w:val="en-DK" w:eastAsia="en-DK"/>
              </w:rPr>
            </w:pPr>
            <w:r w:rsidRPr="00B7049E">
              <w:rPr>
                <w:rFonts w:ascii="Calibri" w:eastAsia="Times New Roman" w:hAnsi="Calibri" w:cs="Calibri"/>
                <w:color w:val="000000"/>
                <w:lang w:val="en-DK" w:eastAsia="en-DK"/>
              </w:rPr>
              <w:t>164</w:t>
            </w:r>
          </w:p>
        </w:tc>
        <w:tc>
          <w:tcPr>
            <w:tcW w:w="1120" w:type="dxa"/>
            <w:tcBorders>
              <w:top w:val="nil"/>
              <w:left w:val="nil"/>
              <w:bottom w:val="single" w:sz="4" w:space="0" w:color="FFFFFF"/>
              <w:right w:val="single" w:sz="4" w:space="0" w:color="FFFFFF"/>
            </w:tcBorders>
            <w:shd w:val="clear" w:color="DCE6F1" w:fill="DCE6F1"/>
            <w:noWrap/>
            <w:vAlign w:val="bottom"/>
            <w:hideMark/>
          </w:tcPr>
          <w:p w14:paraId="56CB4936" w14:textId="77777777" w:rsidR="001F60C1" w:rsidRPr="00B7049E" w:rsidRDefault="001F60C1" w:rsidP="007635B3">
            <w:pPr>
              <w:spacing w:after="0" w:line="240" w:lineRule="auto"/>
              <w:jc w:val="right"/>
              <w:rPr>
                <w:rFonts w:ascii="Calibri" w:eastAsia="Times New Roman" w:hAnsi="Calibri" w:cs="Calibri"/>
                <w:color w:val="000000"/>
                <w:lang w:val="en-DK" w:eastAsia="en-DK"/>
              </w:rPr>
            </w:pPr>
            <w:r w:rsidRPr="00B7049E">
              <w:rPr>
                <w:rFonts w:ascii="Calibri" w:eastAsia="Times New Roman" w:hAnsi="Calibri" w:cs="Calibri"/>
                <w:color w:val="000000"/>
                <w:lang w:val="en-DK" w:eastAsia="en-DK"/>
              </w:rPr>
              <w:t>208</w:t>
            </w:r>
          </w:p>
        </w:tc>
        <w:tc>
          <w:tcPr>
            <w:tcW w:w="1120" w:type="dxa"/>
            <w:tcBorders>
              <w:top w:val="nil"/>
              <w:left w:val="nil"/>
              <w:bottom w:val="single" w:sz="4" w:space="0" w:color="FFFFFF"/>
              <w:right w:val="nil"/>
            </w:tcBorders>
            <w:shd w:val="clear" w:color="DCE6F1" w:fill="DCE6F1"/>
            <w:noWrap/>
            <w:vAlign w:val="bottom"/>
            <w:hideMark/>
          </w:tcPr>
          <w:p w14:paraId="4FC47375" w14:textId="77777777" w:rsidR="001F60C1" w:rsidRPr="00B7049E" w:rsidRDefault="001F60C1" w:rsidP="007635B3">
            <w:pPr>
              <w:spacing w:after="0" w:line="240" w:lineRule="auto"/>
              <w:jc w:val="right"/>
              <w:rPr>
                <w:rFonts w:ascii="Calibri" w:eastAsia="Times New Roman" w:hAnsi="Calibri" w:cs="Calibri"/>
                <w:color w:val="000000"/>
                <w:lang w:val="en-DK" w:eastAsia="en-DK"/>
              </w:rPr>
            </w:pPr>
            <w:r w:rsidRPr="00B7049E">
              <w:rPr>
                <w:rFonts w:ascii="Calibri" w:eastAsia="Times New Roman" w:hAnsi="Calibri" w:cs="Calibri"/>
                <w:color w:val="000000"/>
                <w:lang w:val="en-DK" w:eastAsia="en-DK"/>
              </w:rPr>
              <w:t>112</w:t>
            </w:r>
          </w:p>
        </w:tc>
      </w:tr>
      <w:tr w:rsidR="001F60C1" w:rsidRPr="00B7049E" w14:paraId="2F718829" w14:textId="77777777" w:rsidTr="007635B3">
        <w:trPr>
          <w:trHeight w:val="288"/>
        </w:trPr>
        <w:tc>
          <w:tcPr>
            <w:tcW w:w="1720" w:type="dxa"/>
            <w:tcBorders>
              <w:top w:val="nil"/>
              <w:left w:val="single" w:sz="4" w:space="0" w:color="FFFFFF"/>
              <w:bottom w:val="single" w:sz="4" w:space="0" w:color="FFFFFF"/>
              <w:right w:val="single" w:sz="4" w:space="0" w:color="FFFFFF"/>
            </w:tcBorders>
            <w:shd w:val="clear" w:color="B8CCE4" w:fill="B8CCE4"/>
            <w:noWrap/>
            <w:vAlign w:val="bottom"/>
            <w:hideMark/>
          </w:tcPr>
          <w:p w14:paraId="71D4641C" w14:textId="77777777" w:rsidR="001F60C1" w:rsidRPr="00B7049E" w:rsidRDefault="001F60C1" w:rsidP="007635B3">
            <w:pPr>
              <w:spacing w:after="0" w:line="240" w:lineRule="auto"/>
              <w:rPr>
                <w:rFonts w:ascii="Calibri" w:eastAsia="Times New Roman" w:hAnsi="Calibri" w:cs="Calibri"/>
                <w:color w:val="000000"/>
                <w:lang w:val="en-DK" w:eastAsia="en-DK"/>
              </w:rPr>
            </w:pPr>
            <w:r w:rsidRPr="00B7049E">
              <w:rPr>
                <w:rFonts w:ascii="Calibri" w:eastAsia="Times New Roman" w:hAnsi="Calibri" w:cs="Calibri"/>
                <w:color w:val="000000"/>
                <w:lang w:val="en-DK" w:eastAsia="en-DK"/>
              </w:rPr>
              <w:t>lightoil|secondary</w:t>
            </w:r>
          </w:p>
        </w:tc>
        <w:tc>
          <w:tcPr>
            <w:tcW w:w="1120" w:type="dxa"/>
            <w:tcBorders>
              <w:top w:val="nil"/>
              <w:left w:val="nil"/>
              <w:bottom w:val="single" w:sz="4" w:space="0" w:color="FFFFFF"/>
              <w:right w:val="single" w:sz="4" w:space="0" w:color="FFFFFF"/>
            </w:tcBorders>
            <w:shd w:val="clear" w:color="B8CCE4" w:fill="B8CCE4"/>
            <w:noWrap/>
            <w:vAlign w:val="bottom"/>
            <w:hideMark/>
          </w:tcPr>
          <w:p w14:paraId="7C116BC5" w14:textId="77777777" w:rsidR="001F60C1" w:rsidRPr="00B7049E" w:rsidRDefault="001F60C1" w:rsidP="007635B3">
            <w:pPr>
              <w:spacing w:after="0" w:line="240" w:lineRule="auto"/>
              <w:jc w:val="right"/>
              <w:rPr>
                <w:rFonts w:ascii="Calibri" w:eastAsia="Times New Roman" w:hAnsi="Calibri" w:cs="Calibri"/>
                <w:color w:val="000000"/>
                <w:lang w:val="en-DK" w:eastAsia="en-DK"/>
              </w:rPr>
            </w:pPr>
            <w:r w:rsidRPr="00B7049E">
              <w:rPr>
                <w:rFonts w:ascii="Calibri" w:eastAsia="Times New Roman" w:hAnsi="Calibri" w:cs="Calibri"/>
                <w:color w:val="000000"/>
                <w:lang w:val="en-DK" w:eastAsia="en-DK"/>
              </w:rPr>
              <w:t>262</w:t>
            </w:r>
          </w:p>
        </w:tc>
        <w:tc>
          <w:tcPr>
            <w:tcW w:w="1120" w:type="dxa"/>
            <w:tcBorders>
              <w:top w:val="nil"/>
              <w:left w:val="nil"/>
              <w:bottom w:val="single" w:sz="4" w:space="0" w:color="FFFFFF"/>
              <w:right w:val="single" w:sz="4" w:space="0" w:color="FFFFFF"/>
            </w:tcBorders>
            <w:shd w:val="clear" w:color="B8CCE4" w:fill="B8CCE4"/>
            <w:noWrap/>
            <w:vAlign w:val="bottom"/>
            <w:hideMark/>
          </w:tcPr>
          <w:p w14:paraId="43607075" w14:textId="77777777" w:rsidR="001F60C1" w:rsidRPr="00B7049E" w:rsidRDefault="001F60C1" w:rsidP="007635B3">
            <w:pPr>
              <w:spacing w:after="0" w:line="240" w:lineRule="auto"/>
              <w:jc w:val="right"/>
              <w:rPr>
                <w:rFonts w:ascii="Calibri" w:eastAsia="Times New Roman" w:hAnsi="Calibri" w:cs="Calibri"/>
                <w:color w:val="000000"/>
                <w:lang w:val="en-DK" w:eastAsia="en-DK"/>
              </w:rPr>
            </w:pPr>
            <w:r w:rsidRPr="00B7049E">
              <w:rPr>
                <w:rFonts w:ascii="Calibri" w:eastAsia="Times New Roman" w:hAnsi="Calibri" w:cs="Calibri"/>
                <w:color w:val="000000"/>
                <w:lang w:val="en-DK" w:eastAsia="en-DK"/>
              </w:rPr>
              <w:t>85</w:t>
            </w:r>
          </w:p>
        </w:tc>
        <w:tc>
          <w:tcPr>
            <w:tcW w:w="1120" w:type="dxa"/>
            <w:tcBorders>
              <w:top w:val="nil"/>
              <w:left w:val="nil"/>
              <w:bottom w:val="single" w:sz="4" w:space="0" w:color="FFFFFF"/>
              <w:right w:val="single" w:sz="4" w:space="0" w:color="FFFFFF"/>
            </w:tcBorders>
            <w:shd w:val="clear" w:color="B8CCE4" w:fill="B8CCE4"/>
            <w:noWrap/>
            <w:vAlign w:val="bottom"/>
            <w:hideMark/>
          </w:tcPr>
          <w:p w14:paraId="65C71723" w14:textId="77777777" w:rsidR="001F60C1" w:rsidRPr="00B7049E" w:rsidRDefault="001F60C1" w:rsidP="007635B3">
            <w:pPr>
              <w:spacing w:after="0" w:line="240" w:lineRule="auto"/>
              <w:jc w:val="right"/>
              <w:rPr>
                <w:rFonts w:ascii="Calibri" w:eastAsia="Times New Roman" w:hAnsi="Calibri" w:cs="Calibri"/>
                <w:color w:val="000000"/>
                <w:lang w:val="en-DK" w:eastAsia="en-DK"/>
              </w:rPr>
            </w:pPr>
            <w:r w:rsidRPr="00B7049E">
              <w:rPr>
                <w:rFonts w:ascii="Calibri" w:eastAsia="Times New Roman" w:hAnsi="Calibri" w:cs="Calibri"/>
                <w:color w:val="000000"/>
                <w:lang w:val="en-DK" w:eastAsia="en-DK"/>
              </w:rPr>
              <w:t>90</w:t>
            </w:r>
          </w:p>
        </w:tc>
        <w:tc>
          <w:tcPr>
            <w:tcW w:w="1120" w:type="dxa"/>
            <w:tcBorders>
              <w:top w:val="nil"/>
              <w:left w:val="nil"/>
              <w:bottom w:val="single" w:sz="4" w:space="0" w:color="FFFFFF"/>
              <w:right w:val="single" w:sz="4" w:space="0" w:color="FFFFFF"/>
            </w:tcBorders>
            <w:shd w:val="clear" w:color="B8CCE4" w:fill="B8CCE4"/>
            <w:noWrap/>
            <w:vAlign w:val="bottom"/>
            <w:hideMark/>
          </w:tcPr>
          <w:p w14:paraId="21CF835E" w14:textId="77777777" w:rsidR="001F60C1" w:rsidRPr="00B7049E" w:rsidRDefault="001F60C1" w:rsidP="007635B3">
            <w:pPr>
              <w:spacing w:after="0" w:line="240" w:lineRule="auto"/>
              <w:jc w:val="right"/>
              <w:rPr>
                <w:rFonts w:ascii="Calibri" w:eastAsia="Times New Roman" w:hAnsi="Calibri" w:cs="Calibri"/>
                <w:color w:val="000000"/>
                <w:lang w:val="en-DK" w:eastAsia="en-DK"/>
              </w:rPr>
            </w:pPr>
            <w:r w:rsidRPr="00B7049E">
              <w:rPr>
                <w:rFonts w:ascii="Calibri" w:eastAsia="Times New Roman" w:hAnsi="Calibri" w:cs="Calibri"/>
                <w:color w:val="000000"/>
                <w:lang w:val="en-DK" w:eastAsia="en-DK"/>
              </w:rPr>
              <w:t>171</w:t>
            </w:r>
          </w:p>
        </w:tc>
        <w:tc>
          <w:tcPr>
            <w:tcW w:w="1120" w:type="dxa"/>
            <w:tcBorders>
              <w:top w:val="nil"/>
              <w:left w:val="nil"/>
              <w:bottom w:val="single" w:sz="4" w:space="0" w:color="FFFFFF"/>
              <w:right w:val="single" w:sz="4" w:space="0" w:color="FFFFFF"/>
            </w:tcBorders>
            <w:shd w:val="clear" w:color="B8CCE4" w:fill="B8CCE4"/>
            <w:noWrap/>
            <w:vAlign w:val="bottom"/>
            <w:hideMark/>
          </w:tcPr>
          <w:p w14:paraId="30EF64F9" w14:textId="77777777" w:rsidR="001F60C1" w:rsidRPr="00B7049E" w:rsidRDefault="001F60C1" w:rsidP="007635B3">
            <w:pPr>
              <w:spacing w:after="0" w:line="240" w:lineRule="auto"/>
              <w:jc w:val="right"/>
              <w:rPr>
                <w:rFonts w:ascii="Calibri" w:eastAsia="Times New Roman" w:hAnsi="Calibri" w:cs="Calibri"/>
                <w:color w:val="000000"/>
                <w:lang w:val="en-DK" w:eastAsia="en-DK"/>
              </w:rPr>
            </w:pPr>
            <w:r w:rsidRPr="00B7049E">
              <w:rPr>
                <w:rFonts w:ascii="Calibri" w:eastAsia="Times New Roman" w:hAnsi="Calibri" w:cs="Calibri"/>
                <w:color w:val="000000"/>
                <w:lang w:val="en-DK" w:eastAsia="en-DK"/>
              </w:rPr>
              <w:t>199</w:t>
            </w:r>
          </w:p>
        </w:tc>
        <w:tc>
          <w:tcPr>
            <w:tcW w:w="1120" w:type="dxa"/>
            <w:tcBorders>
              <w:top w:val="nil"/>
              <w:left w:val="nil"/>
              <w:bottom w:val="single" w:sz="4" w:space="0" w:color="FFFFFF"/>
              <w:right w:val="nil"/>
            </w:tcBorders>
            <w:shd w:val="clear" w:color="B8CCE4" w:fill="B8CCE4"/>
            <w:noWrap/>
            <w:vAlign w:val="bottom"/>
            <w:hideMark/>
          </w:tcPr>
          <w:p w14:paraId="6B01644B" w14:textId="77777777" w:rsidR="001F60C1" w:rsidRPr="00B7049E" w:rsidRDefault="001F60C1" w:rsidP="007635B3">
            <w:pPr>
              <w:spacing w:after="0" w:line="240" w:lineRule="auto"/>
              <w:jc w:val="right"/>
              <w:rPr>
                <w:rFonts w:ascii="Calibri" w:eastAsia="Times New Roman" w:hAnsi="Calibri" w:cs="Calibri"/>
                <w:color w:val="000000"/>
                <w:lang w:val="en-DK" w:eastAsia="en-DK"/>
              </w:rPr>
            </w:pPr>
            <w:r w:rsidRPr="00B7049E">
              <w:rPr>
                <w:rFonts w:ascii="Calibri" w:eastAsia="Times New Roman" w:hAnsi="Calibri" w:cs="Calibri"/>
                <w:color w:val="000000"/>
                <w:lang w:val="en-DK" w:eastAsia="en-DK"/>
              </w:rPr>
              <w:t>150</w:t>
            </w:r>
          </w:p>
        </w:tc>
      </w:tr>
    </w:tbl>
    <w:p w14:paraId="31814A90" w14:textId="77777777" w:rsidR="001F60C1" w:rsidRDefault="001F60C1" w:rsidP="001F60C1"/>
    <w:p w14:paraId="0AD55109" w14:textId="21E4838B" w:rsidR="001F60C1" w:rsidRPr="00BA2E3E" w:rsidRDefault="00633842" w:rsidP="00633842">
      <w:pPr>
        <w:pStyle w:val="Caption"/>
        <w:rPr>
          <w:i w:val="0"/>
          <w:iCs w:val="0"/>
        </w:rPr>
      </w:pPr>
      <w:bookmarkStart w:id="7" w:name="_Ref101220099"/>
      <w:r>
        <w:lastRenderedPageBreak/>
        <w:t xml:space="preserve">Table </w:t>
      </w:r>
      <w:r>
        <w:fldChar w:fldCharType="begin"/>
      </w:r>
      <w:r>
        <w:instrText xml:space="preserve"> SEQ Table \* ARABIC </w:instrText>
      </w:r>
      <w:r>
        <w:fldChar w:fldCharType="separate"/>
      </w:r>
      <w:r>
        <w:rPr>
          <w:noProof/>
        </w:rPr>
        <w:t>3</w:t>
      </w:r>
      <w:r>
        <w:fldChar w:fldCharType="end"/>
      </w:r>
      <w:bookmarkEnd w:id="7"/>
      <w:r>
        <w:t xml:space="preserve">: </w:t>
      </w:r>
      <w:r w:rsidRPr="00B23845">
        <w:t>Commodity prices in million USD per MWa when bounds are made to have low emissions. No value was given from the model results meaning that the use of gas instead of lightoil in 2020 could be coincidental.</w:t>
      </w:r>
    </w:p>
    <w:tbl>
      <w:tblPr>
        <w:tblW w:w="8266" w:type="dxa"/>
        <w:tblLook w:val="04A0" w:firstRow="1" w:lastRow="0" w:firstColumn="1" w:lastColumn="0" w:noHBand="0" w:noVBand="1"/>
      </w:tblPr>
      <w:tblGrid>
        <w:gridCol w:w="1846"/>
        <w:gridCol w:w="1020"/>
        <w:gridCol w:w="1020"/>
        <w:gridCol w:w="1020"/>
        <w:gridCol w:w="1120"/>
        <w:gridCol w:w="1120"/>
        <w:gridCol w:w="1120"/>
      </w:tblGrid>
      <w:tr w:rsidR="001F60C1" w:rsidRPr="005A0171" w14:paraId="23512879" w14:textId="77777777" w:rsidTr="007635B3">
        <w:trPr>
          <w:trHeight w:val="288"/>
        </w:trPr>
        <w:tc>
          <w:tcPr>
            <w:tcW w:w="1846" w:type="dxa"/>
            <w:tcBorders>
              <w:top w:val="single" w:sz="4" w:space="0" w:color="auto"/>
              <w:left w:val="single" w:sz="4" w:space="0" w:color="auto"/>
              <w:bottom w:val="single" w:sz="4" w:space="0" w:color="auto"/>
              <w:right w:val="single" w:sz="4" w:space="0" w:color="auto"/>
            </w:tcBorders>
            <w:shd w:val="clear" w:color="4F81BD" w:fill="4F81BD"/>
            <w:noWrap/>
            <w:hideMark/>
          </w:tcPr>
          <w:p w14:paraId="34927F71" w14:textId="77777777" w:rsidR="001F60C1" w:rsidRPr="005A0171" w:rsidRDefault="001F60C1" w:rsidP="007635B3">
            <w:pPr>
              <w:spacing w:after="0" w:line="240" w:lineRule="auto"/>
              <w:jc w:val="center"/>
              <w:rPr>
                <w:rFonts w:ascii="Calibri" w:eastAsia="Times New Roman" w:hAnsi="Calibri" w:cs="Calibri"/>
                <w:b/>
                <w:bCs/>
                <w:color w:val="FFFFFF" w:themeColor="background1"/>
                <w:lang w:val="en-DK" w:eastAsia="en-DK"/>
              </w:rPr>
            </w:pPr>
            <w:r>
              <w:br/>
            </w:r>
            <w:r w:rsidRPr="005A0171">
              <w:rPr>
                <w:rFonts w:ascii="Calibri" w:eastAsia="Times New Roman" w:hAnsi="Calibri" w:cs="Calibri"/>
                <w:b/>
                <w:bCs/>
                <w:color w:val="FFFFFF" w:themeColor="background1"/>
                <w:lang w:val="en-DK" w:eastAsia="en-DK"/>
              </w:rPr>
              <w:t>Commodity|level</w:t>
            </w:r>
          </w:p>
        </w:tc>
        <w:tc>
          <w:tcPr>
            <w:tcW w:w="1020" w:type="dxa"/>
            <w:tcBorders>
              <w:top w:val="single" w:sz="4" w:space="0" w:color="auto"/>
              <w:left w:val="nil"/>
              <w:bottom w:val="single" w:sz="4" w:space="0" w:color="auto"/>
              <w:right w:val="single" w:sz="4" w:space="0" w:color="auto"/>
            </w:tcBorders>
            <w:shd w:val="clear" w:color="4F81BD" w:fill="4F81BD"/>
            <w:noWrap/>
            <w:hideMark/>
          </w:tcPr>
          <w:p w14:paraId="732FDC3A" w14:textId="77777777" w:rsidR="001F60C1" w:rsidRPr="005A0171" w:rsidRDefault="001F60C1" w:rsidP="007635B3">
            <w:pPr>
              <w:spacing w:after="0" w:line="240" w:lineRule="auto"/>
              <w:jc w:val="center"/>
              <w:rPr>
                <w:rFonts w:ascii="Calibri" w:eastAsia="Times New Roman" w:hAnsi="Calibri" w:cs="Calibri"/>
                <w:b/>
                <w:bCs/>
                <w:color w:val="FFFFFF" w:themeColor="background1"/>
                <w:lang w:val="en-DK" w:eastAsia="en-DK"/>
              </w:rPr>
            </w:pPr>
            <w:r w:rsidRPr="005A0171">
              <w:rPr>
                <w:rFonts w:ascii="Calibri" w:eastAsia="Times New Roman" w:hAnsi="Calibri" w:cs="Calibri"/>
                <w:b/>
                <w:bCs/>
                <w:color w:val="FFFFFF" w:themeColor="background1"/>
                <w:lang w:val="en-DK" w:eastAsia="en-DK"/>
              </w:rPr>
              <w:t>2020</w:t>
            </w:r>
          </w:p>
        </w:tc>
        <w:tc>
          <w:tcPr>
            <w:tcW w:w="1020" w:type="dxa"/>
            <w:tcBorders>
              <w:top w:val="single" w:sz="4" w:space="0" w:color="auto"/>
              <w:left w:val="nil"/>
              <w:bottom w:val="single" w:sz="4" w:space="0" w:color="auto"/>
              <w:right w:val="single" w:sz="4" w:space="0" w:color="auto"/>
            </w:tcBorders>
            <w:shd w:val="clear" w:color="4F81BD" w:fill="4F81BD"/>
            <w:noWrap/>
            <w:hideMark/>
          </w:tcPr>
          <w:p w14:paraId="0E209688" w14:textId="77777777" w:rsidR="001F60C1" w:rsidRPr="005A0171" w:rsidRDefault="001F60C1" w:rsidP="007635B3">
            <w:pPr>
              <w:spacing w:after="0" w:line="240" w:lineRule="auto"/>
              <w:jc w:val="center"/>
              <w:rPr>
                <w:rFonts w:ascii="Calibri" w:eastAsia="Times New Roman" w:hAnsi="Calibri" w:cs="Calibri"/>
                <w:b/>
                <w:bCs/>
                <w:color w:val="FFFFFF" w:themeColor="background1"/>
                <w:lang w:val="en-DK" w:eastAsia="en-DK"/>
              </w:rPr>
            </w:pPr>
            <w:r w:rsidRPr="005A0171">
              <w:rPr>
                <w:rFonts w:ascii="Calibri" w:eastAsia="Times New Roman" w:hAnsi="Calibri" w:cs="Calibri"/>
                <w:b/>
                <w:bCs/>
                <w:color w:val="FFFFFF" w:themeColor="background1"/>
                <w:lang w:val="en-DK" w:eastAsia="en-DK"/>
              </w:rPr>
              <w:t>2030</w:t>
            </w:r>
          </w:p>
        </w:tc>
        <w:tc>
          <w:tcPr>
            <w:tcW w:w="1020" w:type="dxa"/>
            <w:tcBorders>
              <w:top w:val="single" w:sz="4" w:space="0" w:color="auto"/>
              <w:left w:val="nil"/>
              <w:bottom w:val="single" w:sz="4" w:space="0" w:color="auto"/>
              <w:right w:val="single" w:sz="4" w:space="0" w:color="auto"/>
            </w:tcBorders>
            <w:shd w:val="clear" w:color="4F81BD" w:fill="4F81BD"/>
            <w:noWrap/>
            <w:hideMark/>
          </w:tcPr>
          <w:p w14:paraId="133BA3D2" w14:textId="77777777" w:rsidR="001F60C1" w:rsidRPr="005A0171" w:rsidRDefault="001F60C1" w:rsidP="007635B3">
            <w:pPr>
              <w:spacing w:after="0" w:line="240" w:lineRule="auto"/>
              <w:jc w:val="center"/>
              <w:rPr>
                <w:rFonts w:ascii="Calibri" w:eastAsia="Times New Roman" w:hAnsi="Calibri" w:cs="Calibri"/>
                <w:b/>
                <w:bCs/>
                <w:color w:val="FFFFFF" w:themeColor="background1"/>
                <w:lang w:val="en-DK" w:eastAsia="en-DK"/>
              </w:rPr>
            </w:pPr>
            <w:r w:rsidRPr="005A0171">
              <w:rPr>
                <w:rFonts w:ascii="Calibri" w:eastAsia="Times New Roman" w:hAnsi="Calibri" w:cs="Calibri"/>
                <w:b/>
                <w:bCs/>
                <w:color w:val="FFFFFF" w:themeColor="background1"/>
                <w:lang w:val="en-DK" w:eastAsia="en-DK"/>
              </w:rPr>
              <w:t>2040</w:t>
            </w:r>
          </w:p>
        </w:tc>
        <w:tc>
          <w:tcPr>
            <w:tcW w:w="1120" w:type="dxa"/>
            <w:tcBorders>
              <w:top w:val="single" w:sz="4" w:space="0" w:color="auto"/>
              <w:left w:val="nil"/>
              <w:bottom w:val="single" w:sz="4" w:space="0" w:color="auto"/>
              <w:right w:val="single" w:sz="4" w:space="0" w:color="auto"/>
            </w:tcBorders>
            <w:shd w:val="clear" w:color="4F81BD" w:fill="4F81BD"/>
            <w:noWrap/>
            <w:hideMark/>
          </w:tcPr>
          <w:p w14:paraId="72085C8B" w14:textId="77777777" w:rsidR="001F60C1" w:rsidRPr="005A0171" w:rsidRDefault="001F60C1" w:rsidP="007635B3">
            <w:pPr>
              <w:spacing w:after="0" w:line="240" w:lineRule="auto"/>
              <w:jc w:val="center"/>
              <w:rPr>
                <w:rFonts w:ascii="Calibri" w:eastAsia="Times New Roman" w:hAnsi="Calibri" w:cs="Calibri"/>
                <w:b/>
                <w:bCs/>
                <w:color w:val="FFFFFF" w:themeColor="background1"/>
                <w:lang w:val="en-DK" w:eastAsia="en-DK"/>
              </w:rPr>
            </w:pPr>
            <w:r w:rsidRPr="005A0171">
              <w:rPr>
                <w:rFonts w:ascii="Calibri" w:eastAsia="Times New Roman" w:hAnsi="Calibri" w:cs="Calibri"/>
                <w:b/>
                <w:bCs/>
                <w:color w:val="FFFFFF" w:themeColor="background1"/>
                <w:lang w:val="en-DK" w:eastAsia="en-DK"/>
              </w:rPr>
              <w:t>2050</w:t>
            </w:r>
          </w:p>
        </w:tc>
        <w:tc>
          <w:tcPr>
            <w:tcW w:w="1120" w:type="dxa"/>
            <w:tcBorders>
              <w:top w:val="single" w:sz="4" w:space="0" w:color="auto"/>
              <w:left w:val="nil"/>
              <w:bottom w:val="single" w:sz="4" w:space="0" w:color="auto"/>
              <w:right w:val="single" w:sz="4" w:space="0" w:color="auto"/>
            </w:tcBorders>
            <w:shd w:val="clear" w:color="4F81BD" w:fill="4F81BD"/>
            <w:noWrap/>
            <w:hideMark/>
          </w:tcPr>
          <w:p w14:paraId="45D3359C" w14:textId="77777777" w:rsidR="001F60C1" w:rsidRPr="005A0171" w:rsidRDefault="001F60C1" w:rsidP="007635B3">
            <w:pPr>
              <w:spacing w:after="0" w:line="240" w:lineRule="auto"/>
              <w:jc w:val="center"/>
              <w:rPr>
                <w:rFonts w:ascii="Calibri" w:eastAsia="Times New Roman" w:hAnsi="Calibri" w:cs="Calibri"/>
                <w:b/>
                <w:bCs/>
                <w:color w:val="FFFFFF" w:themeColor="background1"/>
                <w:lang w:val="en-DK" w:eastAsia="en-DK"/>
              </w:rPr>
            </w:pPr>
            <w:r w:rsidRPr="005A0171">
              <w:rPr>
                <w:rFonts w:ascii="Calibri" w:eastAsia="Times New Roman" w:hAnsi="Calibri" w:cs="Calibri"/>
                <w:b/>
                <w:bCs/>
                <w:color w:val="FFFFFF" w:themeColor="background1"/>
                <w:lang w:val="en-DK" w:eastAsia="en-DK"/>
              </w:rPr>
              <w:t>2060</w:t>
            </w:r>
          </w:p>
        </w:tc>
        <w:tc>
          <w:tcPr>
            <w:tcW w:w="1120" w:type="dxa"/>
            <w:tcBorders>
              <w:top w:val="single" w:sz="4" w:space="0" w:color="auto"/>
              <w:left w:val="nil"/>
              <w:bottom w:val="single" w:sz="4" w:space="0" w:color="auto"/>
              <w:right w:val="single" w:sz="4" w:space="0" w:color="auto"/>
            </w:tcBorders>
            <w:shd w:val="clear" w:color="4F81BD" w:fill="4F81BD"/>
            <w:noWrap/>
            <w:hideMark/>
          </w:tcPr>
          <w:p w14:paraId="52BC77EA" w14:textId="77777777" w:rsidR="001F60C1" w:rsidRPr="005A0171" w:rsidRDefault="001F60C1" w:rsidP="007635B3">
            <w:pPr>
              <w:spacing w:after="0" w:line="240" w:lineRule="auto"/>
              <w:jc w:val="center"/>
              <w:rPr>
                <w:rFonts w:ascii="Calibri" w:eastAsia="Times New Roman" w:hAnsi="Calibri" w:cs="Calibri"/>
                <w:b/>
                <w:bCs/>
                <w:color w:val="FFFFFF" w:themeColor="background1"/>
                <w:lang w:val="en-DK" w:eastAsia="en-DK"/>
              </w:rPr>
            </w:pPr>
            <w:r w:rsidRPr="005A0171">
              <w:rPr>
                <w:rFonts w:ascii="Calibri" w:eastAsia="Times New Roman" w:hAnsi="Calibri" w:cs="Calibri"/>
                <w:b/>
                <w:bCs/>
                <w:color w:val="FFFFFF" w:themeColor="background1"/>
                <w:lang w:val="en-DK" w:eastAsia="en-DK"/>
              </w:rPr>
              <w:t>2070</w:t>
            </w:r>
          </w:p>
        </w:tc>
      </w:tr>
      <w:tr w:rsidR="001F60C1" w:rsidRPr="005A0171" w14:paraId="602714E5" w14:textId="77777777" w:rsidTr="007635B3">
        <w:trPr>
          <w:trHeight w:val="288"/>
        </w:trPr>
        <w:tc>
          <w:tcPr>
            <w:tcW w:w="184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B8A62F9" w14:textId="77777777" w:rsidR="001F60C1" w:rsidRPr="005A0171" w:rsidRDefault="001F60C1" w:rsidP="007635B3">
            <w:pPr>
              <w:spacing w:after="0" w:line="240" w:lineRule="auto"/>
              <w:rPr>
                <w:rFonts w:ascii="Calibri" w:eastAsia="Times New Roman" w:hAnsi="Calibri" w:cs="Calibri"/>
                <w:color w:val="000000"/>
                <w:lang w:val="en-DK" w:eastAsia="en-DK"/>
              </w:rPr>
            </w:pPr>
            <w:r w:rsidRPr="005A0171">
              <w:rPr>
                <w:rFonts w:ascii="Calibri" w:eastAsia="Times New Roman" w:hAnsi="Calibri" w:cs="Calibri"/>
                <w:color w:val="000000"/>
                <w:lang w:val="en-DK" w:eastAsia="en-DK"/>
              </w:rPr>
              <w:t>coal|secondary</w:t>
            </w:r>
          </w:p>
        </w:tc>
        <w:tc>
          <w:tcPr>
            <w:tcW w:w="1020" w:type="dxa"/>
            <w:tcBorders>
              <w:top w:val="single" w:sz="4" w:space="0" w:color="FFFFFF"/>
              <w:left w:val="nil"/>
              <w:bottom w:val="single" w:sz="4" w:space="0" w:color="FFFFFF"/>
              <w:right w:val="single" w:sz="4" w:space="0" w:color="FFFFFF"/>
            </w:tcBorders>
            <w:shd w:val="clear" w:color="DCE6F1" w:fill="DCE6F1"/>
            <w:noWrap/>
            <w:vAlign w:val="bottom"/>
            <w:hideMark/>
          </w:tcPr>
          <w:p w14:paraId="0703F36E" w14:textId="77777777" w:rsidR="001F60C1" w:rsidRPr="005A0171" w:rsidRDefault="001F60C1" w:rsidP="007635B3">
            <w:pPr>
              <w:spacing w:after="0" w:line="240" w:lineRule="auto"/>
              <w:jc w:val="right"/>
              <w:rPr>
                <w:rFonts w:ascii="Calibri" w:eastAsia="Times New Roman" w:hAnsi="Calibri" w:cs="Calibri"/>
                <w:color w:val="000000"/>
                <w:lang w:val="en-DK" w:eastAsia="en-DK"/>
              </w:rPr>
            </w:pPr>
            <w:r w:rsidRPr="005A0171">
              <w:rPr>
                <w:rFonts w:ascii="Calibri" w:eastAsia="Times New Roman" w:hAnsi="Calibri" w:cs="Calibri"/>
                <w:color w:val="000000"/>
                <w:lang w:val="en-DK" w:eastAsia="en-DK"/>
              </w:rPr>
              <w:t>2771</w:t>
            </w:r>
          </w:p>
        </w:tc>
        <w:tc>
          <w:tcPr>
            <w:tcW w:w="1020" w:type="dxa"/>
            <w:tcBorders>
              <w:top w:val="single" w:sz="4" w:space="0" w:color="FFFFFF"/>
              <w:left w:val="nil"/>
              <w:bottom w:val="single" w:sz="4" w:space="0" w:color="FFFFFF"/>
              <w:right w:val="single" w:sz="4" w:space="0" w:color="FFFFFF"/>
            </w:tcBorders>
            <w:shd w:val="clear" w:color="DCE6F1" w:fill="DCE6F1"/>
            <w:noWrap/>
            <w:vAlign w:val="bottom"/>
            <w:hideMark/>
          </w:tcPr>
          <w:p w14:paraId="3D9E77F0" w14:textId="77777777" w:rsidR="001F60C1" w:rsidRPr="005A0171" w:rsidRDefault="001F60C1" w:rsidP="007635B3">
            <w:pPr>
              <w:spacing w:after="0" w:line="240" w:lineRule="auto"/>
              <w:jc w:val="right"/>
              <w:rPr>
                <w:rFonts w:ascii="Calibri" w:eastAsia="Times New Roman" w:hAnsi="Calibri" w:cs="Calibri"/>
                <w:color w:val="000000"/>
                <w:lang w:val="en-DK" w:eastAsia="en-DK"/>
              </w:rPr>
            </w:pPr>
            <w:r w:rsidRPr="005A0171">
              <w:rPr>
                <w:rFonts w:ascii="Calibri" w:eastAsia="Times New Roman" w:hAnsi="Calibri" w:cs="Calibri"/>
                <w:color w:val="000000"/>
                <w:lang w:val="en-DK" w:eastAsia="en-DK"/>
              </w:rPr>
              <w:t>4238</w:t>
            </w:r>
          </w:p>
        </w:tc>
        <w:tc>
          <w:tcPr>
            <w:tcW w:w="1020" w:type="dxa"/>
            <w:tcBorders>
              <w:top w:val="single" w:sz="4" w:space="0" w:color="FFFFFF"/>
              <w:left w:val="nil"/>
              <w:bottom w:val="single" w:sz="4" w:space="0" w:color="FFFFFF"/>
              <w:right w:val="single" w:sz="4" w:space="0" w:color="FFFFFF"/>
            </w:tcBorders>
            <w:shd w:val="clear" w:color="DCE6F1" w:fill="DCE6F1"/>
            <w:noWrap/>
            <w:vAlign w:val="bottom"/>
            <w:hideMark/>
          </w:tcPr>
          <w:p w14:paraId="036BF5C7" w14:textId="77777777" w:rsidR="001F60C1" w:rsidRPr="005A0171" w:rsidRDefault="001F60C1" w:rsidP="007635B3">
            <w:pPr>
              <w:spacing w:after="0" w:line="240" w:lineRule="auto"/>
              <w:jc w:val="right"/>
              <w:rPr>
                <w:rFonts w:ascii="Calibri" w:eastAsia="Times New Roman" w:hAnsi="Calibri" w:cs="Calibri"/>
                <w:color w:val="000000"/>
                <w:lang w:val="en-DK" w:eastAsia="en-DK"/>
              </w:rPr>
            </w:pPr>
            <w:r w:rsidRPr="005A0171">
              <w:rPr>
                <w:rFonts w:ascii="Calibri" w:eastAsia="Times New Roman" w:hAnsi="Calibri" w:cs="Calibri"/>
                <w:color w:val="000000"/>
                <w:lang w:val="en-DK" w:eastAsia="en-DK"/>
              </w:rPr>
              <w:t>5605</w:t>
            </w:r>
          </w:p>
        </w:tc>
        <w:tc>
          <w:tcPr>
            <w:tcW w:w="1120" w:type="dxa"/>
            <w:tcBorders>
              <w:top w:val="single" w:sz="4" w:space="0" w:color="FFFFFF"/>
              <w:left w:val="nil"/>
              <w:bottom w:val="single" w:sz="4" w:space="0" w:color="FFFFFF"/>
              <w:right w:val="single" w:sz="4" w:space="0" w:color="FFFFFF"/>
            </w:tcBorders>
            <w:shd w:val="clear" w:color="DCE6F1" w:fill="DCE6F1"/>
            <w:noWrap/>
            <w:vAlign w:val="bottom"/>
            <w:hideMark/>
          </w:tcPr>
          <w:p w14:paraId="5FC0809F" w14:textId="77777777" w:rsidR="001F60C1" w:rsidRPr="005A0171" w:rsidRDefault="001F60C1" w:rsidP="007635B3">
            <w:pPr>
              <w:spacing w:after="0" w:line="240" w:lineRule="auto"/>
              <w:jc w:val="right"/>
              <w:rPr>
                <w:rFonts w:ascii="Calibri" w:eastAsia="Times New Roman" w:hAnsi="Calibri" w:cs="Calibri"/>
                <w:color w:val="000000"/>
                <w:lang w:val="en-DK" w:eastAsia="en-DK"/>
              </w:rPr>
            </w:pPr>
            <w:r w:rsidRPr="005A0171">
              <w:rPr>
                <w:rFonts w:ascii="Calibri" w:eastAsia="Times New Roman" w:hAnsi="Calibri" w:cs="Calibri"/>
                <w:color w:val="000000"/>
                <w:lang w:val="en-DK" w:eastAsia="en-DK"/>
              </w:rPr>
              <w:t>10059</w:t>
            </w:r>
          </w:p>
        </w:tc>
        <w:tc>
          <w:tcPr>
            <w:tcW w:w="1120" w:type="dxa"/>
            <w:tcBorders>
              <w:top w:val="single" w:sz="4" w:space="0" w:color="FFFFFF"/>
              <w:left w:val="nil"/>
              <w:bottom w:val="single" w:sz="4" w:space="0" w:color="FFFFFF"/>
              <w:right w:val="single" w:sz="4" w:space="0" w:color="FFFFFF"/>
            </w:tcBorders>
            <w:shd w:val="clear" w:color="DCE6F1" w:fill="DCE6F1"/>
            <w:noWrap/>
            <w:vAlign w:val="bottom"/>
            <w:hideMark/>
          </w:tcPr>
          <w:p w14:paraId="77134FD7" w14:textId="77777777" w:rsidR="001F60C1" w:rsidRPr="005A0171" w:rsidRDefault="001F60C1" w:rsidP="007635B3">
            <w:pPr>
              <w:spacing w:after="0" w:line="240" w:lineRule="auto"/>
              <w:jc w:val="right"/>
              <w:rPr>
                <w:rFonts w:ascii="Calibri" w:eastAsia="Times New Roman" w:hAnsi="Calibri" w:cs="Calibri"/>
                <w:color w:val="000000"/>
                <w:lang w:val="en-DK" w:eastAsia="en-DK"/>
              </w:rPr>
            </w:pPr>
            <w:r w:rsidRPr="005A0171">
              <w:rPr>
                <w:rFonts w:ascii="Calibri" w:eastAsia="Times New Roman" w:hAnsi="Calibri" w:cs="Calibri"/>
                <w:color w:val="000000"/>
                <w:lang w:val="en-DK" w:eastAsia="en-DK"/>
              </w:rPr>
              <w:t>16362</w:t>
            </w:r>
          </w:p>
        </w:tc>
        <w:tc>
          <w:tcPr>
            <w:tcW w:w="1120" w:type="dxa"/>
            <w:tcBorders>
              <w:top w:val="single" w:sz="4" w:space="0" w:color="FFFFFF"/>
              <w:left w:val="nil"/>
              <w:bottom w:val="single" w:sz="4" w:space="0" w:color="FFFFFF"/>
              <w:right w:val="single" w:sz="4" w:space="0" w:color="FFFFFF"/>
            </w:tcBorders>
            <w:shd w:val="clear" w:color="DCE6F1" w:fill="DCE6F1"/>
            <w:noWrap/>
            <w:vAlign w:val="bottom"/>
            <w:hideMark/>
          </w:tcPr>
          <w:p w14:paraId="3AEAE384" w14:textId="77777777" w:rsidR="001F60C1" w:rsidRPr="005A0171" w:rsidRDefault="001F60C1" w:rsidP="007635B3">
            <w:pPr>
              <w:spacing w:after="0" w:line="240" w:lineRule="auto"/>
              <w:jc w:val="right"/>
              <w:rPr>
                <w:rFonts w:ascii="Calibri" w:eastAsia="Times New Roman" w:hAnsi="Calibri" w:cs="Calibri"/>
                <w:color w:val="000000"/>
                <w:lang w:val="en-DK" w:eastAsia="en-DK"/>
              </w:rPr>
            </w:pPr>
            <w:r w:rsidRPr="005A0171">
              <w:rPr>
                <w:rFonts w:ascii="Calibri" w:eastAsia="Times New Roman" w:hAnsi="Calibri" w:cs="Calibri"/>
                <w:color w:val="000000"/>
                <w:lang w:val="en-DK" w:eastAsia="en-DK"/>
              </w:rPr>
              <w:t>26629</w:t>
            </w:r>
          </w:p>
        </w:tc>
      </w:tr>
      <w:tr w:rsidR="001F60C1" w:rsidRPr="005A0171" w14:paraId="2440F69B" w14:textId="77777777" w:rsidTr="007635B3">
        <w:trPr>
          <w:trHeight w:val="288"/>
        </w:trPr>
        <w:tc>
          <w:tcPr>
            <w:tcW w:w="1846" w:type="dxa"/>
            <w:tcBorders>
              <w:top w:val="nil"/>
              <w:left w:val="single" w:sz="4" w:space="0" w:color="FFFFFF"/>
              <w:bottom w:val="single" w:sz="4" w:space="0" w:color="FFFFFF"/>
              <w:right w:val="single" w:sz="4" w:space="0" w:color="FFFFFF"/>
            </w:tcBorders>
            <w:shd w:val="clear" w:color="B8CCE4" w:fill="B8CCE4"/>
            <w:noWrap/>
            <w:vAlign w:val="bottom"/>
            <w:hideMark/>
          </w:tcPr>
          <w:p w14:paraId="56597C24" w14:textId="77777777" w:rsidR="001F60C1" w:rsidRPr="005A0171" w:rsidRDefault="001F60C1" w:rsidP="007635B3">
            <w:pPr>
              <w:spacing w:after="0" w:line="240" w:lineRule="auto"/>
              <w:rPr>
                <w:rFonts w:ascii="Calibri" w:eastAsia="Times New Roman" w:hAnsi="Calibri" w:cs="Calibri"/>
                <w:color w:val="000000"/>
                <w:lang w:val="en-DK" w:eastAsia="en-DK"/>
              </w:rPr>
            </w:pPr>
            <w:r w:rsidRPr="005A0171">
              <w:rPr>
                <w:rFonts w:ascii="Calibri" w:eastAsia="Times New Roman" w:hAnsi="Calibri" w:cs="Calibri"/>
                <w:color w:val="000000"/>
                <w:lang w:val="en-DK" w:eastAsia="en-DK"/>
              </w:rPr>
              <w:t>fueloil|secondary</w:t>
            </w:r>
          </w:p>
        </w:tc>
        <w:tc>
          <w:tcPr>
            <w:tcW w:w="1020" w:type="dxa"/>
            <w:tcBorders>
              <w:top w:val="nil"/>
              <w:left w:val="nil"/>
              <w:bottom w:val="single" w:sz="4" w:space="0" w:color="FFFFFF"/>
              <w:right w:val="single" w:sz="4" w:space="0" w:color="FFFFFF"/>
            </w:tcBorders>
            <w:shd w:val="clear" w:color="B8CCE4" w:fill="B8CCE4"/>
            <w:noWrap/>
            <w:vAlign w:val="bottom"/>
            <w:hideMark/>
          </w:tcPr>
          <w:p w14:paraId="41FC60F2" w14:textId="77777777" w:rsidR="001F60C1" w:rsidRPr="005A0171" w:rsidRDefault="001F60C1" w:rsidP="007635B3">
            <w:pPr>
              <w:spacing w:after="0" w:line="240" w:lineRule="auto"/>
              <w:jc w:val="right"/>
              <w:rPr>
                <w:rFonts w:ascii="Calibri" w:eastAsia="Times New Roman" w:hAnsi="Calibri" w:cs="Calibri"/>
                <w:color w:val="000000"/>
                <w:lang w:val="en-DK" w:eastAsia="en-DK"/>
              </w:rPr>
            </w:pPr>
            <w:r w:rsidRPr="005A0171">
              <w:rPr>
                <w:rFonts w:ascii="Calibri" w:eastAsia="Times New Roman" w:hAnsi="Calibri" w:cs="Calibri"/>
                <w:color w:val="000000"/>
                <w:lang w:val="en-DK" w:eastAsia="en-DK"/>
              </w:rPr>
              <w:t>2039</w:t>
            </w:r>
          </w:p>
        </w:tc>
        <w:tc>
          <w:tcPr>
            <w:tcW w:w="1020" w:type="dxa"/>
            <w:tcBorders>
              <w:top w:val="nil"/>
              <w:left w:val="nil"/>
              <w:bottom w:val="single" w:sz="4" w:space="0" w:color="FFFFFF"/>
              <w:right w:val="single" w:sz="4" w:space="0" w:color="FFFFFF"/>
            </w:tcBorders>
            <w:shd w:val="clear" w:color="B8CCE4" w:fill="B8CCE4"/>
            <w:noWrap/>
            <w:vAlign w:val="bottom"/>
            <w:hideMark/>
          </w:tcPr>
          <w:p w14:paraId="0A200506" w14:textId="77777777" w:rsidR="001F60C1" w:rsidRPr="005A0171" w:rsidRDefault="001F60C1" w:rsidP="007635B3">
            <w:pPr>
              <w:spacing w:after="0" w:line="240" w:lineRule="auto"/>
              <w:jc w:val="right"/>
              <w:rPr>
                <w:rFonts w:ascii="Calibri" w:eastAsia="Times New Roman" w:hAnsi="Calibri" w:cs="Calibri"/>
                <w:color w:val="000000"/>
                <w:lang w:val="en-DK" w:eastAsia="en-DK"/>
              </w:rPr>
            </w:pPr>
            <w:r w:rsidRPr="005A0171">
              <w:rPr>
                <w:rFonts w:ascii="Calibri" w:eastAsia="Times New Roman" w:hAnsi="Calibri" w:cs="Calibri"/>
                <w:color w:val="000000"/>
                <w:lang w:val="en-DK" w:eastAsia="en-DK"/>
              </w:rPr>
              <w:t>3231</w:t>
            </w:r>
          </w:p>
        </w:tc>
        <w:tc>
          <w:tcPr>
            <w:tcW w:w="1020" w:type="dxa"/>
            <w:tcBorders>
              <w:top w:val="nil"/>
              <w:left w:val="nil"/>
              <w:bottom w:val="single" w:sz="4" w:space="0" w:color="FFFFFF"/>
              <w:right w:val="single" w:sz="4" w:space="0" w:color="FFFFFF"/>
            </w:tcBorders>
            <w:shd w:val="clear" w:color="B8CCE4" w:fill="B8CCE4"/>
            <w:noWrap/>
            <w:vAlign w:val="bottom"/>
            <w:hideMark/>
          </w:tcPr>
          <w:p w14:paraId="096D7A3F" w14:textId="77777777" w:rsidR="001F60C1" w:rsidRPr="005A0171" w:rsidRDefault="001F60C1" w:rsidP="007635B3">
            <w:pPr>
              <w:spacing w:after="0" w:line="240" w:lineRule="auto"/>
              <w:jc w:val="right"/>
              <w:rPr>
                <w:rFonts w:ascii="Calibri" w:eastAsia="Times New Roman" w:hAnsi="Calibri" w:cs="Calibri"/>
                <w:color w:val="000000"/>
                <w:lang w:val="en-DK" w:eastAsia="en-DK"/>
              </w:rPr>
            </w:pPr>
            <w:r w:rsidRPr="005A0171">
              <w:rPr>
                <w:rFonts w:ascii="Calibri" w:eastAsia="Times New Roman" w:hAnsi="Calibri" w:cs="Calibri"/>
                <w:color w:val="000000"/>
                <w:lang w:val="en-DK" w:eastAsia="en-DK"/>
              </w:rPr>
              <w:t>5130</w:t>
            </w:r>
          </w:p>
        </w:tc>
        <w:tc>
          <w:tcPr>
            <w:tcW w:w="1120" w:type="dxa"/>
            <w:tcBorders>
              <w:top w:val="nil"/>
              <w:left w:val="nil"/>
              <w:bottom w:val="single" w:sz="4" w:space="0" w:color="FFFFFF"/>
              <w:right w:val="single" w:sz="4" w:space="0" w:color="FFFFFF"/>
            </w:tcBorders>
            <w:shd w:val="clear" w:color="B8CCE4" w:fill="B8CCE4"/>
            <w:noWrap/>
            <w:vAlign w:val="bottom"/>
            <w:hideMark/>
          </w:tcPr>
          <w:p w14:paraId="47F765CE" w14:textId="77777777" w:rsidR="001F60C1" w:rsidRPr="005A0171" w:rsidRDefault="001F60C1" w:rsidP="007635B3">
            <w:pPr>
              <w:spacing w:after="0" w:line="240" w:lineRule="auto"/>
              <w:jc w:val="right"/>
              <w:rPr>
                <w:rFonts w:ascii="Calibri" w:eastAsia="Times New Roman" w:hAnsi="Calibri" w:cs="Calibri"/>
                <w:color w:val="000000"/>
                <w:lang w:val="en-DK" w:eastAsia="en-DK"/>
              </w:rPr>
            </w:pPr>
            <w:r w:rsidRPr="005A0171">
              <w:rPr>
                <w:rFonts w:ascii="Calibri" w:eastAsia="Times New Roman" w:hAnsi="Calibri" w:cs="Calibri"/>
                <w:color w:val="000000"/>
                <w:lang w:val="en-DK" w:eastAsia="en-DK"/>
              </w:rPr>
              <w:t>8226</w:t>
            </w:r>
          </w:p>
        </w:tc>
        <w:tc>
          <w:tcPr>
            <w:tcW w:w="1120" w:type="dxa"/>
            <w:tcBorders>
              <w:top w:val="nil"/>
              <w:left w:val="nil"/>
              <w:bottom w:val="single" w:sz="4" w:space="0" w:color="FFFFFF"/>
              <w:right w:val="single" w:sz="4" w:space="0" w:color="FFFFFF"/>
            </w:tcBorders>
            <w:shd w:val="clear" w:color="B8CCE4" w:fill="B8CCE4"/>
            <w:noWrap/>
            <w:vAlign w:val="bottom"/>
            <w:hideMark/>
          </w:tcPr>
          <w:p w14:paraId="79095C09" w14:textId="77777777" w:rsidR="001F60C1" w:rsidRPr="005A0171" w:rsidRDefault="001F60C1" w:rsidP="007635B3">
            <w:pPr>
              <w:spacing w:after="0" w:line="240" w:lineRule="auto"/>
              <w:jc w:val="right"/>
              <w:rPr>
                <w:rFonts w:ascii="Calibri" w:eastAsia="Times New Roman" w:hAnsi="Calibri" w:cs="Calibri"/>
                <w:color w:val="000000"/>
                <w:lang w:val="en-DK" w:eastAsia="en-DK"/>
              </w:rPr>
            </w:pPr>
            <w:r w:rsidRPr="005A0171">
              <w:rPr>
                <w:rFonts w:ascii="Calibri" w:eastAsia="Times New Roman" w:hAnsi="Calibri" w:cs="Calibri"/>
                <w:color w:val="000000"/>
                <w:lang w:val="en-DK" w:eastAsia="en-DK"/>
              </w:rPr>
              <w:t>13237</w:t>
            </w:r>
          </w:p>
        </w:tc>
        <w:tc>
          <w:tcPr>
            <w:tcW w:w="1120" w:type="dxa"/>
            <w:tcBorders>
              <w:top w:val="nil"/>
              <w:left w:val="nil"/>
              <w:bottom w:val="single" w:sz="4" w:space="0" w:color="FFFFFF"/>
              <w:right w:val="single" w:sz="4" w:space="0" w:color="FFFFFF"/>
            </w:tcBorders>
            <w:shd w:val="clear" w:color="B8CCE4" w:fill="B8CCE4"/>
            <w:noWrap/>
            <w:vAlign w:val="bottom"/>
            <w:hideMark/>
          </w:tcPr>
          <w:p w14:paraId="771CBB0E" w14:textId="77777777" w:rsidR="001F60C1" w:rsidRPr="005A0171" w:rsidRDefault="001F60C1" w:rsidP="007635B3">
            <w:pPr>
              <w:spacing w:after="0" w:line="240" w:lineRule="auto"/>
              <w:jc w:val="right"/>
              <w:rPr>
                <w:rFonts w:ascii="Calibri" w:eastAsia="Times New Roman" w:hAnsi="Calibri" w:cs="Calibri"/>
                <w:color w:val="000000"/>
                <w:lang w:val="en-DK" w:eastAsia="en-DK"/>
              </w:rPr>
            </w:pPr>
            <w:r w:rsidRPr="005A0171">
              <w:rPr>
                <w:rFonts w:ascii="Calibri" w:eastAsia="Times New Roman" w:hAnsi="Calibri" w:cs="Calibri"/>
                <w:color w:val="000000"/>
                <w:lang w:val="en-DK" w:eastAsia="en-DK"/>
              </w:rPr>
              <w:t>21369</w:t>
            </w:r>
          </w:p>
        </w:tc>
      </w:tr>
      <w:tr w:rsidR="001F60C1" w:rsidRPr="005A0171" w14:paraId="57E1C569" w14:textId="77777777" w:rsidTr="007635B3">
        <w:trPr>
          <w:trHeight w:val="288"/>
        </w:trPr>
        <w:tc>
          <w:tcPr>
            <w:tcW w:w="1846" w:type="dxa"/>
            <w:tcBorders>
              <w:top w:val="nil"/>
              <w:left w:val="single" w:sz="4" w:space="0" w:color="FFFFFF"/>
              <w:bottom w:val="single" w:sz="4" w:space="0" w:color="FFFFFF"/>
              <w:right w:val="single" w:sz="4" w:space="0" w:color="FFFFFF"/>
            </w:tcBorders>
            <w:shd w:val="clear" w:color="DCE6F1" w:fill="DCE6F1"/>
            <w:noWrap/>
            <w:vAlign w:val="bottom"/>
            <w:hideMark/>
          </w:tcPr>
          <w:p w14:paraId="6B416F26" w14:textId="77777777" w:rsidR="001F60C1" w:rsidRPr="005A0171" w:rsidRDefault="001F60C1" w:rsidP="007635B3">
            <w:pPr>
              <w:spacing w:after="0" w:line="240" w:lineRule="auto"/>
              <w:rPr>
                <w:rFonts w:ascii="Calibri" w:eastAsia="Times New Roman" w:hAnsi="Calibri" w:cs="Calibri"/>
                <w:color w:val="000000"/>
                <w:lang w:val="en-DK" w:eastAsia="en-DK"/>
              </w:rPr>
            </w:pPr>
            <w:r w:rsidRPr="005A0171">
              <w:rPr>
                <w:rFonts w:ascii="Calibri" w:eastAsia="Times New Roman" w:hAnsi="Calibri" w:cs="Calibri"/>
                <w:color w:val="000000"/>
                <w:lang w:val="en-DK" w:eastAsia="en-DK"/>
              </w:rPr>
              <w:t>gas|secondary</w:t>
            </w:r>
          </w:p>
        </w:tc>
        <w:tc>
          <w:tcPr>
            <w:tcW w:w="1020" w:type="dxa"/>
            <w:tcBorders>
              <w:top w:val="nil"/>
              <w:left w:val="nil"/>
              <w:bottom w:val="single" w:sz="4" w:space="0" w:color="FFFFFF"/>
              <w:right w:val="single" w:sz="4" w:space="0" w:color="FFFFFF"/>
            </w:tcBorders>
            <w:shd w:val="clear" w:color="DCE6F1" w:fill="DCE6F1"/>
            <w:noWrap/>
            <w:vAlign w:val="bottom"/>
            <w:hideMark/>
          </w:tcPr>
          <w:p w14:paraId="4851F2A6" w14:textId="2C496DA0" w:rsidR="00C80A46" w:rsidRPr="005A0171" w:rsidRDefault="001F60C1" w:rsidP="00A36486">
            <w:pPr>
              <w:spacing w:after="0" w:line="240" w:lineRule="auto"/>
              <w:jc w:val="right"/>
              <w:rPr>
                <w:rFonts w:ascii="Calibri" w:eastAsia="Times New Roman" w:hAnsi="Calibri" w:cs="Calibri"/>
                <w:color w:val="000000"/>
                <w:lang w:eastAsia="en-DK"/>
              </w:rPr>
            </w:pPr>
            <w:r w:rsidRPr="005A0171">
              <w:rPr>
                <w:rFonts w:ascii="Calibri" w:eastAsia="Times New Roman" w:hAnsi="Calibri" w:cs="Calibri"/>
                <w:color w:val="000000"/>
                <w:lang w:val="en-DK" w:eastAsia="en-DK"/>
              </w:rPr>
              <w:t> </w:t>
            </w:r>
            <w:r w:rsidR="00C80A46">
              <w:rPr>
                <w:rFonts w:ascii="Calibri" w:eastAsia="Times New Roman" w:hAnsi="Calibri" w:cs="Calibri"/>
                <w:color w:val="000000"/>
                <w:lang w:eastAsia="en-DK"/>
              </w:rPr>
              <w:t>0</w:t>
            </w:r>
          </w:p>
        </w:tc>
        <w:tc>
          <w:tcPr>
            <w:tcW w:w="1020" w:type="dxa"/>
            <w:tcBorders>
              <w:top w:val="nil"/>
              <w:left w:val="nil"/>
              <w:bottom w:val="single" w:sz="4" w:space="0" w:color="FFFFFF"/>
              <w:right w:val="single" w:sz="4" w:space="0" w:color="FFFFFF"/>
            </w:tcBorders>
            <w:shd w:val="clear" w:color="DCE6F1" w:fill="DCE6F1"/>
            <w:noWrap/>
            <w:vAlign w:val="bottom"/>
            <w:hideMark/>
          </w:tcPr>
          <w:p w14:paraId="0AD6AF3D" w14:textId="77777777" w:rsidR="001F60C1" w:rsidRPr="005A0171" w:rsidRDefault="001F60C1" w:rsidP="007635B3">
            <w:pPr>
              <w:spacing w:after="0" w:line="240" w:lineRule="auto"/>
              <w:jc w:val="right"/>
              <w:rPr>
                <w:rFonts w:ascii="Calibri" w:eastAsia="Times New Roman" w:hAnsi="Calibri" w:cs="Calibri"/>
                <w:color w:val="000000"/>
                <w:lang w:val="en-DK" w:eastAsia="en-DK"/>
              </w:rPr>
            </w:pPr>
            <w:r w:rsidRPr="005A0171">
              <w:rPr>
                <w:rFonts w:ascii="Calibri" w:eastAsia="Times New Roman" w:hAnsi="Calibri" w:cs="Calibri"/>
                <w:color w:val="000000"/>
                <w:lang w:val="en-DK" w:eastAsia="en-DK"/>
              </w:rPr>
              <w:t>2150</w:t>
            </w:r>
          </w:p>
        </w:tc>
        <w:tc>
          <w:tcPr>
            <w:tcW w:w="1020" w:type="dxa"/>
            <w:tcBorders>
              <w:top w:val="nil"/>
              <w:left w:val="nil"/>
              <w:bottom w:val="single" w:sz="4" w:space="0" w:color="FFFFFF"/>
              <w:right w:val="single" w:sz="4" w:space="0" w:color="FFFFFF"/>
            </w:tcBorders>
            <w:shd w:val="clear" w:color="DCE6F1" w:fill="DCE6F1"/>
            <w:noWrap/>
            <w:vAlign w:val="bottom"/>
            <w:hideMark/>
          </w:tcPr>
          <w:p w14:paraId="690D5DF9" w14:textId="77777777" w:rsidR="001F60C1" w:rsidRPr="005A0171" w:rsidRDefault="001F60C1" w:rsidP="007635B3">
            <w:pPr>
              <w:spacing w:after="0" w:line="240" w:lineRule="auto"/>
              <w:jc w:val="right"/>
              <w:rPr>
                <w:rFonts w:ascii="Calibri" w:eastAsia="Times New Roman" w:hAnsi="Calibri" w:cs="Calibri"/>
                <w:color w:val="000000"/>
                <w:lang w:val="en-DK" w:eastAsia="en-DK"/>
              </w:rPr>
            </w:pPr>
            <w:r w:rsidRPr="005A0171">
              <w:rPr>
                <w:rFonts w:ascii="Calibri" w:eastAsia="Times New Roman" w:hAnsi="Calibri" w:cs="Calibri"/>
                <w:color w:val="000000"/>
                <w:lang w:val="en-DK" w:eastAsia="en-DK"/>
              </w:rPr>
              <w:t>3926</w:t>
            </w:r>
          </w:p>
        </w:tc>
        <w:tc>
          <w:tcPr>
            <w:tcW w:w="1120" w:type="dxa"/>
            <w:tcBorders>
              <w:top w:val="nil"/>
              <w:left w:val="nil"/>
              <w:bottom w:val="single" w:sz="4" w:space="0" w:color="FFFFFF"/>
              <w:right w:val="single" w:sz="4" w:space="0" w:color="FFFFFF"/>
            </w:tcBorders>
            <w:shd w:val="clear" w:color="DCE6F1" w:fill="DCE6F1"/>
            <w:noWrap/>
            <w:vAlign w:val="bottom"/>
            <w:hideMark/>
          </w:tcPr>
          <w:p w14:paraId="40DAF6BE" w14:textId="77777777" w:rsidR="001F60C1" w:rsidRPr="005A0171" w:rsidRDefault="001F60C1" w:rsidP="007635B3">
            <w:pPr>
              <w:spacing w:after="0" w:line="240" w:lineRule="auto"/>
              <w:jc w:val="right"/>
              <w:rPr>
                <w:rFonts w:ascii="Calibri" w:eastAsia="Times New Roman" w:hAnsi="Calibri" w:cs="Calibri"/>
                <w:color w:val="000000"/>
                <w:lang w:val="en-DK" w:eastAsia="en-DK"/>
              </w:rPr>
            </w:pPr>
            <w:r w:rsidRPr="005A0171">
              <w:rPr>
                <w:rFonts w:ascii="Calibri" w:eastAsia="Times New Roman" w:hAnsi="Calibri" w:cs="Calibri"/>
                <w:color w:val="000000"/>
                <w:lang w:val="en-DK" w:eastAsia="en-DK"/>
              </w:rPr>
              <w:t>5978</w:t>
            </w:r>
          </w:p>
        </w:tc>
        <w:tc>
          <w:tcPr>
            <w:tcW w:w="1120" w:type="dxa"/>
            <w:tcBorders>
              <w:top w:val="nil"/>
              <w:left w:val="nil"/>
              <w:bottom w:val="single" w:sz="4" w:space="0" w:color="FFFFFF"/>
              <w:right w:val="single" w:sz="4" w:space="0" w:color="FFFFFF"/>
            </w:tcBorders>
            <w:shd w:val="clear" w:color="DCE6F1" w:fill="DCE6F1"/>
            <w:noWrap/>
            <w:vAlign w:val="bottom"/>
            <w:hideMark/>
          </w:tcPr>
          <w:p w14:paraId="2B38B655" w14:textId="77777777" w:rsidR="001F60C1" w:rsidRPr="005A0171" w:rsidRDefault="001F60C1" w:rsidP="007635B3">
            <w:pPr>
              <w:spacing w:after="0" w:line="240" w:lineRule="auto"/>
              <w:jc w:val="right"/>
              <w:rPr>
                <w:rFonts w:ascii="Calibri" w:eastAsia="Times New Roman" w:hAnsi="Calibri" w:cs="Calibri"/>
                <w:color w:val="000000"/>
                <w:lang w:val="en-DK" w:eastAsia="en-DK"/>
              </w:rPr>
            </w:pPr>
            <w:r w:rsidRPr="005A0171">
              <w:rPr>
                <w:rFonts w:ascii="Calibri" w:eastAsia="Times New Roman" w:hAnsi="Calibri" w:cs="Calibri"/>
                <w:color w:val="000000"/>
                <w:lang w:val="en-DK" w:eastAsia="en-DK"/>
              </w:rPr>
              <w:t>9615</w:t>
            </w:r>
          </w:p>
        </w:tc>
        <w:tc>
          <w:tcPr>
            <w:tcW w:w="1120" w:type="dxa"/>
            <w:tcBorders>
              <w:top w:val="nil"/>
              <w:left w:val="nil"/>
              <w:bottom w:val="single" w:sz="4" w:space="0" w:color="FFFFFF"/>
              <w:right w:val="nil"/>
            </w:tcBorders>
            <w:shd w:val="clear" w:color="DCE6F1" w:fill="DCE6F1"/>
            <w:noWrap/>
            <w:vAlign w:val="bottom"/>
            <w:hideMark/>
          </w:tcPr>
          <w:p w14:paraId="39B7B684" w14:textId="77777777" w:rsidR="001F60C1" w:rsidRPr="005A0171" w:rsidRDefault="001F60C1" w:rsidP="007635B3">
            <w:pPr>
              <w:spacing w:after="0" w:line="240" w:lineRule="auto"/>
              <w:jc w:val="right"/>
              <w:rPr>
                <w:rFonts w:ascii="Calibri" w:eastAsia="Times New Roman" w:hAnsi="Calibri" w:cs="Calibri"/>
                <w:color w:val="000000"/>
                <w:lang w:val="en-DK" w:eastAsia="en-DK"/>
              </w:rPr>
            </w:pPr>
            <w:r w:rsidRPr="005A0171">
              <w:rPr>
                <w:rFonts w:ascii="Calibri" w:eastAsia="Times New Roman" w:hAnsi="Calibri" w:cs="Calibri"/>
                <w:color w:val="000000"/>
                <w:lang w:val="en-DK" w:eastAsia="en-DK"/>
              </w:rPr>
              <w:t>15516</w:t>
            </w:r>
          </w:p>
        </w:tc>
      </w:tr>
      <w:tr w:rsidR="001F60C1" w:rsidRPr="005A0171" w14:paraId="193A9E56" w14:textId="77777777" w:rsidTr="007635B3">
        <w:trPr>
          <w:trHeight w:val="288"/>
        </w:trPr>
        <w:tc>
          <w:tcPr>
            <w:tcW w:w="1846" w:type="dxa"/>
            <w:tcBorders>
              <w:top w:val="nil"/>
              <w:left w:val="single" w:sz="4" w:space="0" w:color="FFFFFF"/>
              <w:bottom w:val="single" w:sz="4" w:space="0" w:color="FFFFFF"/>
              <w:right w:val="single" w:sz="4" w:space="0" w:color="FFFFFF"/>
            </w:tcBorders>
            <w:shd w:val="clear" w:color="B8CCE4" w:fill="B8CCE4"/>
            <w:noWrap/>
            <w:vAlign w:val="bottom"/>
            <w:hideMark/>
          </w:tcPr>
          <w:p w14:paraId="0B5F36B9" w14:textId="77777777" w:rsidR="001F60C1" w:rsidRPr="005A0171" w:rsidRDefault="001F60C1" w:rsidP="007635B3">
            <w:pPr>
              <w:spacing w:after="0" w:line="240" w:lineRule="auto"/>
              <w:rPr>
                <w:rFonts w:ascii="Calibri" w:eastAsia="Times New Roman" w:hAnsi="Calibri" w:cs="Calibri"/>
                <w:color w:val="000000"/>
                <w:lang w:val="en-DK" w:eastAsia="en-DK"/>
              </w:rPr>
            </w:pPr>
            <w:r w:rsidRPr="005A0171">
              <w:rPr>
                <w:rFonts w:ascii="Calibri" w:eastAsia="Times New Roman" w:hAnsi="Calibri" w:cs="Calibri"/>
                <w:color w:val="000000"/>
                <w:lang w:val="en-DK" w:eastAsia="en-DK"/>
              </w:rPr>
              <w:t>lightoil|secondary</w:t>
            </w:r>
          </w:p>
        </w:tc>
        <w:tc>
          <w:tcPr>
            <w:tcW w:w="1020" w:type="dxa"/>
            <w:tcBorders>
              <w:top w:val="nil"/>
              <w:left w:val="nil"/>
              <w:bottom w:val="single" w:sz="4" w:space="0" w:color="FFFFFF"/>
              <w:right w:val="single" w:sz="4" w:space="0" w:color="FFFFFF"/>
            </w:tcBorders>
            <w:shd w:val="clear" w:color="B8CCE4" w:fill="B8CCE4"/>
            <w:noWrap/>
            <w:vAlign w:val="bottom"/>
            <w:hideMark/>
          </w:tcPr>
          <w:p w14:paraId="5EC3080F" w14:textId="77777777" w:rsidR="001F60C1" w:rsidRPr="005A0171" w:rsidRDefault="001F60C1" w:rsidP="007635B3">
            <w:pPr>
              <w:spacing w:after="0" w:line="240" w:lineRule="auto"/>
              <w:jc w:val="right"/>
              <w:rPr>
                <w:rFonts w:ascii="Calibri" w:eastAsia="Times New Roman" w:hAnsi="Calibri" w:cs="Calibri"/>
                <w:color w:val="000000"/>
                <w:lang w:val="en-DK" w:eastAsia="en-DK"/>
              </w:rPr>
            </w:pPr>
            <w:r w:rsidRPr="005A0171">
              <w:rPr>
                <w:rFonts w:ascii="Calibri" w:eastAsia="Times New Roman" w:hAnsi="Calibri" w:cs="Calibri"/>
                <w:color w:val="000000"/>
                <w:lang w:val="en-DK" w:eastAsia="en-DK"/>
              </w:rPr>
              <w:t>0</w:t>
            </w:r>
          </w:p>
        </w:tc>
        <w:tc>
          <w:tcPr>
            <w:tcW w:w="1020" w:type="dxa"/>
            <w:tcBorders>
              <w:top w:val="nil"/>
              <w:left w:val="nil"/>
              <w:bottom w:val="single" w:sz="4" w:space="0" w:color="FFFFFF"/>
              <w:right w:val="single" w:sz="4" w:space="0" w:color="FFFFFF"/>
            </w:tcBorders>
            <w:shd w:val="clear" w:color="B8CCE4" w:fill="B8CCE4"/>
            <w:noWrap/>
            <w:vAlign w:val="bottom"/>
            <w:hideMark/>
          </w:tcPr>
          <w:p w14:paraId="7B1911C5" w14:textId="77777777" w:rsidR="001F60C1" w:rsidRPr="005A0171" w:rsidRDefault="001F60C1" w:rsidP="007635B3">
            <w:pPr>
              <w:spacing w:after="0" w:line="240" w:lineRule="auto"/>
              <w:jc w:val="right"/>
              <w:rPr>
                <w:rFonts w:ascii="Calibri" w:eastAsia="Times New Roman" w:hAnsi="Calibri" w:cs="Calibri"/>
                <w:color w:val="000000"/>
                <w:lang w:val="en-DK" w:eastAsia="en-DK"/>
              </w:rPr>
            </w:pPr>
            <w:r w:rsidRPr="005A0171">
              <w:rPr>
                <w:rFonts w:ascii="Calibri" w:eastAsia="Times New Roman" w:hAnsi="Calibri" w:cs="Calibri"/>
                <w:color w:val="000000"/>
                <w:lang w:val="en-DK" w:eastAsia="en-DK"/>
              </w:rPr>
              <w:t>2698</w:t>
            </w:r>
          </w:p>
        </w:tc>
        <w:tc>
          <w:tcPr>
            <w:tcW w:w="1020" w:type="dxa"/>
            <w:tcBorders>
              <w:top w:val="nil"/>
              <w:left w:val="nil"/>
              <w:bottom w:val="single" w:sz="4" w:space="0" w:color="FFFFFF"/>
              <w:right w:val="single" w:sz="4" w:space="0" w:color="FFFFFF"/>
            </w:tcBorders>
            <w:shd w:val="clear" w:color="B8CCE4" w:fill="B8CCE4"/>
            <w:noWrap/>
            <w:vAlign w:val="bottom"/>
            <w:hideMark/>
          </w:tcPr>
          <w:p w14:paraId="0BCBA91B" w14:textId="77777777" w:rsidR="001F60C1" w:rsidRPr="005A0171" w:rsidRDefault="001F60C1" w:rsidP="007635B3">
            <w:pPr>
              <w:spacing w:after="0" w:line="240" w:lineRule="auto"/>
              <w:jc w:val="right"/>
              <w:rPr>
                <w:rFonts w:ascii="Calibri" w:eastAsia="Times New Roman" w:hAnsi="Calibri" w:cs="Calibri"/>
                <w:color w:val="000000"/>
                <w:lang w:val="en-DK" w:eastAsia="en-DK"/>
              </w:rPr>
            </w:pPr>
            <w:r w:rsidRPr="005A0171">
              <w:rPr>
                <w:rFonts w:ascii="Calibri" w:eastAsia="Times New Roman" w:hAnsi="Calibri" w:cs="Calibri"/>
                <w:color w:val="000000"/>
                <w:lang w:val="en-DK" w:eastAsia="en-DK"/>
              </w:rPr>
              <w:t>4778</w:t>
            </w:r>
          </w:p>
        </w:tc>
        <w:tc>
          <w:tcPr>
            <w:tcW w:w="1120" w:type="dxa"/>
            <w:tcBorders>
              <w:top w:val="nil"/>
              <w:left w:val="nil"/>
              <w:bottom w:val="single" w:sz="4" w:space="0" w:color="FFFFFF"/>
              <w:right w:val="single" w:sz="4" w:space="0" w:color="FFFFFF"/>
            </w:tcBorders>
            <w:shd w:val="clear" w:color="B8CCE4" w:fill="B8CCE4"/>
            <w:noWrap/>
            <w:vAlign w:val="bottom"/>
            <w:hideMark/>
          </w:tcPr>
          <w:p w14:paraId="1F233213" w14:textId="77777777" w:rsidR="001F60C1" w:rsidRPr="005A0171" w:rsidRDefault="001F60C1" w:rsidP="007635B3">
            <w:pPr>
              <w:spacing w:after="0" w:line="240" w:lineRule="auto"/>
              <w:jc w:val="right"/>
              <w:rPr>
                <w:rFonts w:ascii="Calibri" w:eastAsia="Times New Roman" w:hAnsi="Calibri" w:cs="Calibri"/>
                <w:color w:val="000000"/>
                <w:lang w:val="en-DK" w:eastAsia="en-DK"/>
              </w:rPr>
            </w:pPr>
            <w:r w:rsidRPr="005A0171">
              <w:rPr>
                <w:rFonts w:ascii="Calibri" w:eastAsia="Times New Roman" w:hAnsi="Calibri" w:cs="Calibri"/>
                <w:color w:val="000000"/>
                <w:lang w:val="en-DK" w:eastAsia="en-DK"/>
              </w:rPr>
              <w:t>7074</w:t>
            </w:r>
          </w:p>
        </w:tc>
        <w:tc>
          <w:tcPr>
            <w:tcW w:w="1120" w:type="dxa"/>
            <w:tcBorders>
              <w:top w:val="nil"/>
              <w:left w:val="nil"/>
              <w:bottom w:val="single" w:sz="4" w:space="0" w:color="FFFFFF"/>
              <w:right w:val="single" w:sz="4" w:space="0" w:color="FFFFFF"/>
            </w:tcBorders>
            <w:shd w:val="clear" w:color="B8CCE4" w:fill="B8CCE4"/>
            <w:noWrap/>
            <w:vAlign w:val="bottom"/>
            <w:hideMark/>
          </w:tcPr>
          <w:p w14:paraId="2444BE66" w14:textId="77777777" w:rsidR="001F60C1" w:rsidRPr="005A0171" w:rsidRDefault="001F60C1" w:rsidP="007635B3">
            <w:pPr>
              <w:spacing w:after="0" w:line="240" w:lineRule="auto"/>
              <w:jc w:val="right"/>
              <w:rPr>
                <w:rFonts w:ascii="Calibri" w:eastAsia="Times New Roman" w:hAnsi="Calibri" w:cs="Calibri"/>
                <w:color w:val="000000"/>
                <w:lang w:val="en-DK" w:eastAsia="en-DK"/>
              </w:rPr>
            </w:pPr>
            <w:r w:rsidRPr="005A0171">
              <w:rPr>
                <w:rFonts w:ascii="Calibri" w:eastAsia="Times New Roman" w:hAnsi="Calibri" w:cs="Calibri"/>
                <w:color w:val="000000"/>
                <w:lang w:val="en-DK" w:eastAsia="en-DK"/>
              </w:rPr>
              <w:t>11591</w:t>
            </w:r>
          </w:p>
        </w:tc>
        <w:tc>
          <w:tcPr>
            <w:tcW w:w="1120" w:type="dxa"/>
            <w:tcBorders>
              <w:top w:val="nil"/>
              <w:left w:val="nil"/>
              <w:bottom w:val="single" w:sz="4" w:space="0" w:color="FFFFFF"/>
              <w:right w:val="nil"/>
            </w:tcBorders>
            <w:shd w:val="clear" w:color="B8CCE4" w:fill="B8CCE4"/>
            <w:noWrap/>
            <w:vAlign w:val="bottom"/>
            <w:hideMark/>
          </w:tcPr>
          <w:p w14:paraId="7C490B12" w14:textId="77777777" w:rsidR="001F60C1" w:rsidRPr="005A0171" w:rsidRDefault="001F60C1" w:rsidP="007635B3">
            <w:pPr>
              <w:spacing w:after="0" w:line="240" w:lineRule="auto"/>
              <w:jc w:val="right"/>
              <w:rPr>
                <w:rFonts w:ascii="Calibri" w:eastAsia="Times New Roman" w:hAnsi="Calibri" w:cs="Calibri"/>
                <w:color w:val="000000"/>
                <w:lang w:val="en-DK" w:eastAsia="en-DK"/>
              </w:rPr>
            </w:pPr>
            <w:r w:rsidRPr="005A0171">
              <w:rPr>
                <w:rFonts w:ascii="Calibri" w:eastAsia="Times New Roman" w:hAnsi="Calibri" w:cs="Calibri"/>
                <w:color w:val="000000"/>
                <w:lang w:val="en-DK" w:eastAsia="en-DK"/>
              </w:rPr>
              <w:t>18932</w:t>
            </w:r>
          </w:p>
        </w:tc>
      </w:tr>
    </w:tbl>
    <w:p w14:paraId="79501F03" w14:textId="77777777" w:rsidR="001F60C1" w:rsidRDefault="001F60C1" w:rsidP="003D2B0B"/>
    <w:p w14:paraId="76428821" w14:textId="62CB656F" w:rsidR="001F60C1" w:rsidRPr="001F60C1" w:rsidRDefault="001F60C1" w:rsidP="003D2B0B">
      <w:pPr>
        <w:rPr>
          <w:b/>
          <w:bCs/>
        </w:rPr>
      </w:pPr>
      <w:r>
        <w:rPr>
          <w:b/>
          <w:bCs/>
        </w:rPr>
        <w:t>Cost</w:t>
      </w:r>
    </w:p>
    <w:p w14:paraId="0D08B12C" w14:textId="73F5BDB5" w:rsidR="00842023" w:rsidRPr="00A650BD" w:rsidRDefault="00610AB1" w:rsidP="003D2B0B">
      <w:r>
        <w:t xml:space="preserve">The objective function (summed cost) is </w:t>
      </w:r>
      <w:r w:rsidR="00562CD9">
        <w:t>66135.5 million USD</w:t>
      </w:r>
      <w:r w:rsidR="00F23989">
        <w:t xml:space="preserve"> or </w:t>
      </w:r>
      <w:r w:rsidR="00D92AF9">
        <w:t>89535</w:t>
      </w:r>
      <w:r w:rsidR="00974537">
        <w:t>.0</w:t>
      </w:r>
      <w:r w:rsidR="00D92AF9">
        <w:t xml:space="preserve"> million USD for the high emission and low emission cement scenario, respectively. </w:t>
      </w:r>
      <w:r w:rsidR="005820A5">
        <w:t xml:space="preserve">It is 63014.6 million USD and </w:t>
      </w:r>
      <w:r w:rsidR="002C74D1">
        <w:t>84006.0 million U</w:t>
      </w:r>
      <w:r w:rsidR="00FE55A6">
        <w:t xml:space="preserve">SD for the high and low baseline scenario, respectively. </w:t>
      </w:r>
      <w:r w:rsidR="00BE7F57">
        <w:t>In a cement scenario with a CO2 emission bound on 500 Mt</w:t>
      </w:r>
      <w:r w:rsidR="0072555C">
        <w:t xml:space="preserve"> per year on average, the objective function was </w:t>
      </w:r>
      <w:r w:rsidR="00F1385B">
        <w:t>67692.6 million USD</w:t>
      </w:r>
      <w:r w:rsidR="00105575">
        <w:t>,</w:t>
      </w:r>
      <w:r w:rsidR="00F1385B">
        <w:t xml:space="preserve"> and clinker burning activity showed no use of CCS or optimized kiln. </w:t>
      </w:r>
      <w:r w:rsidR="006D325C">
        <w:t xml:space="preserve">The objective function for that bound was </w:t>
      </w:r>
      <w:r w:rsidR="001E6242">
        <w:t>64</w:t>
      </w:r>
      <w:r w:rsidR="00FA2FC3">
        <w:t>3</w:t>
      </w:r>
      <w:r w:rsidR="001E6242">
        <w:t>85</w:t>
      </w:r>
      <w:r w:rsidR="00FA2FC3">
        <w:t>.9</w:t>
      </w:r>
      <w:r w:rsidR="001E6242">
        <w:t xml:space="preserve"> million USD in the baseline scenario.</w:t>
      </w:r>
      <w:r w:rsidR="00842023">
        <w:t xml:space="preserve"> </w:t>
      </w:r>
      <w:r w:rsidR="00F93CA6">
        <w:fldChar w:fldCharType="begin"/>
      </w:r>
      <w:r w:rsidR="00F93CA6">
        <w:instrText xml:space="preserve"> REF _Ref101220279 \h </w:instrText>
      </w:r>
      <w:r w:rsidR="00F93CA6">
        <w:fldChar w:fldCharType="separate"/>
      </w:r>
      <w:r w:rsidR="001B47DF">
        <w:t xml:space="preserve">Figure </w:t>
      </w:r>
      <w:r w:rsidR="001B47DF">
        <w:rPr>
          <w:noProof/>
        </w:rPr>
        <w:t>6</w:t>
      </w:r>
      <w:r w:rsidR="00F93CA6">
        <w:fldChar w:fldCharType="end"/>
      </w:r>
      <w:r w:rsidR="00F93CA6">
        <w:t xml:space="preserve"> </w:t>
      </w:r>
      <w:r w:rsidR="00842023">
        <w:t xml:space="preserve">shows the </w:t>
      </w:r>
      <w:r w:rsidR="00D408CE">
        <w:t xml:space="preserve">cost difference between </w:t>
      </w:r>
      <w:r w:rsidR="001F3012">
        <w:t xml:space="preserve">the cement and baseline </w:t>
      </w:r>
      <w:r w:rsidR="00D408CE">
        <w:t>scenarios</w:t>
      </w:r>
      <w:r w:rsidR="001F3012">
        <w:t xml:space="preserve"> with different CO2 emission bounds</w:t>
      </w:r>
      <w:r w:rsidR="00D408CE">
        <w:t xml:space="preserve">, the </w:t>
      </w:r>
      <w:r w:rsidR="00044DAF">
        <w:t xml:space="preserve">curve is shown in the figure as </w:t>
      </w:r>
      <w:r w:rsidR="00044DAF">
        <w:rPr>
          <w:i/>
          <w:iCs/>
        </w:rPr>
        <w:t>a</w:t>
      </w:r>
      <w:r w:rsidR="00044DAF">
        <w:t xml:space="preserve"> </w:t>
      </w:r>
      <w:r w:rsidR="00163E49">
        <w:t xml:space="preserve">in a linear </w:t>
      </w:r>
      <w:r w:rsidR="00A650BD">
        <w:t xml:space="preserve">equation </w:t>
      </w:r>
      <w:r w:rsidR="00A650BD">
        <w:rPr>
          <w:i/>
          <w:iCs/>
        </w:rPr>
        <w:t>ax+b</w:t>
      </w:r>
      <w:r w:rsidR="00C00EC5">
        <w:t xml:space="preserve"> to support what visually is only a small difference.</w:t>
      </w:r>
    </w:p>
    <w:p w14:paraId="1996B6A4" w14:textId="77777777" w:rsidR="00F93CA6" w:rsidRDefault="00E64F97" w:rsidP="00F93CA6">
      <w:pPr>
        <w:keepNext/>
      </w:pPr>
      <w:r>
        <w:rPr>
          <w:noProof/>
        </w:rPr>
        <w:drawing>
          <wp:inline distT="0" distB="0" distL="0" distR="0" wp14:anchorId="2ADBE3B7" wp14:editId="3507F616">
            <wp:extent cx="5731510" cy="2423160"/>
            <wp:effectExtent l="0" t="0" r="254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13"/>
                    <a:srcRect b="1522"/>
                    <a:stretch/>
                  </pic:blipFill>
                  <pic:spPr bwMode="auto">
                    <a:xfrm>
                      <a:off x="0" y="0"/>
                      <a:ext cx="5731510" cy="2423160"/>
                    </a:xfrm>
                    <a:prstGeom prst="rect">
                      <a:avLst/>
                    </a:prstGeom>
                    <a:ln>
                      <a:noFill/>
                    </a:ln>
                    <a:extLst>
                      <a:ext uri="{53640926-AAD7-44D8-BBD7-CCE9431645EC}">
                        <a14:shadowObscured xmlns:a14="http://schemas.microsoft.com/office/drawing/2010/main"/>
                      </a:ext>
                    </a:extLst>
                  </pic:spPr>
                </pic:pic>
              </a:graphicData>
            </a:graphic>
          </wp:inline>
        </w:drawing>
      </w:r>
    </w:p>
    <w:p w14:paraId="17C343F2" w14:textId="1493C62A" w:rsidR="00E64F97" w:rsidRDefault="00F93CA6" w:rsidP="00F93CA6">
      <w:pPr>
        <w:pStyle w:val="Caption"/>
      </w:pPr>
      <w:bookmarkStart w:id="8" w:name="_Ref101220279"/>
      <w:r>
        <w:t xml:space="preserve">Figure </w:t>
      </w:r>
      <w:r>
        <w:fldChar w:fldCharType="begin"/>
      </w:r>
      <w:r>
        <w:instrText xml:space="preserve"> SEQ Figure \* ARABIC </w:instrText>
      </w:r>
      <w:r>
        <w:fldChar w:fldCharType="separate"/>
      </w:r>
      <w:r w:rsidR="00AE4F8A">
        <w:rPr>
          <w:noProof/>
        </w:rPr>
        <w:t>6</w:t>
      </w:r>
      <w:r>
        <w:fldChar w:fldCharType="end"/>
      </w:r>
      <w:bookmarkEnd w:id="8"/>
      <w:r>
        <w:t>: Objective function or aggregated cost in million USD for 6 different scenarios: The cement and baseline scenarios at three different emission bounds.</w:t>
      </w:r>
    </w:p>
    <w:p w14:paraId="3BF453B3" w14:textId="2379636E" w:rsidR="0074547E" w:rsidRDefault="00C00EC5" w:rsidP="000E01FF">
      <w:r>
        <w:t>T</w:t>
      </w:r>
      <w:r w:rsidR="00A650BD">
        <w:t xml:space="preserve">he same technologies, and therefore cost, is used </w:t>
      </w:r>
      <w:r w:rsidR="00EF338F">
        <w:t xml:space="preserve">to </w:t>
      </w:r>
      <w:r w:rsidR="000776D9">
        <w:t xml:space="preserve">meet the </w:t>
      </w:r>
      <w:r w:rsidR="00A650BD">
        <w:t>cement demand</w:t>
      </w:r>
      <w:r w:rsidR="000776D9">
        <w:t xml:space="preserve"> when no bounds or 500Mt bound is introduced. </w:t>
      </w:r>
      <w:r w:rsidR="006C2CA6">
        <w:t>S</w:t>
      </w:r>
      <w:r w:rsidR="00A650BD">
        <w:t>imultaneously there is a cost increase</w:t>
      </w:r>
      <w:r w:rsidR="004C3724">
        <w:t>. The difference in price between cement and baseline is higher for the 500 Mt bound scenario than the scenario where no CO2 bounds have been made.</w:t>
      </w:r>
      <w:r w:rsidR="00A650BD">
        <w:t xml:space="preserve"> </w:t>
      </w:r>
      <w:r w:rsidR="003A0CB7">
        <w:t xml:space="preserve">This </w:t>
      </w:r>
      <w:r w:rsidR="00A650BD">
        <w:t xml:space="preserve">cost </w:t>
      </w:r>
      <w:r w:rsidR="003A0CB7">
        <w:t xml:space="preserve">difference </w:t>
      </w:r>
      <w:r w:rsidR="00A650BD">
        <w:t>must stem from a more costly energy production</w:t>
      </w:r>
      <w:r w:rsidR="003A0CB7">
        <w:t xml:space="preserve"> since </w:t>
      </w:r>
      <w:r w:rsidR="00687931">
        <w:t>there is no difference in the use of clinker technology</w:t>
      </w:r>
      <w:r w:rsidR="00A650BD">
        <w:t>. The even greater difference in cost in the lowest CO2 bound scenarios is mostly caused by the optimized kiln and CCS clinker technologies</w:t>
      </w:r>
      <w:r w:rsidR="00687931">
        <w:t xml:space="preserve"> that </w:t>
      </w:r>
      <w:r w:rsidR="0016561E">
        <w:t>makes extra costs on top of the more expensive energy infrastructure</w:t>
      </w:r>
      <w:r w:rsidR="00A650BD">
        <w:t>.</w:t>
      </w:r>
    </w:p>
    <w:p w14:paraId="02E836C6" w14:textId="77777777" w:rsidR="00D21311" w:rsidRPr="000E01FF" w:rsidRDefault="00D21311" w:rsidP="000E01FF"/>
    <w:p w14:paraId="73157EEA" w14:textId="0027C0BC" w:rsidR="009219B8" w:rsidRDefault="000E01FF" w:rsidP="00D21311">
      <w:pPr>
        <w:pStyle w:val="Heading2"/>
      </w:pPr>
      <w:r w:rsidRPr="000E01FF">
        <w:t>Discussion</w:t>
      </w:r>
    </w:p>
    <w:p w14:paraId="738AFB78" w14:textId="77777777" w:rsidR="006621AF" w:rsidRDefault="006621AF" w:rsidP="009219B8">
      <w:pPr>
        <w:rPr>
          <w:b/>
          <w:bCs/>
        </w:rPr>
      </w:pPr>
    </w:p>
    <w:p w14:paraId="5AAC1C4A" w14:textId="5FFFCDE7" w:rsidR="009219B8" w:rsidRDefault="009219B8" w:rsidP="009219B8">
      <w:pPr>
        <w:rPr>
          <w:b/>
          <w:bCs/>
        </w:rPr>
      </w:pPr>
      <w:r>
        <w:rPr>
          <w:b/>
          <w:bCs/>
        </w:rPr>
        <w:lastRenderedPageBreak/>
        <w:t xml:space="preserve">What can be </w:t>
      </w:r>
      <w:r w:rsidR="00095705">
        <w:rPr>
          <w:b/>
          <w:bCs/>
        </w:rPr>
        <w:t>said from the results</w:t>
      </w:r>
    </w:p>
    <w:p w14:paraId="3254E0A6" w14:textId="7118AB31" w:rsidR="00095705" w:rsidRDefault="00204599" w:rsidP="009219B8">
      <w:r>
        <w:t xml:space="preserve">While it is possible to greatly reduce the emissions from </w:t>
      </w:r>
      <w:r w:rsidR="007D21D6">
        <w:t xml:space="preserve">clinker and </w:t>
      </w:r>
      <w:r w:rsidR="0071135A">
        <w:t xml:space="preserve">thereby cement production, it comes at a high cost. The </w:t>
      </w:r>
      <w:r w:rsidR="006851AE">
        <w:t xml:space="preserve">use of the new clinker technologies included in this study is not worthwhile compared to </w:t>
      </w:r>
      <w:r w:rsidR="00C11F2B">
        <w:t>investing in the energy sector itself</w:t>
      </w:r>
      <w:r w:rsidR="00F1044E">
        <w:t>.</w:t>
      </w:r>
      <w:r w:rsidR="002675D5">
        <w:t xml:space="preserve"> CCS is a better investment than the optimized </w:t>
      </w:r>
      <w:r w:rsidR="008B4D1D">
        <w:t>dry kiln despite the lower variable cost for the latter technology</w:t>
      </w:r>
      <w:r w:rsidR="00C52383">
        <w:t xml:space="preserve">. In the emission </w:t>
      </w:r>
      <w:r w:rsidR="00BB6A82">
        <w:t xml:space="preserve">bound </w:t>
      </w:r>
      <w:r w:rsidR="00995847">
        <w:t xml:space="preserve">cement </w:t>
      </w:r>
      <w:r w:rsidR="00C52383">
        <w:t>scenario</w:t>
      </w:r>
      <w:r w:rsidR="00E97986">
        <w:t xml:space="preserve"> the commodity price for electricity </w:t>
      </w:r>
      <w:r w:rsidR="006A1302">
        <w:t xml:space="preserve">drops to </w:t>
      </w:r>
      <w:r w:rsidR="00B56D64">
        <w:t xml:space="preserve">0 in 2050 </w:t>
      </w:r>
      <w:r w:rsidR="007C0F59">
        <w:t xml:space="preserve">and forward which </w:t>
      </w:r>
      <w:r w:rsidR="006D5DD9">
        <w:t xml:space="preserve">is likely causing the model to prefer CCS over the optimized dry kiln, since CCS </w:t>
      </w:r>
      <w:r w:rsidR="002776BF">
        <w:t xml:space="preserve">reduce expensive fuel use while the dry kiln is only able to reduce the </w:t>
      </w:r>
      <w:r w:rsidR="00005247">
        <w:t>electricity consumption which is anyway for free. In other words, optimizing the dry kiln</w:t>
      </w:r>
      <w:r w:rsidR="00C57580">
        <w:t xml:space="preserve"> is unnecessary since the electricity is at no apparent cost – or there is a mistake in the model.</w:t>
      </w:r>
    </w:p>
    <w:p w14:paraId="4910DDDA" w14:textId="43ECEDC0" w:rsidR="00ED28BB" w:rsidRDefault="00551E13" w:rsidP="009219B8">
      <w:r>
        <w:t xml:space="preserve">Adding cement to the South Africa scenario does not make </w:t>
      </w:r>
      <w:r w:rsidR="0040603B">
        <w:t xml:space="preserve">a significant difference compared to the emissions and activities already </w:t>
      </w:r>
      <w:r w:rsidR="005F1F9F">
        <w:t>given in the baseline scenario.</w:t>
      </w:r>
      <w:r w:rsidR="00DB34D3">
        <w:t xml:space="preserve"> A greater impact was expected based on </w:t>
      </w:r>
      <w:r w:rsidR="00D54AB1">
        <w:t xml:space="preserve">literature stating that 26% of global </w:t>
      </w:r>
      <m:oMath>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oMath>
      <w:r w:rsidR="00D54AB1">
        <w:rPr>
          <w:rFonts w:eastAsiaTheme="minorEastAsia"/>
        </w:rPr>
        <w:t xml:space="preserve"> emissions were </w:t>
      </w:r>
      <w:r w:rsidR="000501A5">
        <w:rPr>
          <w:rFonts w:eastAsiaTheme="minorEastAsia"/>
        </w:rPr>
        <w:t xml:space="preserve">caused by cement production. </w:t>
      </w:r>
      <w:r w:rsidR="00FA5A1E">
        <w:rPr>
          <w:rFonts w:eastAsiaTheme="minorEastAsia"/>
        </w:rPr>
        <w:t xml:space="preserve">This is either a result of a miscalculated GDP, cement demand </w:t>
      </w:r>
      <w:r w:rsidR="001C5BCA">
        <w:rPr>
          <w:rFonts w:eastAsiaTheme="minorEastAsia"/>
        </w:rPr>
        <w:t xml:space="preserve">from </w:t>
      </w:r>
      <w:r w:rsidR="00FA5A1E">
        <w:rPr>
          <w:rFonts w:eastAsiaTheme="minorEastAsia"/>
        </w:rPr>
        <w:t>GDP</w:t>
      </w:r>
      <w:r w:rsidR="001C5BCA">
        <w:rPr>
          <w:rFonts w:eastAsiaTheme="minorEastAsia"/>
        </w:rPr>
        <w:t xml:space="preserve">, or </w:t>
      </w:r>
      <w:r w:rsidR="00AB1723">
        <w:rPr>
          <w:rFonts w:eastAsiaTheme="minorEastAsia"/>
        </w:rPr>
        <w:t>because South Africa has lower GDP and assumed cement demand than the majority of the world.</w:t>
      </w:r>
      <w:r w:rsidR="00B73DDA">
        <w:rPr>
          <w:rFonts w:eastAsiaTheme="minorEastAsia"/>
        </w:rPr>
        <w:t xml:space="preserve"> If further work is to be made on this model, the cement </w:t>
      </w:r>
      <w:r w:rsidR="008A030D">
        <w:rPr>
          <w:rFonts w:eastAsiaTheme="minorEastAsia"/>
        </w:rPr>
        <w:t>demand should be checked and potentially corrected. It is very unlikely that</w:t>
      </w:r>
      <w:r w:rsidR="002D5C23">
        <w:rPr>
          <w:rFonts w:eastAsiaTheme="minorEastAsia"/>
        </w:rPr>
        <w:t xml:space="preserve"> the emission factors are wrong, since almost half, and therefore over 10% of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sidR="002D5C23">
        <w:rPr>
          <w:rFonts w:eastAsiaTheme="minorEastAsia"/>
        </w:rPr>
        <w:t xml:space="preserve"> emissions are from </w:t>
      </w:r>
      <w:r w:rsidR="00DA798F">
        <w:rPr>
          <w:rFonts w:eastAsiaTheme="minorEastAsia"/>
        </w:rPr>
        <w:t xml:space="preserve">direct process emissions of the clinker production which is far above what is seen in </w:t>
      </w:r>
    </w:p>
    <w:p w14:paraId="5EF3D449" w14:textId="28EDC014" w:rsidR="00095705" w:rsidRDefault="00095705" w:rsidP="009219B8">
      <w:pPr>
        <w:rPr>
          <w:b/>
          <w:bCs/>
        </w:rPr>
      </w:pPr>
      <w:r>
        <w:rPr>
          <w:b/>
          <w:bCs/>
        </w:rPr>
        <w:t xml:space="preserve">Shortcomings of </w:t>
      </w:r>
      <w:r w:rsidR="00255E10">
        <w:rPr>
          <w:b/>
          <w:bCs/>
        </w:rPr>
        <w:t>the current</w:t>
      </w:r>
      <w:r>
        <w:rPr>
          <w:b/>
          <w:bCs/>
        </w:rPr>
        <w:t xml:space="preserve"> model</w:t>
      </w:r>
    </w:p>
    <w:p w14:paraId="0C7DC65D" w14:textId="7D274B7C" w:rsidR="00095705" w:rsidRDefault="00683688" w:rsidP="009219B8">
      <w:r>
        <w:t>In this study it was assumed that cement is not included in the energy demand from the industry end-use sector – this is unlikely true</w:t>
      </w:r>
      <w:r w:rsidR="006C7BF7">
        <w:t>,</w:t>
      </w:r>
      <w:r>
        <w:t xml:space="preserve"> meaning that the cement demand in the cement scenario double counts the demand for cement.</w:t>
      </w:r>
      <w:r w:rsidR="006C7BF7">
        <w:t xml:space="preserve"> However, the direct emissions from the clinker production</w:t>
      </w:r>
      <w:r w:rsidR="00F46177">
        <w:t xml:space="preserve"> are not related to any energy consumption and are therefore not accounted for in the original South African model.</w:t>
      </w:r>
      <w:r w:rsidR="001E3542">
        <w:t xml:space="preserve"> The current model suggests that CCS is not invested in</w:t>
      </w:r>
      <w:r w:rsidR="00205CD7">
        <w:t xml:space="preserve"> </w:t>
      </w:r>
      <w:r w:rsidR="00434BCC">
        <w:t xml:space="preserve">until the energy sector is developed fully, including CCS technology for </w:t>
      </w:r>
      <w:r w:rsidR="00154DD1">
        <w:t xml:space="preserve">power plants such as </w:t>
      </w:r>
      <w:r w:rsidR="00AE1522">
        <w:t>coal liquefaction</w:t>
      </w:r>
      <w:r w:rsidR="009E7141">
        <w:t xml:space="preserve"> and gas with CCS. </w:t>
      </w:r>
      <w:r w:rsidR="00307D3E">
        <w:t xml:space="preserve">Since these technologies seem to be worthwhile investments, it is possible that the price set for </w:t>
      </w:r>
      <w:r w:rsidR="00855D39">
        <w:t xml:space="preserve">clinker production with CCS or </w:t>
      </w:r>
      <w:r w:rsidR="00063FDC">
        <w:t>clinker production with optimized dry kiln is imprecise. I</w:t>
      </w:r>
      <w:r w:rsidR="00F67786">
        <w:t>n further use of this model, a sensitivity analysis of the technologies’ costs should be made</w:t>
      </w:r>
      <w:r w:rsidR="008A1E78">
        <w:t xml:space="preserve"> and compared to the costs of other CCS technologies as well.</w:t>
      </w:r>
      <w:r w:rsidR="00063FDC">
        <w:t xml:space="preserve"> </w:t>
      </w:r>
    </w:p>
    <w:p w14:paraId="6FC10863" w14:textId="77777777" w:rsidR="007D72F0" w:rsidRDefault="00683688" w:rsidP="009219B8">
      <w:r>
        <w:t>The price</w:t>
      </w:r>
      <w:r w:rsidR="00217358">
        <w:t>s</w:t>
      </w:r>
      <w:r>
        <w:t xml:space="preserve"> </w:t>
      </w:r>
      <w:r w:rsidR="00721AC9">
        <w:t xml:space="preserve">for using clinker technologies </w:t>
      </w:r>
      <w:r w:rsidR="00217358">
        <w:t xml:space="preserve">are </w:t>
      </w:r>
      <w:r w:rsidR="00721AC9">
        <w:t>only given as variable costs</w:t>
      </w:r>
      <w:r w:rsidR="00C2493A">
        <w:t xml:space="preserve">. Therefore, the speed of change from one technology to another is likely exaggerated </w:t>
      </w:r>
      <w:r w:rsidR="00E734DD">
        <w:t xml:space="preserve">as there is no value lost from fixed cost in a clinker kiln that </w:t>
      </w:r>
      <w:r w:rsidR="00217358">
        <w:t xml:space="preserve">still has capacity for years to come. </w:t>
      </w:r>
      <w:r w:rsidR="00FD050C">
        <w:t>Fixed costs,</w:t>
      </w:r>
      <w:r w:rsidR="006B32FE">
        <w:t xml:space="preserve"> investment costs, and capacity should be part of a more developed model.</w:t>
      </w:r>
      <w:r w:rsidR="00271F37">
        <w:t xml:space="preserve"> I expect that such an addition to the model would result in </w:t>
      </w:r>
      <w:r w:rsidR="000515CB">
        <w:t xml:space="preserve">a higher minimum emission and higher costs due to the mentioned </w:t>
      </w:r>
      <w:r w:rsidR="00CF4032">
        <w:t xml:space="preserve">value loss. </w:t>
      </w:r>
    </w:p>
    <w:p w14:paraId="46794F03" w14:textId="77777777" w:rsidR="0040427B" w:rsidRDefault="007D72F0" w:rsidP="009219B8">
      <w:r>
        <w:t>The demand for cement is based on</w:t>
      </w:r>
      <w:r w:rsidR="00D756C6">
        <w:t xml:space="preserve"> exogeneous values, but if</w:t>
      </w:r>
      <w:r w:rsidR="003E7483">
        <w:t xml:space="preserve"> an endogenous demand is calculated in the MACRO model</w:t>
      </w:r>
      <w:r w:rsidR="000E5422">
        <w:t xml:space="preserve"> it would be possible to have cement production</w:t>
      </w:r>
      <w:r w:rsidR="00C344CD">
        <w:t xml:space="preserve"> feedback loops based on GDP change</w:t>
      </w:r>
      <w:r w:rsidR="0049469D">
        <w:t xml:space="preserve"> resulting from the commodity production.</w:t>
      </w:r>
    </w:p>
    <w:p w14:paraId="796D300B" w14:textId="3105628E" w:rsidR="007E5F04" w:rsidRDefault="007E5F04" w:rsidP="009219B8">
      <w:r>
        <w:t xml:space="preserve">The current IAM model used in study falls short on including multiple impact categories. Mineral resource use is of importance to batteries and solar power. Land use and land use change, biodiversity impacts on terrestrial, freshwater, and marine environments are also affected by wind power and hydro power. The potential radiation from nuclear power is also not included in the current IAM model. For an IAM model to include these impact categories, one could couple IAM with </w:t>
      </w:r>
      <w:r w:rsidR="00AB6B6E">
        <w:t>life cycle assessment (LCA)</w:t>
      </w:r>
      <w:r>
        <w:t>.</w:t>
      </w:r>
    </w:p>
    <w:p w14:paraId="21ECD8C6" w14:textId="144B2082" w:rsidR="00BF6736" w:rsidRDefault="00BD4FD1" w:rsidP="009219B8">
      <w:r>
        <w:lastRenderedPageBreak/>
        <w:t xml:space="preserve">The addition to the model is currently over complicated. The </w:t>
      </w:r>
      <w:r w:rsidR="000135D8">
        <w:t>energy and fuel consumption, emissions, costs</w:t>
      </w:r>
      <w:r w:rsidR="00FF3C23">
        <w:t>, and cement output</w:t>
      </w:r>
      <w:r w:rsidR="000135D8">
        <w:t xml:space="preserve"> could have been aggregated into one technology with said inputs </w:t>
      </w:r>
      <w:r w:rsidR="00FF3C23">
        <w:t>and outputs. But with the expanded system it would be possible to add more details to the system</w:t>
      </w:r>
      <w:r w:rsidR="00685EA1">
        <w:t xml:space="preserve">, for example if other commodities were needed to produce the commodity output. </w:t>
      </w:r>
      <w:r w:rsidR="00425D45">
        <w:t xml:space="preserve">Multiple studies </w:t>
      </w:r>
      <w:r w:rsidR="008C3AB1">
        <w:t>have worked towards coupling LCA and IAM</w:t>
      </w:r>
      <w:r w:rsidR="006F77C7">
        <w:t xml:space="preserve"> and mentions the importance of</w:t>
      </w:r>
      <w:r w:rsidR="002A452E">
        <w:t xml:space="preserve"> using a background life cycle inventory</w:t>
      </w:r>
      <w:r w:rsidR="00C22E40">
        <w:t xml:space="preserve"> </w:t>
      </w:r>
      <w:r w:rsidR="006C394B">
        <w:t xml:space="preserve">that matches the time forecasted in the IAM to the best extent </w:t>
      </w:r>
      <w:r w:rsidR="00A530A3">
        <w:fldChar w:fldCharType="begin" w:fldLock="1"/>
      </w:r>
      <w:r w:rsidR="00A530A3">
        <w:instrText>ADDIN CSL_CITATION {"citationItems":[{"id":"ITEM-1","itemData":{"DOI":"10.1021/acs.est.5b01558","ISSN":"15205851","PMID":"26308384","abstract":"Climate change mitigation demands large-scale technological change on a global level and, if successfully implemented, will significantly affect how products and services are produced and consumed. In order to anticipate the life cycle environmental impacts of products under climate mitigation scenarios, we present the modeling framework of an integrated hybrid life cycle assessment model covering nine world regions. Life cycle assessment databases and multiregional input-output tables are adapted using forecasted changes in technology and resources up to 2050 under a 2 °C scenario. We call the result of this modeling \"technology hybridized environmental-economic model with integrated scenarios\" (THEMIS). As a case study, we apply THEMIS in an integrated environmental assessment of concentrating solar power. Life-cycle greenhouse gas emissions for this plant range from 33 to 95 g CO2 eq./kWh across different world regions in 2010, falling to 30-87 g CO2 eq./kWh in 2050. Using regional life cycle data yields insightful results. More generally, these results also highlight the need for systematic life cycle frameworks that capture the actual consequences and feedback effects of large-scale policies in the long term.","author":[{"dropping-particle":"","family":"Gibon","given":"Thomas","non-dropping-particle":"","parse-names":false,"suffix":""},{"dropping-particle":"","family":"Wood","given":"Richard","non-dropping-particle":"","parse-names":false,"suffix":""},{"dropping-particle":"","family":"Arvesen","given":"Anders","non-dropping-particle":"","parse-names":false,"suffix":""},{"dropping-particle":"","family":"Bergesen","given":"Joseph D.","non-dropping-particle":"","parse-names":false,"suffix":""},{"dropping-particle":"","family":"Suh","given":"Sangwon","non-dropping-particle":"","parse-names":false,"suffix":""},{"dropping-particle":"","family":"Hertwich","given":"Edgar G.","non-dropping-particle":"","parse-names":false,"suffix":""}],"container-title":"Environmental Science and Technology","id":"ITEM-1","issue":"18","issued":{"date-parts":[["2015"]]},"page":"11218-11226","title":"A Methodology for Integrated, Multiregional Life Cycle Assessment Scenarios under Large-Scale Technological Change","type":"article-journal","volume":"49"},"uris":["http://www.mendeley.com/documents/?uuid=3812b05c-ec54-4f88-9dea-134aa13b92aa"]}],"mendeley":{"formattedCitation":"(Gibon et al., 2015)","plainTextFormattedCitation":"(Gibon et al., 2015)"},"properties":{"noteIndex":0},"schema":"https://github.com/citation-style-language/schema/raw/master/csl-citation.json"}</w:instrText>
      </w:r>
      <w:r w:rsidR="00A530A3">
        <w:fldChar w:fldCharType="separate"/>
      </w:r>
      <w:r w:rsidR="00A530A3" w:rsidRPr="00A530A3">
        <w:rPr>
          <w:noProof/>
        </w:rPr>
        <w:t>(Gibon et al., 2015)</w:t>
      </w:r>
      <w:r w:rsidR="00A530A3">
        <w:fldChar w:fldCharType="end"/>
      </w:r>
      <w:r w:rsidR="00941895">
        <w:t>.</w:t>
      </w:r>
      <w:r w:rsidR="00A530A3">
        <w:t xml:space="preserve"> </w:t>
      </w:r>
      <w:r w:rsidR="00FD435F">
        <w:t xml:space="preserve">The use of key commodities, like clinker, </w:t>
      </w:r>
      <w:r w:rsidR="0095357F">
        <w:t xml:space="preserve">will for similar reasons be beneficial </w:t>
      </w:r>
      <w:r w:rsidR="000B2835">
        <w:t xml:space="preserve">to </w:t>
      </w:r>
      <w:r w:rsidR="003E46D8">
        <w:t>base on endogenous demand</w:t>
      </w:r>
      <w:r w:rsidR="00FA6BEC">
        <w:t>. T</w:t>
      </w:r>
      <w:r w:rsidR="00324EAC">
        <w:t xml:space="preserve">he increasing and decreasing use of the commodity could </w:t>
      </w:r>
      <w:r w:rsidR="00141840">
        <w:t>then be coupled with LCA or LCA-like categories</w:t>
      </w:r>
      <w:r w:rsidR="00BF6736">
        <w:t xml:space="preserve"> for different time steps.</w:t>
      </w:r>
    </w:p>
    <w:p w14:paraId="5FE524F2" w14:textId="4DA74B57" w:rsidR="00992E48" w:rsidRDefault="00881D6C" w:rsidP="000E01FF">
      <w:r>
        <w:t>The extraction (EXT) variable can be directly used by adding resource</w:t>
      </w:r>
      <w:r>
        <w:softHyphen/>
        <w:t>_volume and resource_remaining parameters in units of mega tonnes. This way, the bound_extraction_up parameter can also be introduced to model policies regarding the use of specific resources.</w:t>
      </w:r>
      <w:r w:rsidR="00D626CD">
        <w:t xml:space="preserve"> At this point, the MESSAGE model </w:t>
      </w:r>
      <w:r w:rsidR="005213B7">
        <w:t xml:space="preserve">would </w:t>
      </w:r>
      <w:r w:rsidR="00D626CD">
        <w:t xml:space="preserve">already </w:t>
      </w:r>
      <w:r w:rsidR="005213B7">
        <w:t xml:space="preserve">be </w:t>
      </w:r>
      <w:r w:rsidR="00D626CD">
        <w:t xml:space="preserve">able </w:t>
      </w:r>
      <w:r w:rsidR="00AC1CA2">
        <w:t>to evaluate policies with a circular economy perspective.</w:t>
      </w:r>
      <w:r w:rsidR="008A2481">
        <w:t xml:space="preserve"> The inclusion of a circular economy perspective would also make it more worthwhile to compare technologies that substitute clinker with another commodity, like simply building houses of </w:t>
      </w:r>
      <w:r w:rsidR="005D7EE4">
        <w:t>wood.</w:t>
      </w:r>
    </w:p>
    <w:p w14:paraId="687F183C" w14:textId="598ACF48" w:rsidR="00992E48" w:rsidRDefault="00992E48"/>
    <w:p w14:paraId="36EF2CF1" w14:textId="0485104E" w:rsidR="00992E48" w:rsidRPr="006621AF" w:rsidRDefault="00992E48" w:rsidP="006621AF">
      <w:pPr>
        <w:rPr>
          <w:b/>
          <w:bCs/>
        </w:rPr>
      </w:pPr>
      <w:r>
        <w:rPr>
          <w:b/>
          <w:bCs/>
        </w:rPr>
        <w:t>References</w:t>
      </w:r>
    </w:p>
    <w:p w14:paraId="1F819226" w14:textId="67DEE0FE" w:rsidR="008B584A" w:rsidRPr="006621AF" w:rsidRDefault="008B584A" w:rsidP="006621AF">
      <w:pPr>
        <w:widowControl w:val="0"/>
        <w:autoSpaceDE w:val="0"/>
        <w:autoSpaceDN w:val="0"/>
        <w:adjustRightInd w:val="0"/>
        <w:spacing w:line="240" w:lineRule="auto"/>
        <w:ind w:left="480" w:hanging="480"/>
        <w:rPr>
          <w:rFonts w:ascii="Calibri" w:hAnsi="Calibri" w:cs="Calibri"/>
          <w:noProof/>
          <w:szCs w:val="24"/>
        </w:rPr>
      </w:pPr>
      <w:r w:rsidRPr="006621AF">
        <w:rPr>
          <w:rFonts w:ascii="Calibri" w:hAnsi="Calibri" w:cs="Calibri"/>
          <w:noProof/>
          <w:szCs w:val="24"/>
        </w:rPr>
        <w:t xml:space="preserve">European Commission JRC-IPTS. 2010. IPPC Reference Document on Best Available Techniques (BREF) in the Cement, Lime and Magnesium Oxide Manufacturing Industries, May 2010. </w:t>
      </w:r>
      <w:hyperlink r:id="rId14" w:history="1">
        <w:r w:rsidRPr="006621AF">
          <w:rPr>
            <w:rFonts w:ascii="Calibri" w:hAnsi="Calibri" w:cs="Calibri"/>
            <w:noProof/>
            <w:szCs w:val="24"/>
          </w:rPr>
          <w:t>http://eippcb.jrc.ec.europa.eu/reference/</w:t>
        </w:r>
      </w:hyperlink>
      <w:r w:rsidRPr="006621AF">
        <w:rPr>
          <w:rFonts w:ascii="Calibri" w:hAnsi="Calibri" w:cs="Calibri"/>
          <w:noProof/>
          <w:szCs w:val="24"/>
        </w:rPr>
        <w:t xml:space="preserve"> </w:t>
      </w:r>
    </w:p>
    <w:p w14:paraId="57895BF5" w14:textId="2193C78B" w:rsidR="00A530A3" w:rsidRPr="00A530A3" w:rsidRDefault="006621AF" w:rsidP="00A530A3">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A530A3" w:rsidRPr="00A530A3">
        <w:rPr>
          <w:rFonts w:ascii="Calibri" w:hAnsi="Calibri" w:cs="Calibri"/>
          <w:noProof/>
          <w:szCs w:val="24"/>
        </w:rPr>
        <w:t>Fricko, O., Havlik, P., Rogelj, J., Klimont, Z., Gusti, M., Johnson, N., Kolp, P., Strubegger, M., Valin, H., Amann, M., Ermolieva, T., Forsell, N., Herrero, M., Heyes, C., Kindermann, G., Krey, V., McCollum, D.L., Obersteiner, M., Pachauri, S., Rao, S., Schmid, E., Schoepp, W., Riahi, K., 2017. The marker quantification of the Shared Socioeconomic Pathway 2: A middle-of-the-road scenario for the 21st century. Glob. Environ. Chang. 42, 251–267.</w:t>
      </w:r>
    </w:p>
    <w:p w14:paraId="4B99A337" w14:textId="25490489" w:rsidR="00A530A3" w:rsidRDefault="00A530A3" w:rsidP="00A530A3">
      <w:pPr>
        <w:widowControl w:val="0"/>
        <w:autoSpaceDE w:val="0"/>
        <w:autoSpaceDN w:val="0"/>
        <w:adjustRightInd w:val="0"/>
        <w:spacing w:line="240" w:lineRule="auto"/>
        <w:ind w:left="480" w:hanging="480"/>
        <w:rPr>
          <w:rFonts w:ascii="Calibri" w:hAnsi="Calibri" w:cs="Calibri"/>
          <w:noProof/>
          <w:szCs w:val="24"/>
        </w:rPr>
      </w:pPr>
      <w:r w:rsidRPr="00A530A3">
        <w:rPr>
          <w:rFonts w:ascii="Calibri" w:hAnsi="Calibri" w:cs="Calibri"/>
          <w:noProof/>
          <w:szCs w:val="24"/>
        </w:rPr>
        <w:t>Gibon, T., Wood, R., Arvesen, A., Bergesen, J.D., Suh, S., Hertwich, E.G., 2015. A Methodology for Integrated, Multiregional Life Cycle Assessment Scenarios under Large-Scale Technological Change. Environ. Sci. Technol. 49, 11218–11226. https://doi.org/10.1021/acs.est.5b01558</w:t>
      </w:r>
    </w:p>
    <w:p w14:paraId="134C065C" w14:textId="77777777" w:rsidR="00402D6A" w:rsidRPr="00402D6A" w:rsidRDefault="00402D6A" w:rsidP="00402D6A">
      <w:pPr>
        <w:widowControl w:val="0"/>
        <w:autoSpaceDE w:val="0"/>
        <w:autoSpaceDN w:val="0"/>
        <w:adjustRightInd w:val="0"/>
        <w:spacing w:line="240" w:lineRule="auto"/>
        <w:ind w:left="480" w:hanging="480"/>
        <w:rPr>
          <w:rFonts w:ascii="Calibri" w:hAnsi="Calibri" w:cs="Calibri"/>
          <w:noProof/>
          <w:szCs w:val="24"/>
        </w:rPr>
      </w:pPr>
      <w:r w:rsidRPr="00402D6A">
        <w:rPr>
          <w:rFonts w:ascii="Calibri" w:hAnsi="Calibri" w:cs="Calibri"/>
          <w:noProof/>
          <w:szCs w:val="24"/>
        </w:rPr>
        <w:t>International Energy Agency (IEA) (2011). Energy Balances 2011 edition with 2009 data. Paris, France.</w:t>
      </w:r>
    </w:p>
    <w:p w14:paraId="7D3FCA97" w14:textId="7C316536" w:rsidR="00402D6A" w:rsidRPr="00402D6A" w:rsidRDefault="00402D6A" w:rsidP="00402D6A">
      <w:pPr>
        <w:widowControl w:val="0"/>
        <w:autoSpaceDE w:val="0"/>
        <w:autoSpaceDN w:val="0"/>
        <w:adjustRightInd w:val="0"/>
        <w:spacing w:line="240" w:lineRule="auto"/>
        <w:ind w:left="480" w:hanging="480"/>
        <w:rPr>
          <w:rFonts w:ascii="Calibri" w:hAnsi="Calibri" w:cs="Calibri"/>
          <w:noProof/>
          <w:szCs w:val="24"/>
        </w:rPr>
      </w:pPr>
      <w:r w:rsidRPr="00402D6A">
        <w:rPr>
          <w:rFonts w:ascii="Calibri" w:hAnsi="Calibri" w:cs="Calibri"/>
          <w:noProof/>
          <w:szCs w:val="24"/>
        </w:rPr>
        <w:t>International Energy Agency (IEA) (2012). Energy technology perspectives 2012 - pathways to a clean energy system. Paris, France.</w:t>
      </w:r>
    </w:p>
    <w:p w14:paraId="60174D52" w14:textId="77777777" w:rsidR="00A530A3" w:rsidRPr="00A530A3" w:rsidRDefault="00A530A3" w:rsidP="00A530A3">
      <w:pPr>
        <w:widowControl w:val="0"/>
        <w:autoSpaceDE w:val="0"/>
        <w:autoSpaceDN w:val="0"/>
        <w:adjustRightInd w:val="0"/>
        <w:spacing w:line="240" w:lineRule="auto"/>
        <w:ind w:left="480" w:hanging="480"/>
        <w:rPr>
          <w:rFonts w:ascii="Calibri" w:hAnsi="Calibri" w:cs="Calibri"/>
          <w:noProof/>
          <w:szCs w:val="24"/>
        </w:rPr>
      </w:pPr>
      <w:r w:rsidRPr="00A530A3">
        <w:rPr>
          <w:rFonts w:ascii="Calibri" w:hAnsi="Calibri" w:cs="Calibri"/>
          <w:noProof/>
          <w:szCs w:val="24"/>
        </w:rPr>
        <w:t>Kandaswamy, V., 2018. Quora: How much does it cost to set up a cement factory [WWW Document]. URL quora.com/How-much-does-it-cost-to-set-up-a-cement-factory</w:t>
      </w:r>
    </w:p>
    <w:p w14:paraId="78FE228B" w14:textId="77777777" w:rsidR="00A530A3" w:rsidRPr="00A530A3" w:rsidRDefault="00A530A3" w:rsidP="00A530A3">
      <w:pPr>
        <w:widowControl w:val="0"/>
        <w:autoSpaceDE w:val="0"/>
        <w:autoSpaceDN w:val="0"/>
        <w:adjustRightInd w:val="0"/>
        <w:spacing w:line="240" w:lineRule="auto"/>
        <w:ind w:left="480" w:hanging="480"/>
        <w:rPr>
          <w:rFonts w:ascii="Calibri" w:hAnsi="Calibri" w:cs="Calibri"/>
          <w:noProof/>
        </w:rPr>
      </w:pPr>
      <w:r w:rsidRPr="00A530A3">
        <w:rPr>
          <w:rFonts w:ascii="Calibri" w:hAnsi="Calibri" w:cs="Calibri"/>
          <w:noProof/>
          <w:szCs w:val="24"/>
        </w:rPr>
        <w:t>Kermeli, K., 2014. ADVANCE-WP2 Enhancing the representation of energy demand developments in IAM models – Modeling the cement industry. Work in progress 308329, 1–37.</w:t>
      </w:r>
    </w:p>
    <w:p w14:paraId="70044FBB" w14:textId="5F7CBCCE" w:rsidR="00402D6A" w:rsidRDefault="006621AF" w:rsidP="00402D6A">
      <w:r>
        <w:fldChar w:fldCharType="end"/>
      </w:r>
      <w:r w:rsidR="00402D6A" w:rsidRPr="00402D6A">
        <w:t xml:space="preserve"> </w:t>
      </w:r>
    </w:p>
    <w:p w14:paraId="3813006E" w14:textId="7073A0DB" w:rsidR="006621AF" w:rsidRPr="00992E48" w:rsidRDefault="006621AF" w:rsidP="00992E48"/>
    <w:sectPr w:rsidR="006621AF" w:rsidRPr="00992E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641D5" w14:textId="77777777" w:rsidR="0067448D" w:rsidRDefault="0067448D" w:rsidP="000E01FF">
      <w:pPr>
        <w:spacing w:after="0" w:line="240" w:lineRule="auto"/>
      </w:pPr>
      <w:r>
        <w:separator/>
      </w:r>
    </w:p>
  </w:endnote>
  <w:endnote w:type="continuationSeparator" w:id="0">
    <w:p w14:paraId="6E5F484F" w14:textId="77777777" w:rsidR="0067448D" w:rsidRDefault="0067448D" w:rsidP="000E01FF">
      <w:pPr>
        <w:spacing w:after="0" w:line="240" w:lineRule="auto"/>
      </w:pPr>
      <w:r>
        <w:continuationSeparator/>
      </w:r>
    </w:p>
  </w:endnote>
  <w:endnote w:type="continuationNotice" w:id="1">
    <w:p w14:paraId="5BFF14F1" w14:textId="77777777" w:rsidR="0067448D" w:rsidRDefault="006744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77C81" w14:textId="77777777" w:rsidR="0067448D" w:rsidRDefault="0067448D" w:rsidP="000E01FF">
      <w:pPr>
        <w:spacing w:after="0" w:line="240" w:lineRule="auto"/>
      </w:pPr>
      <w:r>
        <w:separator/>
      </w:r>
    </w:p>
  </w:footnote>
  <w:footnote w:type="continuationSeparator" w:id="0">
    <w:p w14:paraId="044C7B88" w14:textId="77777777" w:rsidR="0067448D" w:rsidRDefault="0067448D" w:rsidP="000E01FF">
      <w:pPr>
        <w:spacing w:after="0" w:line="240" w:lineRule="auto"/>
      </w:pPr>
      <w:r>
        <w:continuationSeparator/>
      </w:r>
    </w:p>
  </w:footnote>
  <w:footnote w:type="continuationNotice" w:id="1">
    <w:p w14:paraId="7A4BAF2D" w14:textId="77777777" w:rsidR="0067448D" w:rsidRDefault="0067448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A2192"/>
    <w:multiLevelType w:val="hybridMultilevel"/>
    <w:tmpl w:val="0B10C98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47719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1FF"/>
    <w:rsid w:val="00005247"/>
    <w:rsid w:val="000135D8"/>
    <w:rsid w:val="00016195"/>
    <w:rsid w:val="00016DF2"/>
    <w:rsid w:val="00017D4E"/>
    <w:rsid w:val="0002143B"/>
    <w:rsid w:val="00021775"/>
    <w:rsid w:val="000223F8"/>
    <w:rsid w:val="00022441"/>
    <w:rsid w:val="00023CA4"/>
    <w:rsid w:val="00025576"/>
    <w:rsid w:val="0002765B"/>
    <w:rsid w:val="00030624"/>
    <w:rsid w:val="00035A74"/>
    <w:rsid w:val="00035BBE"/>
    <w:rsid w:val="000368B1"/>
    <w:rsid w:val="00044DAF"/>
    <w:rsid w:val="000501A5"/>
    <w:rsid w:val="000515CB"/>
    <w:rsid w:val="00053231"/>
    <w:rsid w:val="00053A99"/>
    <w:rsid w:val="00053E6D"/>
    <w:rsid w:val="0006081C"/>
    <w:rsid w:val="00060F0E"/>
    <w:rsid w:val="0006184E"/>
    <w:rsid w:val="00063FDC"/>
    <w:rsid w:val="00075980"/>
    <w:rsid w:val="000776D9"/>
    <w:rsid w:val="00083818"/>
    <w:rsid w:val="00090DF8"/>
    <w:rsid w:val="00090F91"/>
    <w:rsid w:val="00091344"/>
    <w:rsid w:val="00095705"/>
    <w:rsid w:val="0009758F"/>
    <w:rsid w:val="00097B34"/>
    <w:rsid w:val="00097D4C"/>
    <w:rsid w:val="000B2835"/>
    <w:rsid w:val="000B5BFF"/>
    <w:rsid w:val="000B65C4"/>
    <w:rsid w:val="000B78FB"/>
    <w:rsid w:val="000C1271"/>
    <w:rsid w:val="000C3470"/>
    <w:rsid w:val="000C747D"/>
    <w:rsid w:val="000D2860"/>
    <w:rsid w:val="000D3F98"/>
    <w:rsid w:val="000D62B8"/>
    <w:rsid w:val="000E01FF"/>
    <w:rsid w:val="000E5422"/>
    <w:rsid w:val="000F140A"/>
    <w:rsid w:val="00102CD6"/>
    <w:rsid w:val="00105181"/>
    <w:rsid w:val="0010537D"/>
    <w:rsid w:val="00105575"/>
    <w:rsid w:val="00107CD1"/>
    <w:rsid w:val="0011091D"/>
    <w:rsid w:val="001169A7"/>
    <w:rsid w:val="00122145"/>
    <w:rsid w:val="00126CF7"/>
    <w:rsid w:val="00131B84"/>
    <w:rsid w:val="00131D81"/>
    <w:rsid w:val="00134141"/>
    <w:rsid w:val="00134397"/>
    <w:rsid w:val="001413D4"/>
    <w:rsid w:val="00141840"/>
    <w:rsid w:val="001448C1"/>
    <w:rsid w:val="0014501B"/>
    <w:rsid w:val="0015138B"/>
    <w:rsid w:val="0015332E"/>
    <w:rsid w:val="00154266"/>
    <w:rsid w:val="00154DD1"/>
    <w:rsid w:val="00161FD9"/>
    <w:rsid w:val="00162431"/>
    <w:rsid w:val="00162D73"/>
    <w:rsid w:val="00163E49"/>
    <w:rsid w:val="0016561E"/>
    <w:rsid w:val="00165676"/>
    <w:rsid w:val="001801B3"/>
    <w:rsid w:val="00180308"/>
    <w:rsid w:val="001820B2"/>
    <w:rsid w:val="00187948"/>
    <w:rsid w:val="00191F62"/>
    <w:rsid w:val="001966DE"/>
    <w:rsid w:val="001A69A9"/>
    <w:rsid w:val="001B23D6"/>
    <w:rsid w:val="001B34CA"/>
    <w:rsid w:val="001B3865"/>
    <w:rsid w:val="001B47DF"/>
    <w:rsid w:val="001B757A"/>
    <w:rsid w:val="001C04C1"/>
    <w:rsid w:val="001C0840"/>
    <w:rsid w:val="001C337E"/>
    <w:rsid w:val="001C5BCA"/>
    <w:rsid w:val="001C7DEB"/>
    <w:rsid w:val="001D314A"/>
    <w:rsid w:val="001D6C8A"/>
    <w:rsid w:val="001E2F11"/>
    <w:rsid w:val="001E3542"/>
    <w:rsid w:val="001E6242"/>
    <w:rsid w:val="001F3012"/>
    <w:rsid w:val="001F5A94"/>
    <w:rsid w:val="001F60C1"/>
    <w:rsid w:val="001F69FA"/>
    <w:rsid w:val="00200BB8"/>
    <w:rsid w:val="00204599"/>
    <w:rsid w:val="00205CD7"/>
    <w:rsid w:val="0021413B"/>
    <w:rsid w:val="002148F8"/>
    <w:rsid w:val="00217358"/>
    <w:rsid w:val="002223CB"/>
    <w:rsid w:val="00226E19"/>
    <w:rsid w:val="00231819"/>
    <w:rsid w:val="00231ED5"/>
    <w:rsid w:val="002326E4"/>
    <w:rsid w:val="002330AF"/>
    <w:rsid w:val="00233EC5"/>
    <w:rsid w:val="002347B7"/>
    <w:rsid w:val="00253477"/>
    <w:rsid w:val="00255E10"/>
    <w:rsid w:val="002646AF"/>
    <w:rsid w:val="00265199"/>
    <w:rsid w:val="002675D5"/>
    <w:rsid w:val="00267F1D"/>
    <w:rsid w:val="00271F37"/>
    <w:rsid w:val="002776BF"/>
    <w:rsid w:val="002804F8"/>
    <w:rsid w:val="00286794"/>
    <w:rsid w:val="00287B70"/>
    <w:rsid w:val="0029475F"/>
    <w:rsid w:val="0029605F"/>
    <w:rsid w:val="00296EAC"/>
    <w:rsid w:val="002A0B38"/>
    <w:rsid w:val="002A1D96"/>
    <w:rsid w:val="002A452E"/>
    <w:rsid w:val="002A532E"/>
    <w:rsid w:val="002B2109"/>
    <w:rsid w:val="002C2733"/>
    <w:rsid w:val="002C74D1"/>
    <w:rsid w:val="002D00AB"/>
    <w:rsid w:val="002D24A9"/>
    <w:rsid w:val="002D2FEE"/>
    <w:rsid w:val="002D442E"/>
    <w:rsid w:val="002D5A28"/>
    <w:rsid w:val="002D5C23"/>
    <w:rsid w:val="002E0347"/>
    <w:rsid w:val="002E04D8"/>
    <w:rsid w:val="002E3FE8"/>
    <w:rsid w:val="002E4E65"/>
    <w:rsid w:val="002F3512"/>
    <w:rsid w:val="002F4ED1"/>
    <w:rsid w:val="002F73EE"/>
    <w:rsid w:val="003020A6"/>
    <w:rsid w:val="0030231E"/>
    <w:rsid w:val="00302AC3"/>
    <w:rsid w:val="003055CD"/>
    <w:rsid w:val="00307D3E"/>
    <w:rsid w:val="00310723"/>
    <w:rsid w:val="00314AE1"/>
    <w:rsid w:val="00315955"/>
    <w:rsid w:val="003178E8"/>
    <w:rsid w:val="00324EAC"/>
    <w:rsid w:val="00336589"/>
    <w:rsid w:val="00341A1F"/>
    <w:rsid w:val="00343B93"/>
    <w:rsid w:val="00344660"/>
    <w:rsid w:val="00345615"/>
    <w:rsid w:val="00353124"/>
    <w:rsid w:val="00363157"/>
    <w:rsid w:val="003663AE"/>
    <w:rsid w:val="00370F50"/>
    <w:rsid w:val="00371D64"/>
    <w:rsid w:val="0037223E"/>
    <w:rsid w:val="003733BE"/>
    <w:rsid w:val="00373BCA"/>
    <w:rsid w:val="003756A3"/>
    <w:rsid w:val="003807D6"/>
    <w:rsid w:val="003927A1"/>
    <w:rsid w:val="00395F00"/>
    <w:rsid w:val="003A0CB7"/>
    <w:rsid w:val="003A3FA2"/>
    <w:rsid w:val="003A7211"/>
    <w:rsid w:val="003D2B0B"/>
    <w:rsid w:val="003D4A90"/>
    <w:rsid w:val="003E07F9"/>
    <w:rsid w:val="003E1836"/>
    <w:rsid w:val="003E46D8"/>
    <w:rsid w:val="003E5D26"/>
    <w:rsid w:val="003E627D"/>
    <w:rsid w:val="003E7483"/>
    <w:rsid w:val="003F090D"/>
    <w:rsid w:val="003F2077"/>
    <w:rsid w:val="003F7C6F"/>
    <w:rsid w:val="00402D6A"/>
    <w:rsid w:val="0040427B"/>
    <w:rsid w:val="0040603B"/>
    <w:rsid w:val="00417C18"/>
    <w:rsid w:val="00417E19"/>
    <w:rsid w:val="00425D45"/>
    <w:rsid w:val="00427B15"/>
    <w:rsid w:val="004310A0"/>
    <w:rsid w:val="004331A9"/>
    <w:rsid w:val="00434133"/>
    <w:rsid w:val="00434BCC"/>
    <w:rsid w:val="00435DA9"/>
    <w:rsid w:val="00435EA2"/>
    <w:rsid w:val="004402E7"/>
    <w:rsid w:val="004538FD"/>
    <w:rsid w:val="00461C70"/>
    <w:rsid w:val="00463FE8"/>
    <w:rsid w:val="0047702F"/>
    <w:rsid w:val="004808C6"/>
    <w:rsid w:val="004851CA"/>
    <w:rsid w:val="0049469D"/>
    <w:rsid w:val="004A4F3F"/>
    <w:rsid w:val="004B39CC"/>
    <w:rsid w:val="004C1299"/>
    <w:rsid w:val="004C3724"/>
    <w:rsid w:val="004C5946"/>
    <w:rsid w:val="004C61E1"/>
    <w:rsid w:val="004C70C3"/>
    <w:rsid w:val="004C73B6"/>
    <w:rsid w:val="004D0F1D"/>
    <w:rsid w:val="004D2FFF"/>
    <w:rsid w:val="004D3A7B"/>
    <w:rsid w:val="004D714B"/>
    <w:rsid w:val="004E470B"/>
    <w:rsid w:val="004F1F70"/>
    <w:rsid w:val="004F30CB"/>
    <w:rsid w:val="0050433A"/>
    <w:rsid w:val="005213B7"/>
    <w:rsid w:val="00521F7B"/>
    <w:rsid w:val="00530796"/>
    <w:rsid w:val="005405DA"/>
    <w:rsid w:val="005420AE"/>
    <w:rsid w:val="005442A9"/>
    <w:rsid w:val="00546154"/>
    <w:rsid w:val="005475CB"/>
    <w:rsid w:val="00551E13"/>
    <w:rsid w:val="00551E8E"/>
    <w:rsid w:val="00553284"/>
    <w:rsid w:val="005547FA"/>
    <w:rsid w:val="00562CD9"/>
    <w:rsid w:val="005649D6"/>
    <w:rsid w:val="00565147"/>
    <w:rsid w:val="005820A5"/>
    <w:rsid w:val="005879D2"/>
    <w:rsid w:val="0059190A"/>
    <w:rsid w:val="005961C1"/>
    <w:rsid w:val="00597E79"/>
    <w:rsid w:val="005A0171"/>
    <w:rsid w:val="005A3A2A"/>
    <w:rsid w:val="005A4822"/>
    <w:rsid w:val="005A50F5"/>
    <w:rsid w:val="005A6899"/>
    <w:rsid w:val="005A73A6"/>
    <w:rsid w:val="005A7A5E"/>
    <w:rsid w:val="005B02FF"/>
    <w:rsid w:val="005B0599"/>
    <w:rsid w:val="005C19ED"/>
    <w:rsid w:val="005C5395"/>
    <w:rsid w:val="005C6D8D"/>
    <w:rsid w:val="005D58F6"/>
    <w:rsid w:val="005D7EE4"/>
    <w:rsid w:val="005E03AE"/>
    <w:rsid w:val="005F0DFE"/>
    <w:rsid w:val="005F1F9F"/>
    <w:rsid w:val="005F447E"/>
    <w:rsid w:val="00603956"/>
    <w:rsid w:val="0060619C"/>
    <w:rsid w:val="00606902"/>
    <w:rsid w:val="00610AB1"/>
    <w:rsid w:val="00614C12"/>
    <w:rsid w:val="00624894"/>
    <w:rsid w:val="0062634B"/>
    <w:rsid w:val="00633842"/>
    <w:rsid w:val="006419BD"/>
    <w:rsid w:val="00644B67"/>
    <w:rsid w:val="0064500A"/>
    <w:rsid w:val="00647A32"/>
    <w:rsid w:val="0065149F"/>
    <w:rsid w:val="00653D11"/>
    <w:rsid w:val="00654636"/>
    <w:rsid w:val="00660B67"/>
    <w:rsid w:val="006621AF"/>
    <w:rsid w:val="00663FEE"/>
    <w:rsid w:val="00666D21"/>
    <w:rsid w:val="006723A6"/>
    <w:rsid w:val="0067448D"/>
    <w:rsid w:val="00683688"/>
    <w:rsid w:val="0068494E"/>
    <w:rsid w:val="006851AE"/>
    <w:rsid w:val="00685EA1"/>
    <w:rsid w:val="00686081"/>
    <w:rsid w:val="00687931"/>
    <w:rsid w:val="0069161E"/>
    <w:rsid w:val="00691C39"/>
    <w:rsid w:val="00696585"/>
    <w:rsid w:val="006A1302"/>
    <w:rsid w:val="006B0054"/>
    <w:rsid w:val="006B124E"/>
    <w:rsid w:val="006B28F5"/>
    <w:rsid w:val="006B32FE"/>
    <w:rsid w:val="006B3A89"/>
    <w:rsid w:val="006B5E37"/>
    <w:rsid w:val="006C2CA6"/>
    <w:rsid w:val="006C394B"/>
    <w:rsid w:val="006C7BF7"/>
    <w:rsid w:val="006D0032"/>
    <w:rsid w:val="006D1610"/>
    <w:rsid w:val="006D325C"/>
    <w:rsid w:val="006D5DD9"/>
    <w:rsid w:val="006E2AEA"/>
    <w:rsid w:val="006F12D8"/>
    <w:rsid w:val="006F1E08"/>
    <w:rsid w:val="006F77C7"/>
    <w:rsid w:val="007018CB"/>
    <w:rsid w:val="0071135A"/>
    <w:rsid w:val="00715A3D"/>
    <w:rsid w:val="00716633"/>
    <w:rsid w:val="00717881"/>
    <w:rsid w:val="00721AC9"/>
    <w:rsid w:val="007240B5"/>
    <w:rsid w:val="00724476"/>
    <w:rsid w:val="00724C84"/>
    <w:rsid w:val="0072555C"/>
    <w:rsid w:val="00725F59"/>
    <w:rsid w:val="00732D3A"/>
    <w:rsid w:val="00733356"/>
    <w:rsid w:val="00740728"/>
    <w:rsid w:val="00741065"/>
    <w:rsid w:val="0074547E"/>
    <w:rsid w:val="00747F19"/>
    <w:rsid w:val="0075345A"/>
    <w:rsid w:val="00761320"/>
    <w:rsid w:val="007645D5"/>
    <w:rsid w:val="00775BB6"/>
    <w:rsid w:val="00776749"/>
    <w:rsid w:val="00780E82"/>
    <w:rsid w:val="0078225B"/>
    <w:rsid w:val="0078480F"/>
    <w:rsid w:val="00785CBC"/>
    <w:rsid w:val="00787A7B"/>
    <w:rsid w:val="007919E6"/>
    <w:rsid w:val="007A5E20"/>
    <w:rsid w:val="007C0F59"/>
    <w:rsid w:val="007C593C"/>
    <w:rsid w:val="007D21D6"/>
    <w:rsid w:val="007D3915"/>
    <w:rsid w:val="007D6410"/>
    <w:rsid w:val="007D72F0"/>
    <w:rsid w:val="007E1817"/>
    <w:rsid w:val="007E1846"/>
    <w:rsid w:val="007E4193"/>
    <w:rsid w:val="007E4222"/>
    <w:rsid w:val="007E5F04"/>
    <w:rsid w:val="007E7D0B"/>
    <w:rsid w:val="007F04E6"/>
    <w:rsid w:val="007F38FC"/>
    <w:rsid w:val="007F7D76"/>
    <w:rsid w:val="0080436A"/>
    <w:rsid w:val="00805536"/>
    <w:rsid w:val="00813523"/>
    <w:rsid w:val="00814144"/>
    <w:rsid w:val="00825A74"/>
    <w:rsid w:val="00827C89"/>
    <w:rsid w:val="008302C8"/>
    <w:rsid w:val="00832B66"/>
    <w:rsid w:val="00835A02"/>
    <w:rsid w:val="00836015"/>
    <w:rsid w:val="008366C0"/>
    <w:rsid w:val="00842023"/>
    <w:rsid w:val="00843FD7"/>
    <w:rsid w:val="008452D1"/>
    <w:rsid w:val="0084673A"/>
    <w:rsid w:val="00851747"/>
    <w:rsid w:val="00853851"/>
    <w:rsid w:val="00855B51"/>
    <w:rsid w:val="00855D39"/>
    <w:rsid w:val="00861643"/>
    <w:rsid w:val="00865643"/>
    <w:rsid w:val="00866555"/>
    <w:rsid w:val="00871BE7"/>
    <w:rsid w:val="0088000A"/>
    <w:rsid w:val="00881D6C"/>
    <w:rsid w:val="00883380"/>
    <w:rsid w:val="00884E3B"/>
    <w:rsid w:val="00894574"/>
    <w:rsid w:val="008A030D"/>
    <w:rsid w:val="008A1A2C"/>
    <w:rsid w:val="008A1A95"/>
    <w:rsid w:val="008A1E78"/>
    <w:rsid w:val="008A2481"/>
    <w:rsid w:val="008A66E3"/>
    <w:rsid w:val="008A7227"/>
    <w:rsid w:val="008B1413"/>
    <w:rsid w:val="008B40E2"/>
    <w:rsid w:val="008B4D1D"/>
    <w:rsid w:val="008B584A"/>
    <w:rsid w:val="008C28E4"/>
    <w:rsid w:val="008C2B77"/>
    <w:rsid w:val="008C3AB1"/>
    <w:rsid w:val="008E2C3C"/>
    <w:rsid w:val="008F20F7"/>
    <w:rsid w:val="008F301F"/>
    <w:rsid w:val="008F3C0B"/>
    <w:rsid w:val="008F4BD1"/>
    <w:rsid w:val="008F656B"/>
    <w:rsid w:val="008F6811"/>
    <w:rsid w:val="0090658B"/>
    <w:rsid w:val="00906BED"/>
    <w:rsid w:val="0092050D"/>
    <w:rsid w:val="00920B59"/>
    <w:rsid w:val="009219B8"/>
    <w:rsid w:val="0092244A"/>
    <w:rsid w:val="009314B3"/>
    <w:rsid w:val="00941895"/>
    <w:rsid w:val="00941C67"/>
    <w:rsid w:val="00947BB0"/>
    <w:rsid w:val="0095357F"/>
    <w:rsid w:val="0096323C"/>
    <w:rsid w:val="00974537"/>
    <w:rsid w:val="009814A6"/>
    <w:rsid w:val="009831F9"/>
    <w:rsid w:val="00983974"/>
    <w:rsid w:val="00986617"/>
    <w:rsid w:val="00992E48"/>
    <w:rsid w:val="00995847"/>
    <w:rsid w:val="009B3097"/>
    <w:rsid w:val="009B3AA1"/>
    <w:rsid w:val="009C056E"/>
    <w:rsid w:val="009C452B"/>
    <w:rsid w:val="009C7E3A"/>
    <w:rsid w:val="009D0174"/>
    <w:rsid w:val="009D0745"/>
    <w:rsid w:val="009D5EDA"/>
    <w:rsid w:val="009E7141"/>
    <w:rsid w:val="009F0F3C"/>
    <w:rsid w:val="00A01A7D"/>
    <w:rsid w:val="00A06619"/>
    <w:rsid w:val="00A1019D"/>
    <w:rsid w:val="00A161DB"/>
    <w:rsid w:val="00A162B9"/>
    <w:rsid w:val="00A17020"/>
    <w:rsid w:val="00A20B93"/>
    <w:rsid w:val="00A24285"/>
    <w:rsid w:val="00A3521D"/>
    <w:rsid w:val="00A36486"/>
    <w:rsid w:val="00A42729"/>
    <w:rsid w:val="00A436D7"/>
    <w:rsid w:val="00A43AFC"/>
    <w:rsid w:val="00A44C98"/>
    <w:rsid w:val="00A50B0A"/>
    <w:rsid w:val="00A530A3"/>
    <w:rsid w:val="00A53929"/>
    <w:rsid w:val="00A56157"/>
    <w:rsid w:val="00A562FB"/>
    <w:rsid w:val="00A60D92"/>
    <w:rsid w:val="00A64CFA"/>
    <w:rsid w:val="00A650BD"/>
    <w:rsid w:val="00A662EA"/>
    <w:rsid w:val="00A80EDE"/>
    <w:rsid w:val="00A82EB6"/>
    <w:rsid w:val="00AA402C"/>
    <w:rsid w:val="00AB1723"/>
    <w:rsid w:val="00AB6B6E"/>
    <w:rsid w:val="00AC0D47"/>
    <w:rsid w:val="00AC1CA2"/>
    <w:rsid w:val="00AC3B32"/>
    <w:rsid w:val="00AC78E2"/>
    <w:rsid w:val="00AD731B"/>
    <w:rsid w:val="00AD7728"/>
    <w:rsid w:val="00AE00C9"/>
    <w:rsid w:val="00AE1522"/>
    <w:rsid w:val="00AE282B"/>
    <w:rsid w:val="00AE4C79"/>
    <w:rsid w:val="00AE4F8A"/>
    <w:rsid w:val="00AE554E"/>
    <w:rsid w:val="00AF0511"/>
    <w:rsid w:val="00AF161D"/>
    <w:rsid w:val="00AF458E"/>
    <w:rsid w:val="00AF6C5E"/>
    <w:rsid w:val="00B06A5D"/>
    <w:rsid w:val="00B07B4D"/>
    <w:rsid w:val="00B115FB"/>
    <w:rsid w:val="00B15953"/>
    <w:rsid w:val="00B15C2E"/>
    <w:rsid w:val="00B20065"/>
    <w:rsid w:val="00B20118"/>
    <w:rsid w:val="00B22912"/>
    <w:rsid w:val="00B24768"/>
    <w:rsid w:val="00B24DA7"/>
    <w:rsid w:val="00B30CC3"/>
    <w:rsid w:val="00B34584"/>
    <w:rsid w:val="00B34A6F"/>
    <w:rsid w:val="00B354F4"/>
    <w:rsid w:val="00B36B1D"/>
    <w:rsid w:val="00B45A63"/>
    <w:rsid w:val="00B56D64"/>
    <w:rsid w:val="00B6272A"/>
    <w:rsid w:val="00B62E4E"/>
    <w:rsid w:val="00B64DF9"/>
    <w:rsid w:val="00B6628E"/>
    <w:rsid w:val="00B66AAA"/>
    <w:rsid w:val="00B7049E"/>
    <w:rsid w:val="00B7388B"/>
    <w:rsid w:val="00B73DDA"/>
    <w:rsid w:val="00B824E2"/>
    <w:rsid w:val="00B851E0"/>
    <w:rsid w:val="00B91E7A"/>
    <w:rsid w:val="00B9620A"/>
    <w:rsid w:val="00BA129D"/>
    <w:rsid w:val="00BA29AB"/>
    <w:rsid w:val="00BA2E3E"/>
    <w:rsid w:val="00BB2F86"/>
    <w:rsid w:val="00BB4FBD"/>
    <w:rsid w:val="00BB52C4"/>
    <w:rsid w:val="00BB608D"/>
    <w:rsid w:val="00BB6A82"/>
    <w:rsid w:val="00BC706A"/>
    <w:rsid w:val="00BD4FD1"/>
    <w:rsid w:val="00BD6EE8"/>
    <w:rsid w:val="00BD7828"/>
    <w:rsid w:val="00BE2AAF"/>
    <w:rsid w:val="00BE319D"/>
    <w:rsid w:val="00BE608E"/>
    <w:rsid w:val="00BE7F57"/>
    <w:rsid w:val="00BF6736"/>
    <w:rsid w:val="00C00EC5"/>
    <w:rsid w:val="00C07FBD"/>
    <w:rsid w:val="00C11DCC"/>
    <w:rsid w:val="00C11F2B"/>
    <w:rsid w:val="00C12327"/>
    <w:rsid w:val="00C147BB"/>
    <w:rsid w:val="00C22E40"/>
    <w:rsid w:val="00C2493A"/>
    <w:rsid w:val="00C31EF3"/>
    <w:rsid w:val="00C31FAF"/>
    <w:rsid w:val="00C344CD"/>
    <w:rsid w:val="00C37707"/>
    <w:rsid w:val="00C42BC1"/>
    <w:rsid w:val="00C5170F"/>
    <w:rsid w:val="00C5177F"/>
    <w:rsid w:val="00C52383"/>
    <w:rsid w:val="00C55A8E"/>
    <w:rsid w:val="00C57580"/>
    <w:rsid w:val="00C63F0D"/>
    <w:rsid w:val="00C71A11"/>
    <w:rsid w:val="00C80A46"/>
    <w:rsid w:val="00C910A2"/>
    <w:rsid w:val="00C91777"/>
    <w:rsid w:val="00C9491B"/>
    <w:rsid w:val="00CA3FF2"/>
    <w:rsid w:val="00CB1287"/>
    <w:rsid w:val="00CB52B6"/>
    <w:rsid w:val="00CC2FCF"/>
    <w:rsid w:val="00CC3F9E"/>
    <w:rsid w:val="00CC47E5"/>
    <w:rsid w:val="00CC596B"/>
    <w:rsid w:val="00CD16C3"/>
    <w:rsid w:val="00CD3FDA"/>
    <w:rsid w:val="00CD50D1"/>
    <w:rsid w:val="00CD6F42"/>
    <w:rsid w:val="00CE2729"/>
    <w:rsid w:val="00CF4032"/>
    <w:rsid w:val="00D1177C"/>
    <w:rsid w:val="00D125A1"/>
    <w:rsid w:val="00D16B66"/>
    <w:rsid w:val="00D21311"/>
    <w:rsid w:val="00D27F78"/>
    <w:rsid w:val="00D408CE"/>
    <w:rsid w:val="00D53DCF"/>
    <w:rsid w:val="00D54AB1"/>
    <w:rsid w:val="00D55366"/>
    <w:rsid w:val="00D574B0"/>
    <w:rsid w:val="00D6123E"/>
    <w:rsid w:val="00D61507"/>
    <w:rsid w:val="00D61FB3"/>
    <w:rsid w:val="00D626CD"/>
    <w:rsid w:val="00D64AEA"/>
    <w:rsid w:val="00D756C6"/>
    <w:rsid w:val="00D92AF9"/>
    <w:rsid w:val="00D96E15"/>
    <w:rsid w:val="00DA798F"/>
    <w:rsid w:val="00DB04BA"/>
    <w:rsid w:val="00DB34D3"/>
    <w:rsid w:val="00DB7EEC"/>
    <w:rsid w:val="00DC0734"/>
    <w:rsid w:val="00DC2405"/>
    <w:rsid w:val="00DC2A4A"/>
    <w:rsid w:val="00DC7DB7"/>
    <w:rsid w:val="00DD1C85"/>
    <w:rsid w:val="00DD1E25"/>
    <w:rsid w:val="00DD66AD"/>
    <w:rsid w:val="00DF1C91"/>
    <w:rsid w:val="00DF2826"/>
    <w:rsid w:val="00DF5364"/>
    <w:rsid w:val="00DF710F"/>
    <w:rsid w:val="00DF76E8"/>
    <w:rsid w:val="00E02E88"/>
    <w:rsid w:val="00E04AAA"/>
    <w:rsid w:val="00E058CA"/>
    <w:rsid w:val="00E07688"/>
    <w:rsid w:val="00E13C09"/>
    <w:rsid w:val="00E2251E"/>
    <w:rsid w:val="00E300A6"/>
    <w:rsid w:val="00E30F2A"/>
    <w:rsid w:val="00E3334E"/>
    <w:rsid w:val="00E35F45"/>
    <w:rsid w:val="00E50086"/>
    <w:rsid w:val="00E64F97"/>
    <w:rsid w:val="00E734DD"/>
    <w:rsid w:val="00E7750E"/>
    <w:rsid w:val="00E80021"/>
    <w:rsid w:val="00E805CD"/>
    <w:rsid w:val="00E80CB1"/>
    <w:rsid w:val="00E862AC"/>
    <w:rsid w:val="00E86CBC"/>
    <w:rsid w:val="00E93FE9"/>
    <w:rsid w:val="00E96CEF"/>
    <w:rsid w:val="00E97986"/>
    <w:rsid w:val="00EA144C"/>
    <w:rsid w:val="00EA200F"/>
    <w:rsid w:val="00EA224C"/>
    <w:rsid w:val="00EA653B"/>
    <w:rsid w:val="00EB06F0"/>
    <w:rsid w:val="00EB562E"/>
    <w:rsid w:val="00EB70A8"/>
    <w:rsid w:val="00EC727A"/>
    <w:rsid w:val="00ED28BB"/>
    <w:rsid w:val="00EF338F"/>
    <w:rsid w:val="00EF6D0D"/>
    <w:rsid w:val="00F03A15"/>
    <w:rsid w:val="00F1044E"/>
    <w:rsid w:val="00F127BA"/>
    <w:rsid w:val="00F1385B"/>
    <w:rsid w:val="00F16C7E"/>
    <w:rsid w:val="00F16CF4"/>
    <w:rsid w:val="00F21715"/>
    <w:rsid w:val="00F23989"/>
    <w:rsid w:val="00F26EBC"/>
    <w:rsid w:val="00F31658"/>
    <w:rsid w:val="00F316E6"/>
    <w:rsid w:val="00F31E21"/>
    <w:rsid w:val="00F3674C"/>
    <w:rsid w:val="00F42473"/>
    <w:rsid w:val="00F42B69"/>
    <w:rsid w:val="00F43EE2"/>
    <w:rsid w:val="00F44037"/>
    <w:rsid w:val="00F443C1"/>
    <w:rsid w:val="00F46177"/>
    <w:rsid w:val="00F509C5"/>
    <w:rsid w:val="00F51CA7"/>
    <w:rsid w:val="00F51E95"/>
    <w:rsid w:val="00F53A3C"/>
    <w:rsid w:val="00F562B7"/>
    <w:rsid w:val="00F60249"/>
    <w:rsid w:val="00F6739D"/>
    <w:rsid w:val="00F67786"/>
    <w:rsid w:val="00F67CF7"/>
    <w:rsid w:val="00F701A6"/>
    <w:rsid w:val="00F7212C"/>
    <w:rsid w:val="00F72FD3"/>
    <w:rsid w:val="00F73AEA"/>
    <w:rsid w:val="00F771AA"/>
    <w:rsid w:val="00F77FDC"/>
    <w:rsid w:val="00F831C0"/>
    <w:rsid w:val="00F83E77"/>
    <w:rsid w:val="00F849DF"/>
    <w:rsid w:val="00F93CA6"/>
    <w:rsid w:val="00F954B8"/>
    <w:rsid w:val="00F961F0"/>
    <w:rsid w:val="00FA2FC3"/>
    <w:rsid w:val="00FA5A1E"/>
    <w:rsid w:val="00FA6BEC"/>
    <w:rsid w:val="00FB0A79"/>
    <w:rsid w:val="00FB3F8C"/>
    <w:rsid w:val="00FB4A00"/>
    <w:rsid w:val="00FC160C"/>
    <w:rsid w:val="00FC19FF"/>
    <w:rsid w:val="00FC1A78"/>
    <w:rsid w:val="00FC74DC"/>
    <w:rsid w:val="00FD050C"/>
    <w:rsid w:val="00FD26BA"/>
    <w:rsid w:val="00FD3BC7"/>
    <w:rsid w:val="00FD435F"/>
    <w:rsid w:val="00FD4CD1"/>
    <w:rsid w:val="00FD543D"/>
    <w:rsid w:val="00FD7BC2"/>
    <w:rsid w:val="00FE2296"/>
    <w:rsid w:val="00FE55A6"/>
    <w:rsid w:val="00FF12F0"/>
    <w:rsid w:val="00FF2C6A"/>
    <w:rsid w:val="00FF3C2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C457A"/>
  <w15:chartTrackingRefBased/>
  <w15:docId w15:val="{ABD36F0F-8FA8-4A4E-BFF8-B7E68F997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0E01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01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01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E2AE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5170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1FF"/>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0E01FF"/>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0E01FF"/>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E2AEA"/>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rsid w:val="00C5170F"/>
    <w:rPr>
      <w:rFonts w:asciiTheme="majorHAnsi" w:eastAsiaTheme="majorEastAsia" w:hAnsiTheme="majorHAnsi" w:cstheme="majorBidi"/>
      <w:color w:val="2F5496" w:themeColor="accent1" w:themeShade="BF"/>
      <w:lang w:val="en-US"/>
    </w:rPr>
  </w:style>
  <w:style w:type="character" w:styleId="PlaceholderText">
    <w:name w:val="Placeholder Text"/>
    <w:basedOn w:val="DefaultParagraphFont"/>
    <w:uiPriority w:val="99"/>
    <w:semiHidden/>
    <w:rsid w:val="004C5946"/>
    <w:rPr>
      <w:color w:val="808080"/>
    </w:rPr>
  </w:style>
  <w:style w:type="table" w:styleId="TableGrid">
    <w:name w:val="Table Grid"/>
    <w:basedOn w:val="TableNormal"/>
    <w:uiPriority w:val="39"/>
    <w:rsid w:val="00A539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13C09"/>
    <w:pPr>
      <w:spacing w:after="200" w:line="240" w:lineRule="auto"/>
    </w:pPr>
    <w:rPr>
      <w:i/>
      <w:iCs/>
      <w:color w:val="44546A" w:themeColor="text2"/>
      <w:sz w:val="18"/>
      <w:szCs w:val="18"/>
    </w:rPr>
  </w:style>
  <w:style w:type="paragraph" w:styleId="ListParagraph">
    <w:name w:val="List Paragraph"/>
    <w:basedOn w:val="Normal"/>
    <w:uiPriority w:val="34"/>
    <w:qFormat/>
    <w:rsid w:val="00162431"/>
    <w:pPr>
      <w:ind w:left="720"/>
      <w:contextualSpacing/>
    </w:pPr>
  </w:style>
  <w:style w:type="character" w:styleId="CommentReference">
    <w:name w:val="annotation reference"/>
    <w:basedOn w:val="DefaultParagraphFont"/>
    <w:uiPriority w:val="99"/>
    <w:semiHidden/>
    <w:unhideWhenUsed/>
    <w:rsid w:val="007240B5"/>
    <w:rPr>
      <w:sz w:val="16"/>
      <w:szCs w:val="16"/>
    </w:rPr>
  </w:style>
  <w:style w:type="paragraph" w:styleId="CommentText">
    <w:name w:val="annotation text"/>
    <w:basedOn w:val="Normal"/>
    <w:link w:val="CommentTextChar"/>
    <w:uiPriority w:val="99"/>
    <w:semiHidden/>
    <w:unhideWhenUsed/>
    <w:rsid w:val="007240B5"/>
    <w:pPr>
      <w:spacing w:line="240" w:lineRule="auto"/>
    </w:pPr>
    <w:rPr>
      <w:sz w:val="20"/>
      <w:szCs w:val="20"/>
    </w:rPr>
  </w:style>
  <w:style w:type="character" w:customStyle="1" w:styleId="CommentTextChar">
    <w:name w:val="Comment Text Char"/>
    <w:basedOn w:val="DefaultParagraphFont"/>
    <w:link w:val="CommentText"/>
    <w:uiPriority w:val="99"/>
    <w:semiHidden/>
    <w:rsid w:val="007240B5"/>
    <w:rPr>
      <w:sz w:val="20"/>
      <w:szCs w:val="20"/>
      <w:lang w:val="en-US"/>
    </w:rPr>
  </w:style>
  <w:style w:type="paragraph" w:styleId="CommentSubject">
    <w:name w:val="annotation subject"/>
    <w:basedOn w:val="CommentText"/>
    <w:next w:val="CommentText"/>
    <w:link w:val="CommentSubjectChar"/>
    <w:uiPriority w:val="99"/>
    <w:semiHidden/>
    <w:unhideWhenUsed/>
    <w:rsid w:val="007240B5"/>
    <w:rPr>
      <w:b/>
      <w:bCs/>
    </w:rPr>
  </w:style>
  <w:style w:type="character" w:customStyle="1" w:styleId="CommentSubjectChar">
    <w:name w:val="Comment Subject Char"/>
    <w:basedOn w:val="CommentTextChar"/>
    <w:link w:val="CommentSubject"/>
    <w:uiPriority w:val="99"/>
    <w:semiHidden/>
    <w:rsid w:val="007240B5"/>
    <w:rPr>
      <w:b/>
      <w:bCs/>
      <w:sz w:val="20"/>
      <w:szCs w:val="20"/>
      <w:lang w:val="en-US"/>
    </w:rPr>
  </w:style>
  <w:style w:type="paragraph" w:styleId="Header">
    <w:name w:val="header"/>
    <w:basedOn w:val="Normal"/>
    <w:link w:val="HeaderChar"/>
    <w:uiPriority w:val="99"/>
    <w:semiHidden/>
    <w:unhideWhenUsed/>
    <w:rsid w:val="007D21D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D21D6"/>
    <w:rPr>
      <w:lang w:val="en-US"/>
    </w:rPr>
  </w:style>
  <w:style w:type="paragraph" w:styleId="Footer">
    <w:name w:val="footer"/>
    <w:basedOn w:val="Normal"/>
    <w:link w:val="FooterChar"/>
    <w:uiPriority w:val="99"/>
    <w:semiHidden/>
    <w:unhideWhenUsed/>
    <w:rsid w:val="007D21D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D21D6"/>
    <w:rPr>
      <w:lang w:val="en-US"/>
    </w:rPr>
  </w:style>
  <w:style w:type="character" w:styleId="Hyperlink">
    <w:name w:val="Hyperlink"/>
    <w:basedOn w:val="DefaultParagraphFont"/>
    <w:uiPriority w:val="99"/>
    <w:unhideWhenUsed/>
    <w:rsid w:val="008B584A"/>
    <w:rPr>
      <w:color w:val="0563C1" w:themeColor="hyperlink"/>
      <w:u w:val="single"/>
    </w:rPr>
  </w:style>
  <w:style w:type="character" w:styleId="UnresolvedMention">
    <w:name w:val="Unresolved Mention"/>
    <w:basedOn w:val="DefaultParagraphFont"/>
    <w:uiPriority w:val="99"/>
    <w:semiHidden/>
    <w:unhideWhenUsed/>
    <w:rsid w:val="008B58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138283">
      <w:bodyDiv w:val="1"/>
      <w:marLeft w:val="0"/>
      <w:marRight w:val="0"/>
      <w:marTop w:val="0"/>
      <w:marBottom w:val="0"/>
      <w:divBdr>
        <w:top w:val="none" w:sz="0" w:space="0" w:color="auto"/>
        <w:left w:val="none" w:sz="0" w:space="0" w:color="auto"/>
        <w:bottom w:val="none" w:sz="0" w:space="0" w:color="auto"/>
        <w:right w:val="none" w:sz="0" w:space="0" w:color="auto"/>
      </w:divBdr>
    </w:div>
    <w:div w:id="1304313714">
      <w:bodyDiv w:val="1"/>
      <w:marLeft w:val="0"/>
      <w:marRight w:val="0"/>
      <w:marTop w:val="0"/>
      <w:marBottom w:val="0"/>
      <w:divBdr>
        <w:top w:val="none" w:sz="0" w:space="0" w:color="auto"/>
        <w:left w:val="none" w:sz="0" w:space="0" w:color="auto"/>
        <w:bottom w:val="none" w:sz="0" w:space="0" w:color="auto"/>
        <w:right w:val="none" w:sz="0" w:space="0" w:color="auto"/>
      </w:divBdr>
    </w:div>
    <w:div w:id="174699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ippcb.jrc.ec.europa.eu/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E12AE-0405-4D45-98EC-F2FFB47E5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4412</TotalTime>
  <Pages>9</Pages>
  <Words>4646</Words>
  <Characters>26488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Gjedde</dc:creator>
  <cp:keywords/>
  <dc:description/>
  <cp:lastModifiedBy>Philip Gjedde</cp:lastModifiedBy>
  <cp:revision>685</cp:revision>
  <dcterms:created xsi:type="dcterms:W3CDTF">2022-03-01T13:54:00Z</dcterms:created>
  <dcterms:modified xsi:type="dcterms:W3CDTF">2022-04-19T00:20:00Z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f1333de2-88a1-31ea-9ae2-f90fd72adc0f</vt:lpwstr>
  </property>
  <property fmtid="{D5CDD505-2E9C-101B-9397-08002B2CF9AE}" pid="4" name="Mendeley Citation Style_1">
    <vt:lpwstr>http://www.zotero.org/styles/resources-conservation-and-recycling</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http://www.zotero.org/styles/resources-conservation-and-recycling</vt:lpwstr>
  </property>
  <property fmtid="{D5CDD505-2E9C-101B-9397-08002B2CF9AE}" pid="24" name="Mendeley Recent Style Name 9_1">
    <vt:lpwstr>Resources, Conservation &amp; Recycling</vt:lpwstr>
  </property>
</Properties>
</file>