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E177" w14:textId="508E4EF3" w:rsidR="00073BB9" w:rsidRDefault="00FD45BD" w:rsidP="00FD45BD">
      <w:pPr>
        <w:pStyle w:val="Heading1"/>
        <w:rPr>
          <w:lang w:val="en-001"/>
        </w:rPr>
      </w:pPr>
      <w:r>
        <w:rPr>
          <w:lang w:val="en-001"/>
        </w:rPr>
        <w:t>South African model</w:t>
      </w:r>
      <w:r w:rsidR="005F40A8">
        <w:rPr>
          <w:lang w:val="en-001"/>
        </w:rPr>
        <w:t xml:space="preserve"> extension</w:t>
      </w:r>
      <w:r>
        <w:rPr>
          <w:lang w:val="en-001"/>
        </w:rPr>
        <w:t xml:space="preserve">: </w:t>
      </w:r>
      <w:r w:rsidR="005F40A8">
        <w:rPr>
          <w:lang w:val="en-001"/>
        </w:rPr>
        <w:t xml:space="preserve">transport sector </w:t>
      </w:r>
      <w:r>
        <w:rPr>
          <w:lang w:val="en-001"/>
        </w:rPr>
        <w:t>and user behavior</w:t>
      </w:r>
    </w:p>
    <w:p w14:paraId="7E77A401" w14:textId="18F96C81" w:rsidR="00807EA3" w:rsidRPr="00807EA3" w:rsidRDefault="00807EA3" w:rsidP="00807EA3">
      <w:pPr>
        <w:rPr>
          <w:lang w:val="en-001"/>
        </w:rPr>
      </w:pPr>
      <w:r>
        <w:rPr>
          <w:lang w:val="en-001"/>
        </w:rPr>
        <w:t>Author: Kamila Krych</w:t>
      </w:r>
    </w:p>
    <w:p w14:paraId="274D49E6" w14:textId="6A9A227A" w:rsidR="00C35903" w:rsidRDefault="00C35903" w:rsidP="00FD45BD">
      <w:pPr>
        <w:pStyle w:val="Heading2"/>
        <w:rPr>
          <w:lang w:val="en-001"/>
        </w:rPr>
      </w:pPr>
      <w:r>
        <w:rPr>
          <w:lang w:val="en-001"/>
        </w:rPr>
        <w:t>Methods</w:t>
      </w:r>
    </w:p>
    <w:p w14:paraId="46ED7009" w14:textId="02D472AF" w:rsidR="00B52CAF" w:rsidRDefault="00B52CAF" w:rsidP="00B52CAF">
      <w:pPr>
        <w:rPr>
          <w:lang w:val="en-001"/>
        </w:rPr>
      </w:pPr>
      <w:r>
        <w:rPr>
          <w:lang w:val="en-001"/>
        </w:rPr>
        <w:t xml:space="preserve">This work is an extension of the model MESSAGEix-South Africa </w:t>
      </w:r>
      <w:r>
        <w:rPr>
          <w:lang w:val="en-001"/>
        </w:rPr>
        <w:fldChar w:fldCharType="begin"/>
      </w:r>
      <w:r w:rsidR="00645470">
        <w:rPr>
          <w:lang w:val="en-001"/>
        </w:rPr>
        <w:instrText xml:space="preserve"> ADDIN ZOTERO_ITEM CSL_CITATION {"citationID":"b1XN9aAh","properties":{"formattedCitation":"(Orthofer et al., 2019)","plainCitation":"(Orthofer et al., 2019)","noteIndex":0},"citationItems":[{"id":14090,"uris":["http://zotero.org/users/5891677/items/H6JHMF3B"],"itemData":{"id":14090,"type":"article-journal","abstract":"South Africa is facing the triple challenge of (a) fuelling economic development and meeting the growing energy demand; (b) increasing the reliability of the electricity system; and (c) ensuring that domestic greenhouse gas emissions peak no later than 2030 to meet its nationally determined contributions (NDC) under the 2015 Paris Agreement. Recently discovered domestic shale gas reserves are being considered as a potential new energy source to provide clean, reliable and cheap electricity while mitigating greenhouse gas emissions relative to the dominant coal sector. In order to determine if shale gas can play a viable role in solving South Africa's energy trilemma, we apply a country-level version of the integrated assessment model MESSAGEix to analyze and quantify the interdependencies between shale gas, the energy system and South Africa's greenhouse gas emissions trajectory. The data and scripts to generate this study will be made available at https://github.com/tum-ewk/message_ix_south_africa following the publication of this manuscript. Our results indicate that shale gas extraction costs must be below 3 USD/GJ for this energy source to reach a significant share in the fuel mix; this is well below current cost estimates. If, however, low-cost shale gas is available, both coal and low-carbon sources are replaced by natural gas. Whether carbon dioxide emissions increase or decrease as a result depends on the stringency of the climate change mitigation policy in place: without carbon pricing, natural gas replaces coal and mitigates harmful emissions; under high carbon prices, power generation from coal is phased out in any case, and natural gas competes with zero-carbon renewables, leading to an increase of emissions compared to a no-shale scenario.","container-title":"Frontiers in Energy Research","ISSN":"2296-598X","source":"Frontiers","title":"South Africa After Paris—Fracking Its Way to the NDCs?","URL":"https://www.frontiersin.org/article/10.3389/fenrg.2019.00020","volume":"7","author":[{"family":"Orthofer","given":"Clara Luisa"},{"family":"Huppmann","given":"Daniel"},{"family":"Krey","given":"Volker"}],"accessed":{"date-parts":[["2022",3,25]]},"issued":{"date-parts":[["2019"]]}}}],"schema":"https://github.com/citation-style-language/schema/raw/master/csl-citation.json"} </w:instrText>
      </w:r>
      <w:r>
        <w:rPr>
          <w:lang w:val="en-001"/>
        </w:rPr>
        <w:fldChar w:fldCharType="separate"/>
      </w:r>
      <w:r w:rsidRPr="00C16AB1">
        <w:rPr>
          <w:rFonts w:ascii="Calibri" w:hAnsi="Calibri" w:cs="Calibri"/>
          <w:lang w:val="en-US"/>
        </w:rPr>
        <w:t>(Orthofer et al., 2019)</w:t>
      </w:r>
      <w:r>
        <w:rPr>
          <w:lang w:val="en-001"/>
        </w:rPr>
        <w:fldChar w:fldCharType="end"/>
      </w:r>
      <w:r>
        <w:rPr>
          <w:lang w:val="en-001"/>
        </w:rPr>
        <w:t xml:space="preserve">; the extension is focused on the transport sector and elements of behavioral realism introduced by </w:t>
      </w:r>
      <w:r w:rsidRPr="005F40A8">
        <w:rPr>
          <w:lang w:val="en-001"/>
        </w:rPr>
        <w:t xml:space="preserve">McCollum et al </w:t>
      </w:r>
      <w:r>
        <w:rPr>
          <w:lang w:val="en-001"/>
        </w:rPr>
        <w:fldChar w:fldCharType="begin"/>
      </w:r>
      <w:r w:rsidR="00645470">
        <w:rPr>
          <w:lang w:val="en-001"/>
        </w:rPr>
        <w:instrText xml:space="preserve"> ADDIN ZOTERO_ITEM CSL_CITATION {"citationID":"aDalEgnW","properties":{"formattedCitation":"(2017)","plainCitation":"(2017)","noteIndex":0},"citationItems":[{"id":13801,"uris":["http://zotero.org/users/5891677/items/6AU4JA8K"],"itemData":{"id":13801,"type":"article-journal","abstract":"A large body of transport sector-focused research recognizes the complexity of human behavior in relation to mobility. Yet, global integrated assessment models (IAMs), which are widely used to evaluate the costs, potentials, and consequences of different greenhouse gas emission trajectories over the medium-to-long term, typically represent behavior and the end use of energy as a simple rational choice between available alternatives, even though abundant empirical evidence shows that real-world decision making is more complex and less routinely rational. This paper demonstrates the value of incorporating certain features of consumer behavior in IAMs, focusing on light-duty vehicle (LDV) purchase decisions. An innovative model formulation is developed to represent heterogeneous consumer groups with varying preferences for vehicle novelty, range, refueling/recharging availability, and variety. The formulation is then implemented in the transport module of MESSAGE-Transport, a global IAM, although it also has the generic flexibility to be applied in energy-economy models with varying set-ups. Comparison of conventional and ‘behaviorally-realistic’ model runs with respect to vehicle purchase decisions shows that consumer preferences may slow down the transition to alternative fuel (low-carbon) vehicles. Consequently, stronger price-based incentives and/or non-price based measures may be needed to transform the global fleet of passenger vehicles, at least in the initial market phases of novel alternatives. Otherwise, the mitigation burden borne by other transport sub-sectors and other energy sectors could be higher than previously estimated. More generally, capturing behavioral features of energy consumers in global IAMs increases their usefulness to policy makers by allowing a more realistic assessment of a more diverse suite of policies.","container-title":"Transportation Research Part D: Transport and Environment","DOI":"10.1016/j.trd.2016.04.003","ISSN":"1361-9209","journalAbbreviation":"Transportation Research Part D: Transport and Environment","language":"en","page":"322-342","source":"ScienceDirect","title":"Improving the behavioral realism of global integrated assessment models: An application to consumers’ vehicle choices","title-short":"Improving the behavioral realism of global integrated assessment models","volume":"55","author":[{"family":"McCollum","given":"David L."},{"family":"Wilson","given":"Charlie"},{"family":"Pettifor","given":"Hazel"},{"family":"Ramea","given":"Kalai"},{"family":"Krey","given":"Volker"},{"family":"Riahi","given":"Keywan"},{"family":"Bertram","given":"Christoph"},{"family":"Lin","given":"Zhenhong"},{"family":"Edelenbosch","given":"Oreane Y."},{"family":"Fujisawa","given":"Sei"}],"issued":{"date-parts":[["2017",8,1]]}},"suppress-author":true}],"schema":"https://github.com/citation-style-language/schema/raw/master/csl-citation.json"} </w:instrText>
      </w:r>
      <w:r>
        <w:rPr>
          <w:lang w:val="en-001"/>
        </w:rPr>
        <w:fldChar w:fldCharType="separate"/>
      </w:r>
      <w:r w:rsidRPr="005F40A8">
        <w:rPr>
          <w:rFonts w:ascii="Calibri" w:hAnsi="Calibri" w:cs="Calibri"/>
          <w:lang w:val="en-US"/>
        </w:rPr>
        <w:t>(2017)</w:t>
      </w:r>
      <w:r>
        <w:rPr>
          <w:lang w:val="en-001"/>
        </w:rPr>
        <w:fldChar w:fldCharType="end"/>
      </w:r>
      <w:r>
        <w:rPr>
          <w:lang w:val="en-001"/>
        </w:rPr>
        <w:t xml:space="preserve">. The development of the model is divided into a few stages, which are reflected in the methods and results section of the report. Part 1 reflects the modification of the transport sector in MESSAGE from </w:t>
      </w:r>
      <w:r w:rsidR="00CC3F2A">
        <w:rPr>
          <w:lang w:val="en-001"/>
        </w:rPr>
        <w:t xml:space="preserve">one based on energy to one </w:t>
      </w:r>
      <w:r>
        <w:rPr>
          <w:lang w:val="en-001"/>
        </w:rPr>
        <w:t>based on passenger-kilometers</w:t>
      </w:r>
      <w:r w:rsidR="00CC3F2A">
        <w:rPr>
          <w:lang w:val="en-001"/>
        </w:rPr>
        <w:t xml:space="preserve">. Part 2 shows the introduction of vehicles providing transport capacity, characterized by investment costs and lifetimes. Part 3 introduces elements of behavioral realism, by disaggregating the transport demand and adding disutility costs for different types of vehicles. </w:t>
      </w:r>
    </w:p>
    <w:p w14:paraId="4A158974" w14:textId="37ADD701" w:rsidR="007E11BB" w:rsidRDefault="007E11BB" w:rsidP="007E11BB">
      <w:pPr>
        <w:pStyle w:val="Heading3"/>
        <w:rPr>
          <w:lang w:val="en-001"/>
        </w:rPr>
      </w:pPr>
      <w:r>
        <w:rPr>
          <w:lang w:val="en-001"/>
        </w:rPr>
        <w:t>Part 1: Transport demand modification</w:t>
      </w:r>
    </w:p>
    <w:p w14:paraId="6818199B" w14:textId="2BA3EFD0" w:rsidR="00344038" w:rsidRDefault="000430A4" w:rsidP="007E11BB">
      <w:pPr>
        <w:rPr>
          <w:lang w:val="en-001"/>
        </w:rPr>
      </w:pPr>
      <w:r>
        <w:rPr>
          <w:lang w:val="en-001"/>
        </w:rPr>
        <w:t xml:space="preserve">The MESSAGEix-South Africa model includes projections of useful energy demand under SSP2 scenario assumptions </w:t>
      </w:r>
      <w:r>
        <w:rPr>
          <w:lang w:val="en-001"/>
        </w:rPr>
        <w:fldChar w:fldCharType="begin"/>
      </w:r>
      <w:r w:rsidR="00645470">
        <w:rPr>
          <w:lang w:val="en-001"/>
        </w:rPr>
        <w:instrText xml:space="preserve"> ADDIN ZOTERO_ITEM CSL_CITATION {"citationID":"2WuPiYke","properties":{"formattedCitation":"(Orthofer et al., 2019)","plainCitation":"(Orthofer et al., 2019)","noteIndex":0},"citationItems":[{"id":14090,"uris":["http://zotero.org/users/5891677/items/H6JHMF3B"],"itemData":{"id":14090,"type":"article-journal","abstract":"South Africa is facing the triple challenge of (a) fuelling economic development and meeting the growing energy demand; (b) increasing the reliability of the electricity system; and (c) ensuring that domestic greenhouse gas emissions peak no later than 2030 to meet its nationally determined contributions (NDC) under the 2015 Paris Agreement. Recently discovered domestic shale gas reserves are being considered as a potential new energy source to provide clean, reliable and cheap electricity while mitigating greenhouse gas emissions relative to the dominant coal sector. In order to determine if shale gas can play a viable role in solving South Africa's energy trilemma, we apply a country-level version of the integrated assessment model MESSAGEix to analyze and quantify the interdependencies between shale gas, the energy system and South Africa's greenhouse gas emissions trajectory. The data and scripts to generate this study will be made available at https://github.com/tum-ewk/message_ix_south_africa following the publication of this manuscript. Our results indicate that shale gas extraction costs must be below 3 USD/GJ for this energy source to reach a significant share in the fuel mix; this is well below current cost estimates. If, however, low-cost shale gas is available, both coal and low-carbon sources are replaced by natural gas. Whether carbon dioxide emissions increase or decrease as a result depends on the stringency of the climate change mitigation policy in place: without carbon pricing, natural gas replaces coal and mitigates harmful emissions; under high carbon prices, power generation from coal is phased out in any case, and natural gas competes with zero-carbon renewables, leading to an increase of emissions compared to a no-shale scenario.","container-title":"Frontiers in Energy Research","ISSN":"2296-598X","source":"Frontiers","title":"South Africa After Paris—Fracking Its Way to the NDCs?","URL":"https://www.frontiersin.org/article/10.3389/fenrg.2019.00020","volume":"7","author":[{"family":"Orthofer","given":"Clara Luisa"},{"family":"Huppmann","given":"Daniel"},{"family":"Krey","given":"Volker"}],"accessed":{"date-parts":[["2022",3,25]]},"issued":{"date-parts":[["2019"]]}}}],"schema":"https://github.com/citation-style-language/schema/raw/master/csl-citation.json"} </w:instrText>
      </w:r>
      <w:r>
        <w:rPr>
          <w:lang w:val="en-001"/>
        </w:rPr>
        <w:fldChar w:fldCharType="separate"/>
      </w:r>
      <w:r w:rsidRPr="00C16AB1">
        <w:rPr>
          <w:rFonts w:ascii="Calibri" w:hAnsi="Calibri" w:cs="Calibri"/>
          <w:lang w:val="en-US"/>
        </w:rPr>
        <w:t>(Orthofer et al., 2019)</w:t>
      </w:r>
      <w:r>
        <w:rPr>
          <w:lang w:val="en-001"/>
        </w:rPr>
        <w:fldChar w:fldCharType="end"/>
      </w:r>
      <w:r>
        <w:rPr>
          <w:lang w:val="en-001"/>
        </w:rPr>
        <w:t xml:space="preserve">, including the demand for transport, both public and private, expressed in units of energy (PJ). This demand includes </w:t>
      </w:r>
      <w:r w:rsidRPr="000430A4">
        <w:rPr>
          <w:lang w:val="en-US"/>
        </w:rPr>
        <w:t>en</w:t>
      </w:r>
      <w:r>
        <w:rPr>
          <w:lang w:val="en-US"/>
        </w:rPr>
        <w:t xml:space="preserve">tire </w:t>
      </w:r>
      <w:r w:rsidRPr="000430A4">
        <w:rPr>
          <w:lang w:val="en-US"/>
        </w:rPr>
        <w:t>trans</w:t>
      </w:r>
      <w:r>
        <w:rPr>
          <w:lang w:val="en-US"/>
        </w:rPr>
        <w:t xml:space="preserve">port sector, i.e., </w:t>
      </w:r>
      <w:r>
        <w:rPr>
          <w:lang w:val="en-001"/>
        </w:rPr>
        <w:t>both passenger transport and freight.</w:t>
      </w:r>
      <w:r w:rsidRPr="000430A4">
        <w:rPr>
          <w:lang w:val="en-US"/>
        </w:rPr>
        <w:t xml:space="preserve"> </w:t>
      </w:r>
      <w:r>
        <w:rPr>
          <w:lang w:val="en-001"/>
        </w:rPr>
        <w:t>However, the demand for transport can also be expressed in units of passenger-</w:t>
      </w:r>
      <w:r w:rsidR="00FA348C">
        <w:rPr>
          <w:lang w:val="en-001"/>
        </w:rPr>
        <w:t>km</w:t>
      </w:r>
      <w:r>
        <w:rPr>
          <w:lang w:val="en-001"/>
        </w:rPr>
        <w:t xml:space="preserve"> for personal mobility and ton-</w:t>
      </w:r>
      <w:r w:rsidR="00FA348C">
        <w:rPr>
          <w:lang w:val="en-001"/>
        </w:rPr>
        <w:t>km</w:t>
      </w:r>
      <w:r>
        <w:rPr>
          <w:lang w:val="en-001"/>
        </w:rPr>
        <w:t xml:space="preserve"> for freight. </w:t>
      </w:r>
    </w:p>
    <w:p w14:paraId="5BC6BF48" w14:textId="34DC7627" w:rsidR="006938ED" w:rsidRPr="006938ED" w:rsidRDefault="006938ED" w:rsidP="006938ED">
      <w:pPr>
        <w:pStyle w:val="Heading4"/>
        <w:rPr>
          <w:lang w:val="en-001"/>
        </w:rPr>
      </w:pPr>
      <w:r>
        <w:rPr>
          <w:lang w:val="en-001"/>
        </w:rPr>
        <w:t>Passenger transport</w:t>
      </w:r>
    </w:p>
    <w:p w14:paraId="071C2E71" w14:textId="08D75B8E" w:rsidR="007E44CF" w:rsidRDefault="007E11BB" w:rsidP="00FD45BD">
      <w:pPr>
        <w:rPr>
          <w:lang w:val="en-001"/>
        </w:rPr>
      </w:pPr>
      <w:r>
        <w:rPr>
          <w:lang w:val="en-001"/>
        </w:rPr>
        <w:t>To express personal mobility in passenger-</w:t>
      </w:r>
      <w:r w:rsidR="00FA348C">
        <w:rPr>
          <w:lang w:val="en-001"/>
        </w:rPr>
        <w:t>km</w:t>
      </w:r>
      <w:r>
        <w:rPr>
          <w:lang w:val="en-001"/>
        </w:rPr>
        <w:t xml:space="preserve">, we can use </w:t>
      </w:r>
      <w:r w:rsidR="00344038">
        <w:rPr>
          <w:lang w:val="en-001"/>
        </w:rPr>
        <w:t>a relation between GDP per capita and traffic volume (TV) per capita</w:t>
      </w:r>
      <w:r w:rsidR="00C35903">
        <w:rPr>
          <w:lang w:val="en-001"/>
        </w:rPr>
        <w:t xml:space="preserve">, </w:t>
      </w:r>
      <w:r>
        <w:rPr>
          <w:lang w:val="en-001"/>
        </w:rPr>
        <w:t xml:space="preserve">derived from empirical data </w:t>
      </w:r>
      <w:r w:rsidR="00344038">
        <w:rPr>
          <w:lang w:val="en-001"/>
        </w:rPr>
        <w:fldChar w:fldCharType="begin"/>
      </w:r>
      <w:r w:rsidR="00645470">
        <w:rPr>
          <w:lang w:val="en-001"/>
        </w:rPr>
        <w:instrText xml:space="preserve"> ADDIN ZOTERO_ITEM CSL_CITATION {"citationID":"U0mL1DQe","properties":{"formattedCitation":"(Schafer &amp; Victor, 2000, Fig. 5)","plainCitation":"(Schafer &amp; Victor, 2000, Fig. 5)","noteIndex":0},"citationItems":[{"id":14094,"uris":["http://zotero.org/users/5891677/items/FWBEGD2J"],"itemData":{"id":14094,"type":"article-journal","abstract":"On average a person spends 1.1h per day traveling and devotes a predictable fraction of income to travel. We show that these time and money budgets are stable over space and time and can be used for projecting future levels of mobility and transport mode. The fixed travel money budget requires that mobility rises nearly in proportion with income. Covering greater distances within the same fixed travel time budget requires that travelers shift to faster modes of transport. The choice of future transport modes is also constrained by path dependence because transport infrastructures change only slowly. In addition, demand for low-speed public transport is partially determined by urban population densities and land-use characteristics. We present a model that incorporates these constraints, which we use for projecting traffic volume and the share of the major motorized modes of transport—automobiles, buses, trains and high speed transport (mainly aircraft)—for 11 regions and the world through 2050. We project that by 2050 the average world citizen will travel as many kilometers as the average West European in 1990. The average American's mobility will rise by a factor of 2.6 by 2050, to 58,000 km/year. The average Indian travels 6000km/year by 2050, comparable with West European levels in the early 1970s. Today, world citizens move 23 billion km in total; by 2050 that figure grows to 105 billion.","container-title":"Transportation Research Part A: Policy and Practice","DOI":"10.1016/S0965-8564(98)00071-8","ISSN":"0965-8564","issue":"3","journalAbbreviation":"Transportation Research Part A: Policy and Practice","language":"en","page":"171-205","source":"ScienceDirect","title":"The future mobility of the world population","volume":"34","author":[{"family":"Schafer","given":"Andreas"},{"family":"Victor","given":"David G"}],"issued":{"date-parts":[["2000",4,1]]}},"suffix":", Fig. 5"}],"schema":"https://github.com/citation-style-language/schema/raw/master/csl-citation.json"} </w:instrText>
      </w:r>
      <w:r w:rsidR="00344038">
        <w:rPr>
          <w:lang w:val="en-001"/>
        </w:rPr>
        <w:fldChar w:fldCharType="separate"/>
      </w:r>
      <w:r w:rsidR="00344038" w:rsidRPr="00344038">
        <w:rPr>
          <w:rFonts w:ascii="Calibri" w:hAnsi="Calibri" w:cs="Calibri"/>
          <w:lang w:val="en-US"/>
        </w:rPr>
        <w:t>(Schafer &amp; Victor, 2000, Fig. 5)</w:t>
      </w:r>
      <w:r w:rsidR="00344038">
        <w:rPr>
          <w:lang w:val="en-001"/>
        </w:rPr>
        <w:fldChar w:fldCharType="end"/>
      </w:r>
      <w:r w:rsidR="00344038">
        <w:rPr>
          <w:lang w:val="en-001"/>
        </w:rPr>
        <w:t>:</w:t>
      </w:r>
    </w:p>
    <w:p w14:paraId="29A7A267" w14:textId="22A7044D" w:rsidR="00344038" w:rsidRPr="00344038" w:rsidRDefault="00F10C9F" w:rsidP="00FD45BD">
      <w:pPr>
        <w:rPr>
          <w:rFonts w:eastAsiaTheme="minorEastAsia"/>
          <w:lang w:val="en-001"/>
        </w:rPr>
      </w:pPr>
      <m:oMathPara>
        <m:oMath>
          <m:eqArr>
            <m:eqArrPr>
              <m:maxDist m:val="1"/>
              <m:ctrlPr>
                <w:rPr>
                  <w:rFonts w:ascii="Cambria Math" w:hAnsi="Cambria Math"/>
                  <w:i/>
                  <w:lang w:val="en-001"/>
                </w:rPr>
              </m:ctrlPr>
            </m:eqArrPr>
            <m:e>
              <m:f>
                <m:fPr>
                  <m:ctrlPr>
                    <w:rPr>
                      <w:rFonts w:ascii="Cambria Math" w:hAnsi="Cambria Math"/>
                      <w:lang w:val="en-001"/>
                    </w:rPr>
                  </m:ctrlPr>
                </m:fPr>
                <m:num>
                  <m:r>
                    <w:rPr>
                      <w:rFonts w:ascii="Cambria Math" w:hAnsi="Cambria Math"/>
                      <w:lang w:val="en-001"/>
                    </w:rPr>
                    <m:t>TV</m:t>
                  </m:r>
                  <m:ctrlPr>
                    <w:rPr>
                      <w:rFonts w:ascii="Cambria Math" w:hAnsi="Cambria Math"/>
                      <w:i/>
                      <w:lang w:val="en-001"/>
                    </w:rPr>
                  </m:ctrlPr>
                </m:num>
                <m:den>
                  <m:r>
                    <w:rPr>
                      <w:rFonts w:ascii="Cambria Math" w:hAnsi="Cambria Math"/>
                      <w:lang w:val="en-001"/>
                    </w:rPr>
                    <m:t>cap</m:t>
                  </m:r>
                  <m:ctrlPr>
                    <w:rPr>
                      <w:rFonts w:ascii="Cambria Math" w:hAnsi="Cambria Math"/>
                      <w:i/>
                      <w:lang w:val="en-001"/>
                    </w:rPr>
                  </m:ctrlPr>
                </m:den>
              </m:f>
              <m:r>
                <w:rPr>
                  <w:rFonts w:ascii="Cambria Math" w:hAnsi="Cambria Math"/>
                  <w:lang w:val="en-001"/>
                </w:rPr>
                <m:t>=</m:t>
              </m:r>
              <m:sSup>
                <m:sSupPr>
                  <m:ctrlPr>
                    <w:rPr>
                      <w:rFonts w:ascii="Cambria Math" w:hAnsi="Cambria Math"/>
                      <w:i/>
                      <w:lang w:val="en-001"/>
                    </w:rPr>
                  </m:ctrlPr>
                </m:sSupPr>
                <m:e>
                  <m:d>
                    <m:dPr>
                      <m:ctrlPr>
                        <w:rPr>
                          <w:rFonts w:ascii="Cambria Math" w:hAnsi="Cambria Math"/>
                          <w:lang w:val="en-001"/>
                        </w:rPr>
                      </m:ctrlPr>
                    </m:dPr>
                    <m:e>
                      <m:f>
                        <m:fPr>
                          <m:ctrlPr>
                            <w:rPr>
                              <w:rFonts w:ascii="Cambria Math" w:hAnsi="Cambria Math"/>
                              <w:lang w:val="en-001"/>
                            </w:rPr>
                          </m:ctrlPr>
                        </m:fPr>
                        <m:num>
                          <m:r>
                            <w:rPr>
                              <w:rFonts w:ascii="Cambria Math" w:hAnsi="Cambria Math"/>
                              <w:lang w:val="en-001"/>
                            </w:rPr>
                            <m:t>GDP</m:t>
                          </m:r>
                          <m:ctrlPr>
                            <w:rPr>
                              <w:rFonts w:ascii="Cambria Math" w:hAnsi="Cambria Math"/>
                              <w:i/>
                              <w:lang w:val="en-001"/>
                            </w:rPr>
                          </m:ctrlPr>
                        </m:num>
                        <m:den>
                          <m:r>
                            <w:rPr>
                              <w:rFonts w:ascii="Cambria Math" w:hAnsi="Cambria Math"/>
                              <w:lang w:val="en-001"/>
                            </w:rPr>
                            <m:t>cap</m:t>
                          </m:r>
                          <m:ctrlPr>
                            <w:rPr>
                              <w:rFonts w:ascii="Cambria Math" w:hAnsi="Cambria Math"/>
                              <w:i/>
                              <w:lang w:val="en-001"/>
                            </w:rPr>
                          </m:ctrlPr>
                        </m:den>
                      </m:f>
                      <m:ctrlPr>
                        <w:rPr>
                          <w:rFonts w:ascii="Cambria Math" w:hAnsi="Cambria Math"/>
                          <w:i/>
                          <w:lang w:val="en-001"/>
                        </w:rPr>
                      </m:ctrlPr>
                    </m:e>
                  </m:d>
                </m:e>
                <m:sup>
                  <m:r>
                    <w:rPr>
                      <w:rFonts w:ascii="Cambria Math" w:hAnsi="Cambria Math"/>
                      <w:lang w:val="en-001"/>
                    </w:rPr>
                    <m:t>e</m:t>
                  </m:r>
                </m:sup>
              </m:sSup>
              <m:r>
                <m:rPr>
                  <m:sty m:val="p"/>
                </m:rPr>
                <w:rPr>
                  <w:rFonts w:ascii="Cambria Math" w:hAnsi="Cambria Math"/>
                  <w:lang w:val="en-001"/>
                </w:rPr>
                <m:t>⋅</m:t>
              </m:r>
              <m:sSup>
                <m:sSupPr>
                  <m:ctrlPr>
                    <w:rPr>
                      <w:rFonts w:ascii="Cambria Math" w:hAnsi="Cambria Math"/>
                      <w:i/>
                      <w:lang w:val="en-001"/>
                    </w:rPr>
                  </m:ctrlPr>
                </m:sSupPr>
                <m:e>
                  <m:r>
                    <w:rPr>
                      <w:rFonts w:ascii="Cambria Math" w:hAnsi="Cambria Math"/>
                      <w:lang w:val="en-001"/>
                    </w:rPr>
                    <m:t>f</m:t>
                  </m:r>
                  <m:ctrlPr>
                    <w:rPr>
                      <w:rFonts w:ascii="Cambria Math" w:hAnsi="Cambria Math"/>
                      <w:lang w:val="en-001"/>
                    </w:rPr>
                  </m:ctrlPr>
                </m:e>
                <m:sup>
                  <m:r>
                    <w:rPr>
                      <w:rFonts w:ascii="Cambria Math" w:hAnsi="Cambria Math"/>
                      <w:lang w:val="en-001"/>
                    </w:rPr>
                    <m:t>*</m:t>
                  </m:r>
                </m:sup>
              </m:sSup>
              <m:r>
                <w:rPr>
                  <w:rFonts w:ascii="Cambria Math" w:hAnsi="Cambria Math"/>
                  <w:lang w:val="en-001"/>
                </w:rPr>
                <m:t>#</m:t>
              </m:r>
              <m:d>
                <m:dPr>
                  <m:ctrlPr>
                    <w:rPr>
                      <w:rFonts w:ascii="Cambria Math" w:hAnsi="Cambria Math"/>
                      <w:i/>
                      <w:lang w:val="en-001"/>
                    </w:rPr>
                  </m:ctrlPr>
                </m:dPr>
                <m:e>
                  <m:r>
                    <w:rPr>
                      <w:rFonts w:ascii="Cambria Math" w:hAnsi="Cambria Math"/>
                      <w:lang w:val="en-001"/>
                    </w:rPr>
                    <m:t>1</m:t>
                  </m:r>
                </m:e>
              </m:d>
            </m:e>
          </m:eqArr>
        </m:oMath>
      </m:oMathPara>
    </w:p>
    <w:p w14:paraId="7C5CB365" w14:textId="77777777" w:rsidR="00344038" w:rsidRPr="00344038" w:rsidRDefault="00344038" w:rsidP="00FD45BD">
      <w:pPr>
        <w:rPr>
          <w:rFonts w:eastAsiaTheme="minorEastAsia"/>
          <w:lang w:val="en-001"/>
        </w:rPr>
      </w:pPr>
    </w:p>
    <w:p w14:paraId="2D10B19D" w14:textId="1E1BBD3B" w:rsidR="007E11BB" w:rsidRPr="00BF0BD2" w:rsidRDefault="00A5496F" w:rsidP="00FD45BD">
      <w:pPr>
        <w:rPr>
          <w:lang w:val="en-001"/>
        </w:rPr>
      </w:pPr>
      <w:r w:rsidRPr="00A5496F">
        <w:rPr>
          <w:rFonts w:eastAsiaTheme="minorEastAsia"/>
          <w:lang w:val="en-US"/>
        </w:rPr>
        <w:t xml:space="preserve">In </w:t>
      </w:r>
      <w:r>
        <w:rPr>
          <w:rFonts w:eastAsiaTheme="minorEastAsia"/>
          <w:lang w:val="en-US"/>
        </w:rPr>
        <w:t xml:space="preserve">case of South Africa, we can set </w:t>
      </w:r>
      <m:oMath>
        <m:r>
          <w:rPr>
            <w:rFonts w:ascii="Cambria Math" w:eastAsiaTheme="minorEastAsia" w:hAnsi="Cambria Math"/>
            <w:lang w:val="en-001"/>
          </w:rPr>
          <m:t>e=0.89</m:t>
        </m:r>
      </m:oMath>
      <w:r w:rsidR="00344038" w:rsidRPr="00344038">
        <w:rPr>
          <w:rFonts w:eastAsiaTheme="minorEastAsia"/>
          <w:lang w:val="en-001"/>
        </w:rPr>
        <w:t xml:space="preserve"> and </w:t>
      </w:r>
      <m:oMath>
        <m:sSup>
          <m:sSupPr>
            <m:ctrlPr>
              <w:rPr>
                <w:rFonts w:ascii="Cambria Math" w:eastAsiaTheme="minorEastAsia" w:hAnsi="Cambria Math"/>
                <w:i/>
                <w:lang w:val="en-001"/>
              </w:rPr>
            </m:ctrlPr>
          </m:sSupPr>
          <m:e>
            <m:r>
              <w:rPr>
                <w:rFonts w:ascii="Cambria Math" w:eastAsiaTheme="minorEastAsia" w:hAnsi="Cambria Math"/>
                <w:lang w:val="en-001"/>
              </w:rPr>
              <m:t>f</m:t>
            </m:r>
          </m:e>
          <m:sup>
            <m:r>
              <w:rPr>
                <w:rFonts w:ascii="Cambria Math" w:eastAsiaTheme="minorEastAsia" w:hAnsi="Cambria Math"/>
                <w:lang w:val="en-001"/>
              </w:rPr>
              <m:t>*</m:t>
            </m:r>
          </m:sup>
        </m:sSup>
        <m:r>
          <w:rPr>
            <w:rFonts w:ascii="Cambria Math" w:eastAsiaTheme="minorEastAsia" w:hAnsi="Cambria Math"/>
            <w:lang w:val="en-001"/>
          </w:rPr>
          <m:t>=1.96</m:t>
        </m:r>
      </m:oMath>
      <w:r w:rsidR="00344038" w:rsidRPr="00344038">
        <w:rPr>
          <w:rFonts w:eastAsiaTheme="minorEastAsia"/>
          <w:lang w:val="en-001"/>
        </w:rPr>
        <w:t xml:space="preserve">. These two parameters are calculated </w:t>
      </w:r>
      <w:r w:rsidR="00344038">
        <w:rPr>
          <w:rFonts w:eastAsiaTheme="minorEastAsia"/>
          <w:lang w:val="en-001"/>
        </w:rPr>
        <w:t xml:space="preserve">using the same approach as in </w:t>
      </w:r>
      <w:r w:rsidR="00344038">
        <w:rPr>
          <w:lang w:val="en-001"/>
        </w:rPr>
        <w:fldChar w:fldCharType="begin"/>
      </w:r>
      <w:r w:rsidR="00645470">
        <w:rPr>
          <w:lang w:val="en-001"/>
        </w:rPr>
        <w:instrText xml:space="preserve"> ADDIN ZOTERO_ITEM CSL_CITATION {"citationID":"FwOcJJLU","properties":{"formattedCitation":"(McCollum et al., 2017)","plainCitation":"(McCollum et al., 2017)","noteIndex":0},"citationItems":[{"id":13801,"uris":["http://zotero.org/users/5891677/items/6AU4JA8K"],"itemData":{"id":13801,"type":"article-journal","abstract":"A large body of transport sector-focused research recognizes the complexity of human behavior in relation to mobility. Yet, global integrated assessment models (IAMs), which are widely used to evaluate the costs, potentials, and consequences of different greenhouse gas emission trajectories over the medium-to-long term, typically represent behavior and the end use of energy as a simple rational choice between available alternatives, even though abundant empirical evidence shows that real-world decision making is more complex and less routinely rational. This paper demonstrates the value of incorporating certain features of consumer behavior in IAMs, focusing on light-duty vehicle (LDV) purchase decisions. An innovative model formulation is developed to represent heterogeneous consumer groups with varying preferences for vehicle novelty, range, refueling/recharging availability, and variety. The formulation is then implemented in the transport module of MESSAGE-Transport, a global IAM, although it also has the generic flexibility to be applied in energy-economy models with varying set-ups. Comparison of conventional and ‘behaviorally-realistic’ model runs with respect to vehicle purchase decisions shows that consumer preferences may slow down the transition to alternative fuel (low-carbon) vehicles. Consequently, stronger price-based incentives and/or non-price based measures may be needed to transform the global fleet of passenger vehicles, at least in the initial market phases of novel alternatives. Otherwise, the mitigation burden borne by other transport sub-sectors and other energy sectors could be higher than previously estimated. More generally, capturing behavioral features of energy consumers in global IAMs increases their usefulness to policy makers by allowing a more realistic assessment of a more diverse suite of policies.","container-title":"Transportation Research Part D: Transport and Environment","DOI":"10.1016/j.trd.2016.04.003","ISSN":"1361-9209","journalAbbreviation":"Transportation Research Part D: Transport and Environment","language":"en","page":"322-342","source":"ScienceDirect","title":"Improving the behavioral realism of global integrated assessment models: An application to consumers’ vehicle choices","title-short":"Improving the behavioral realism of global integrated assessment models","volume":"55","author":[{"family":"McCollum","given":"David L."},{"family":"Wilson","given":"Charlie"},{"family":"Pettifor","given":"Hazel"},{"family":"Ramea","given":"Kalai"},{"family":"Krey","given":"Volker"},{"family":"Riahi","given":"Keywan"},{"family":"Bertram","given":"Christoph"},{"family":"Lin","given":"Zhenhong"},{"family":"Edelenbosch","given":"Oreane Y."},{"family":"Fujisawa","given":"Sei"}],"issued":{"date-parts":[["2017",8,1]]}}}],"schema":"https://github.com/citation-style-language/schema/raw/master/csl-citation.json"} </w:instrText>
      </w:r>
      <w:r w:rsidR="00344038">
        <w:rPr>
          <w:lang w:val="en-001"/>
        </w:rPr>
        <w:fldChar w:fldCharType="separate"/>
      </w:r>
      <w:r w:rsidR="00344038" w:rsidRPr="00344038">
        <w:rPr>
          <w:rFonts w:ascii="Calibri" w:hAnsi="Calibri" w:cs="Calibri"/>
          <w:lang w:val="en-US"/>
        </w:rPr>
        <w:t>(McCollum et al., 2017)</w:t>
      </w:r>
      <w:r w:rsidR="00344038">
        <w:rPr>
          <w:lang w:val="en-001"/>
        </w:rPr>
        <w:fldChar w:fldCharType="end"/>
      </w:r>
      <w:r w:rsidR="00344038">
        <w:rPr>
          <w:lang w:val="en-001"/>
        </w:rPr>
        <w:t xml:space="preserve">, </w:t>
      </w:r>
      <w:r w:rsidR="00344038" w:rsidRPr="00344038">
        <w:rPr>
          <w:rFonts w:eastAsiaTheme="minorEastAsia"/>
          <w:lang w:val="en-001"/>
        </w:rPr>
        <w:t xml:space="preserve">based on </w:t>
      </w:r>
      <w:r w:rsidR="00344038">
        <w:rPr>
          <w:rFonts w:eastAsiaTheme="minorEastAsia"/>
          <w:lang w:val="en-001"/>
        </w:rPr>
        <w:t>the logarithm of equation (1) and two</w:t>
      </w:r>
      <w:r w:rsidR="00344038" w:rsidRPr="00344038">
        <w:rPr>
          <w:rFonts w:eastAsiaTheme="minorEastAsia"/>
          <w:lang w:val="en-001"/>
        </w:rPr>
        <w:t xml:space="preserve"> points determining the trajectory: baseline 2005 for developing countries </w:t>
      </w:r>
      <w:r w:rsidR="00344038">
        <w:rPr>
          <w:rFonts w:eastAsiaTheme="minorEastAsia"/>
          <w:lang w:val="en-001"/>
        </w:rPr>
        <w:t>(</w:t>
      </w:r>
      <w:r w:rsidR="00344038" w:rsidRPr="00344038">
        <w:rPr>
          <w:rFonts w:eastAsiaTheme="minorEastAsia"/>
          <w:lang w:val="en-001"/>
        </w:rPr>
        <w:t>4972 US$/cap and 3660 km/cap/year</w:t>
      </w:r>
      <w:r w:rsidR="00344038">
        <w:rPr>
          <w:rFonts w:eastAsiaTheme="minorEastAsia"/>
          <w:lang w:val="en-001"/>
        </w:rPr>
        <w:t>)</w:t>
      </w:r>
      <w:r w:rsidR="00344038" w:rsidRPr="00344038">
        <w:rPr>
          <w:rFonts w:eastAsiaTheme="minorEastAsia"/>
          <w:lang w:val="en-001"/>
        </w:rPr>
        <w:t xml:space="preserve"> and an assumed convergence point </w:t>
      </w:r>
      <w:r w:rsidR="00344038">
        <w:rPr>
          <w:rFonts w:eastAsiaTheme="minorEastAsia"/>
          <w:lang w:val="en-001"/>
        </w:rPr>
        <w:t>(</w:t>
      </w:r>
      <w:r w:rsidR="00344038" w:rsidRPr="00344038">
        <w:rPr>
          <w:rFonts w:eastAsiaTheme="minorEastAsia"/>
          <w:lang w:val="en-001"/>
        </w:rPr>
        <w:t>330000 U</w:t>
      </w:r>
      <w:r w:rsidR="00344038">
        <w:rPr>
          <w:rFonts w:eastAsiaTheme="minorEastAsia"/>
          <w:lang w:val="en-001"/>
        </w:rPr>
        <w:t>S</w:t>
      </w:r>
      <w:r w:rsidR="00344038" w:rsidRPr="00344038">
        <w:rPr>
          <w:rFonts w:eastAsiaTheme="minorEastAsia"/>
          <w:lang w:val="en-001"/>
        </w:rPr>
        <w:t>$/cap and 150000 km/cap/year</w:t>
      </w:r>
      <w:r w:rsidR="00344038">
        <w:rPr>
          <w:rFonts w:eastAsiaTheme="minorEastAsia"/>
          <w:lang w:val="en-001"/>
        </w:rPr>
        <w:t>)</w:t>
      </w:r>
      <w:r w:rsidR="00344038" w:rsidRPr="00344038">
        <w:rPr>
          <w:rFonts w:eastAsiaTheme="minorEastAsia"/>
          <w:lang w:val="en-001"/>
        </w:rPr>
        <w:t>.</w:t>
      </w:r>
      <w:r w:rsidR="007031B2">
        <w:rPr>
          <w:rFonts w:eastAsiaTheme="minorEastAsia"/>
          <w:lang w:val="en-001"/>
        </w:rPr>
        <w:t xml:space="preserve"> </w:t>
      </w:r>
      <w:r w:rsidR="002D3B60">
        <w:rPr>
          <w:rFonts w:eastAsiaTheme="minorEastAsia"/>
          <w:lang w:val="en-001"/>
        </w:rPr>
        <w:t xml:space="preserve">The passenger traffic volume </w:t>
      </w:r>
      <w:r w:rsidR="0094547A">
        <w:rPr>
          <w:rFonts w:eastAsiaTheme="minorEastAsia"/>
          <w:lang w:val="en-001"/>
        </w:rPr>
        <w:t>can be therefore calculated using t</w:t>
      </w:r>
      <w:r w:rsidR="007031B2" w:rsidRPr="007031B2">
        <w:rPr>
          <w:lang w:val="en-001"/>
        </w:rPr>
        <w:t xml:space="preserve">he GDP and population numbers </w:t>
      </w:r>
      <w:r w:rsidR="0094547A">
        <w:rPr>
          <w:lang w:val="en-001"/>
        </w:rPr>
        <w:t xml:space="preserve">under SSP2 scenario assumptions </w:t>
      </w:r>
      <w:bookmarkStart w:id="0" w:name="_Hlk101613755"/>
      <w:r w:rsidR="007031B2">
        <w:rPr>
          <w:lang w:val="en-001"/>
        </w:rPr>
        <w:fldChar w:fldCharType="begin"/>
      </w:r>
      <w:r w:rsidR="00645470">
        <w:rPr>
          <w:lang w:val="en-001"/>
        </w:rPr>
        <w:instrText xml:space="preserve"> ADDIN ZOTERO_ITEM CSL_CITATION {"citationID":"lGms88U8","properties":{"formattedCitation":"(IIASA Energy Program, 2018)","plainCitation":"(IIASA Energy Program, 2018)","noteIndex":0},"citationItems":[{"id":14093,"uris":["http://zotero.org/users/5891677/items/3ALG2ZBM"],"itemData":{"id":14093,"type":"webpage","title":"SSP Public Database (Version 1.1)","URL":"https://tntcat.iiasa.ac.at/SspDb/","author":[{"literal":"IIASA Energy Program"}],"issued":{"date-parts":[["2018"]]}}}],"schema":"https://github.com/citation-style-language/schema/raw/master/csl-citation.json"} </w:instrText>
      </w:r>
      <w:r w:rsidR="007031B2">
        <w:rPr>
          <w:lang w:val="en-001"/>
        </w:rPr>
        <w:fldChar w:fldCharType="separate"/>
      </w:r>
      <w:r w:rsidR="00262965" w:rsidRPr="00262965">
        <w:rPr>
          <w:rFonts w:ascii="Calibri" w:hAnsi="Calibri" w:cs="Calibri"/>
          <w:lang w:val="en-US"/>
        </w:rPr>
        <w:t>(IIASA Energy Program, 2018)</w:t>
      </w:r>
      <w:r w:rsidR="007031B2">
        <w:rPr>
          <w:lang w:val="en-001"/>
        </w:rPr>
        <w:fldChar w:fldCharType="end"/>
      </w:r>
      <w:bookmarkEnd w:id="0"/>
      <w:r w:rsidR="00FA348C">
        <w:rPr>
          <w:lang w:val="en-001"/>
        </w:rPr>
        <w:t xml:space="preserve"> (Table 1)</w:t>
      </w:r>
      <w:r w:rsidR="0094547A">
        <w:rPr>
          <w:lang w:val="en-001"/>
        </w:rPr>
        <w:t>.</w:t>
      </w:r>
      <w:r w:rsidR="00BF0BD2">
        <w:rPr>
          <w:lang w:val="en-001"/>
        </w:rPr>
        <w:t xml:space="preserve"> This approach is a simplification, in which we assume that the demand for transport is exogenous and independent of fuel prices. In the work which inspired this project </w:t>
      </w:r>
      <w:r w:rsidR="00BF0BD2">
        <w:rPr>
          <w:lang w:val="en-001"/>
        </w:rPr>
        <w:fldChar w:fldCharType="begin"/>
      </w:r>
      <w:r w:rsidR="00BF0BD2">
        <w:rPr>
          <w:lang w:val="en-001"/>
        </w:rPr>
        <w:instrText xml:space="preserve"> ADDIN ZOTERO_ITEM CSL_CITATION {"citationID":"zNCrI9FE","properties":{"formattedCitation":"(McCollum et al., 2017)","plainCitation":"(McCollum et al., 2017)","noteIndex":0},"citationItems":[{"id":13801,"uris":["http://zotero.org/users/5891677/items/6AU4JA8K"],"itemData":{"id":13801,"type":"article-journal","abstract":"A large body of transport sector-focused research recognizes the complexity of human behavior in relation to mobility. Yet, global integrated assessment models (IAMs), which are widely used to evaluate the costs, potentials, and consequences of different greenhouse gas emission trajectories over the medium-to-long term, typically represent behavior and the end use of energy as a simple rational choice between available alternatives, even though abundant empirical evidence shows that real-world decision making is more complex and less routinely rational. This paper demonstrates the value of incorporating certain features of consumer behavior in IAMs, focusing on light-duty vehicle (LDV) purchase decisions. An innovative model formulation is developed to represent heterogeneous consumer groups with varying preferences for vehicle novelty, range, refueling/recharging availability, and variety. The formulation is then implemented in the transport module of MESSAGE-Transport, a global IAM, although it also has the generic flexibility to be applied in energy-economy models with varying set-ups. Comparison of conventional and ‘behaviorally-realistic’ model runs with respect to vehicle purchase decisions shows that consumer preferences may slow down the transition to alternative fuel (low-carbon) vehicles. Consequently, stronger price-based incentives and/or non-price based measures may be needed to transform the global fleet of passenger vehicles, at least in the initial market phases of novel alternatives. Otherwise, the mitigation burden borne by other transport sub-sectors and other energy sectors could be higher than previously estimated. More generally, capturing behavioral features of energy consumers in global IAMs increases their usefulness to policy makers by allowing a more realistic assessment of a more diverse suite of policies.","container-title":"Transportation Research Part D: Transport and Environment","DOI":"10.1016/j.trd.2016.04.003","ISSN":"1361-9209","journalAbbreviation":"Transportation Research Part D: Transport and Environment","language":"en","page":"322-342","source":"ScienceDirect","title":"Improving the behavioral realism of global integrated assessment models: An application to consumers’ vehicle choices","title-short":"Improving the behavioral realism of global integrated assessment models","volume":"55","author":[{"family":"McCollum","given":"David L."},{"family":"Wilson","given":"Charlie"},{"family":"Pettifor","given":"Hazel"},{"family":"Ramea","given":"Kalai"},{"family":"Krey","given":"Volker"},{"family":"Riahi","given":"Keywan"},{"family":"Bertram","given":"Christoph"},{"family":"Lin","given":"Zhenhong"},{"family":"Edelenbosch","given":"Oreane Y."},{"family":"Fujisawa","given":"Sei"}],"issued":{"date-parts":[["2017",8,1]]}}}],"schema":"https://github.com/citation-style-language/schema/raw/master/csl-citation.json"} </w:instrText>
      </w:r>
      <w:r w:rsidR="00BF0BD2">
        <w:rPr>
          <w:lang w:val="en-001"/>
        </w:rPr>
        <w:fldChar w:fldCharType="separate"/>
      </w:r>
      <w:r w:rsidR="00BF0BD2" w:rsidRPr="00BF0BD2">
        <w:rPr>
          <w:rFonts w:ascii="Calibri" w:hAnsi="Calibri" w:cs="Calibri"/>
          <w:lang w:val="en-US"/>
        </w:rPr>
        <w:t>(McCollum et al., 2017)</w:t>
      </w:r>
      <w:r w:rsidR="00BF0BD2">
        <w:rPr>
          <w:lang w:val="en-001"/>
        </w:rPr>
        <w:fldChar w:fldCharType="end"/>
      </w:r>
      <w:r w:rsidR="00BF0BD2">
        <w:rPr>
          <w:lang w:val="en-001"/>
        </w:rPr>
        <w:t>, neither GDP nor transport demand are fixed, both are subject to changes during model optimization. Such an approach requires changes in MACRO</w:t>
      </w:r>
      <w:r w:rsidR="001A75AA">
        <w:rPr>
          <w:lang w:val="en-001"/>
        </w:rPr>
        <w:t xml:space="preserve"> code, which were out of scope for this project. </w:t>
      </w:r>
      <w:r w:rsidR="00BF0BD2">
        <w:rPr>
          <w:lang w:val="en-001"/>
        </w:rPr>
        <w:t xml:space="preserve"> </w:t>
      </w:r>
    </w:p>
    <w:p w14:paraId="12019181" w14:textId="747F0C9D" w:rsidR="006938ED" w:rsidRDefault="006938ED" w:rsidP="006938ED">
      <w:pPr>
        <w:pStyle w:val="Heading4"/>
        <w:rPr>
          <w:lang w:val="en-001"/>
        </w:rPr>
      </w:pPr>
      <w:r>
        <w:rPr>
          <w:lang w:val="en-001"/>
        </w:rPr>
        <w:t>Freight</w:t>
      </w:r>
    </w:p>
    <w:p w14:paraId="17A7AED2" w14:textId="63334EA1" w:rsidR="00344038" w:rsidRDefault="007E11BB" w:rsidP="00FD45BD">
      <w:pPr>
        <w:rPr>
          <w:lang w:val="en-001"/>
        </w:rPr>
      </w:pPr>
      <w:r>
        <w:rPr>
          <w:lang w:val="en-001"/>
        </w:rPr>
        <w:t>Freight expressed in ton-</w:t>
      </w:r>
      <w:r w:rsidR="00FA348C">
        <w:rPr>
          <w:lang w:val="en-001"/>
        </w:rPr>
        <w:t>km</w:t>
      </w:r>
      <w:r w:rsidR="006938ED">
        <w:rPr>
          <w:lang w:val="en-001"/>
        </w:rPr>
        <w:t xml:space="preserve"> is somehow coupled with GDP growth, as visible in case of EU countries </w:t>
      </w:r>
      <w:r w:rsidR="00645470">
        <w:rPr>
          <w:lang w:val="en-001"/>
        </w:rPr>
        <w:fldChar w:fldCharType="begin"/>
      </w:r>
      <w:r w:rsidR="004F6B94">
        <w:rPr>
          <w:lang w:val="en-001"/>
        </w:rPr>
        <w:instrText xml:space="preserve"> ADDIN ZOTERO_ITEM CSL_CITATION {"citationID":"mpoI99gL","properties":{"formattedCitation":"(European Environment Agency, 2013; Verny, 2007)","plainCitation":"(European Environment Agency, 2013; Verny, 2007)","noteIndex":0},"citationItems":[{"id":14254,"uris":["http://zotero.org/users/5891677/items/SAZT7IE7"],"itemData":{"id":14254,"type":"webpage","language":"en","title":"Freight transport volumes and GDP — European Environment Agency","URL":"https://www.eea.europa.eu/data-and-maps/daviz/freight-transport-volumes-and-gdp","author":[{"literal":"European Environment Agency"}],"accessed":{"date-parts":[["2022",4,23]]},"issued":{"date-parts":[["2013"]]}}},{"id":14255,"uris":["http://zotero.org/users/5891677/items/SPH4FD37"],"itemData":{"id":14255,"type":"article-journal","abstract":"In France and Europe, mobility and economic activity have developed with the same growth rate for several decades. This trend has to be prolonged with short – medium terms. The correlation observed between transport demand, in particular of goods, and economic growth throws light on the concepts of coupling / uncoupling which have been proposed in literature for a few years. In September 2001, the decoupling notion leaves the narrow world of the economists of transport where it had appeared a few years earlier, to be revealed with a widened public, with the favour of the publication of the European Commission's white paper « European transport policy for 2010: time to decide ». Here, the coupling means that freight transport demand is correlated with economic growth. This perception permits to analyse underlying freight transport logics and to suggest different means for reducing negative externalities. The growth of freight transport demand, usually expressed in ton kilometres, is more easily explained by the rise of the consumption of physical distances than by transported tonnes. The spatial dimension is thus in the centre of our problems. In fact, freight transport demand is function of distances, themselves defined by the modes of interaction between manufacturing units. The approach of decoupling is based on the links between industrial and logistic organisations, location of activities and planning of freight transport systems. The hypothetical close link between industrial and spatial organisations and supply chain management has been confirmed by several scientific works (David Banister, Peter Nijkamp, Dominic Stead, Roger Vickerman). This validation rests on the analysis of industry location drivers. We can then explain the logistic organisations that govern their interactions. The aim of this research is to improve the sustainable mobility reflexion from current behaviour of freight mobility and their determinants. How is explained the trend and regular lengthening distances covered, the higher frequency of forwardings? How is explained the continuous and persistent widening of surfaces of provisioning and distribution? Several scientists defend the thesis which spatial spreading out of industrial units permits the reduction of production costs, scope economy and the improvement of wellbeing. Our work is focused on the variable \" distance \" like a component of the overall consumption of transport. So, we are interested in the capacity of industrial and distribution organisations to adopt another spatial behaviour. The aim is to reduce the consumption of physical distances and/or to improve the transfer of merchandises from road to other means of transport like rail, inland waterways or short sea shipping. This approach is deliberately The importance of decoupling between freight transport and economic growth European Journal of Transport and Infrastructure Research 106 registered in the field of economic geography, then complementary of the economic entry of the thesis of decoupling.","container-title":"European Journal of Transport and Infrastructure Research","DOI":"10.18757/ejtir.2007.7.2.3380","journalAbbreviation":"European Journal of Transport and Infrastructure Research","page":"105-120","source":"ResearchGate","title":"The importance of decoupling between freight transport and economic growth","volume":"7","author":[{"family":"Verny","given":"Jerome"}],"issued":{"date-parts":[["2007",1,1]]}}}],"schema":"https://github.com/citation-style-language/schema/raw/master/csl-citation.json"} </w:instrText>
      </w:r>
      <w:r w:rsidR="00645470">
        <w:rPr>
          <w:lang w:val="en-001"/>
        </w:rPr>
        <w:fldChar w:fldCharType="separate"/>
      </w:r>
      <w:r w:rsidR="004F6B94" w:rsidRPr="004F6B94">
        <w:rPr>
          <w:rFonts w:ascii="Calibri" w:hAnsi="Calibri" w:cs="Calibri"/>
          <w:lang w:val="en-US"/>
        </w:rPr>
        <w:t>(European Environment Agency, 2013; Verny, 2007)</w:t>
      </w:r>
      <w:r w:rsidR="00645470">
        <w:rPr>
          <w:lang w:val="en-001"/>
        </w:rPr>
        <w:fldChar w:fldCharType="end"/>
      </w:r>
      <w:r w:rsidR="006938ED">
        <w:rPr>
          <w:lang w:val="en-001"/>
        </w:rPr>
        <w:t xml:space="preserve">. </w:t>
      </w:r>
      <w:r w:rsidR="00FA348C">
        <w:rPr>
          <w:lang w:val="en-001"/>
        </w:rPr>
        <w:t xml:space="preserve">It has been estimated that the South African freight demand was 297 billion ton-km in 2008 </w:t>
      </w:r>
      <w:r w:rsidR="00FA348C">
        <w:rPr>
          <w:lang w:val="en-001"/>
        </w:rPr>
        <w:fldChar w:fldCharType="begin"/>
      </w:r>
      <w:r w:rsidR="00FA348C">
        <w:rPr>
          <w:lang w:val="en-001"/>
        </w:rPr>
        <w:instrText xml:space="preserve"> ADDIN ZOTERO_ITEM CSL_CITATION {"citationID":"yMCjvbg6","properties":{"formattedCitation":"(Eeden et al., 2010)","plainCitation":"(Eeden et al., 2010)","noteIndex":0},"citationItems":[{"id":14258,"uris":["http://zotero.org/users/5891677/items/MD9PRZRW"],"itemData":{"id":14258,"type":"article-journal","abstract":"The Accelerated and Shared Growth Initiative for South Africa (AsgiSA) identified South Africa's freight logistics challenges as among the key binding constraints on the country's growth aspirations. The research presented here points to the structural imbalance between road and rail freight transport as one of the key contributors to this state of affairs. Most long-distance corridor transport has been captured by road. However, long-distance transport is a market segment that is very suitable for intermodal transportation: rail is utilised for the high-density, long-distance component and road for the feeder and distribution services at the corridor end points. A market segmentation approach is developed to identify the corridors and industries that are natural candidates for such solutions, thereby paving the way for role-players and stakeholders to initiate a dialogue on the development of appropriate solutions.","container-title":"Journal of Transport and Supply Chain Management","DOI":"10.4102/jtscm.v4i1.71","journalAbbreviation":"Journal of Transport and Supply Chain Management","source":"ResearchGate","title":"Identification of key target markets for intermodal freight transport solutions in South Africa","volume":"4","author":[{"family":"Eeden","given":"Joubert"},{"family":"Havenga","given":"Jan"},{"family":"Za","given":"Jveeden@sun"}],"issued":{"date-parts":[["2010",11,1]]}}}],"schema":"https://github.com/citation-style-language/schema/raw/master/csl-citation.json"} </w:instrText>
      </w:r>
      <w:r w:rsidR="00FA348C">
        <w:rPr>
          <w:lang w:val="en-001"/>
        </w:rPr>
        <w:fldChar w:fldCharType="separate"/>
      </w:r>
      <w:r w:rsidR="00FA348C" w:rsidRPr="00FA348C">
        <w:rPr>
          <w:rFonts w:ascii="Calibri" w:hAnsi="Calibri" w:cs="Calibri"/>
          <w:lang w:val="en-US"/>
        </w:rPr>
        <w:t>(Eeden et al., 2010)</w:t>
      </w:r>
      <w:r w:rsidR="00FA348C">
        <w:rPr>
          <w:lang w:val="en-001"/>
        </w:rPr>
        <w:fldChar w:fldCharType="end"/>
      </w:r>
      <w:r w:rsidR="00FA348C">
        <w:rPr>
          <w:lang w:val="en-001"/>
        </w:rPr>
        <w:t xml:space="preserve">. Based on this value, and the assumption that </w:t>
      </w:r>
      <w:r w:rsidR="006938ED">
        <w:rPr>
          <w:lang w:val="en-001"/>
        </w:rPr>
        <w:t xml:space="preserve">the freight demand in South Africa </w:t>
      </w:r>
      <w:r w:rsidR="00FA348C">
        <w:rPr>
          <w:lang w:val="en-001"/>
        </w:rPr>
        <w:t>is</w:t>
      </w:r>
      <w:r w:rsidR="006938ED">
        <w:rPr>
          <w:lang w:val="en-001"/>
        </w:rPr>
        <w:t xml:space="preserve"> linearly dependent on GDP,  </w:t>
      </w:r>
      <w:r w:rsidR="00FA348C">
        <w:rPr>
          <w:lang w:val="en-001"/>
        </w:rPr>
        <w:t xml:space="preserve">we </w:t>
      </w:r>
      <w:r w:rsidR="00C502A8">
        <w:rPr>
          <w:lang w:val="en-001"/>
        </w:rPr>
        <w:t xml:space="preserve">can </w:t>
      </w:r>
      <w:r w:rsidR="00FA348C">
        <w:rPr>
          <w:lang w:val="en-001"/>
        </w:rPr>
        <w:t xml:space="preserve">calculate the values of the freight demand in time (Table 1).  </w:t>
      </w:r>
    </w:p>
    <w:p w14:paraId="6F821200" w14:textId="77777777" w:rsidR="00984400" w:rsidRPr="00FA348C" w:rsidRDefault="00984400" w:rsidP="00984400">
      <w:pPr>
        <w:pStyle w:val="Heading4"/>
        <w:rPr>
          <w:lang w:val="en-001"/>
        </w:rPr>
      </w:pPr>
      <w:r w:rsidRPr="004F6B94">
        <w:rPr>
          <w:lang w:val="en-US"/>
        </w:rPr>
        <w:t>Modes</w:t>
      </w:r>
      <w:r>
        <w:rPr>
          <w:lang w:val="en-001"/>
        </w:rPr>
        <w:t xml:space="preserve"> of transport</w:t>
      </w:r>
    </w:p>
    <w:p w14:paraId="5AABAA9C" w14:textId="698FC79B" w:rsidR="00984400" w:rsidRPr="006938ED" w:rsidRDefault="00984400" w:rsidP="00FD45BD">
      <w:pPr>
        <w:rPr>
          <w:lang w:val="en-001"/>
        </w:rPr>
      </w:pPr>
      <w:r w:rsidRPr="004F6B94">
        <w:rPr>
          <w:lang w:val="en-US"/>
        </w:rPr>
        <w:t>The c</w:t>
      </w:r>
      <w:r>
        <w:rPr>
          <w:lang w:val="en-001"/>
        </w:rPr>
        <w:t xml:space="preserve">alculated passenger transport and freight demand values can still be disaggregated into modes of transport. Previous work often assumed that people have a fixed travel time budget, and that </w:t>
      </w:r>
      <w:r>
        <w:rPr>
          <w:lang w:val="en-001"/>
        </w:rPr>
        <w:lastRenderedPageBreak/>
        <w:t xml:space="preserve">increasing mobility (dependent on GDP) implies that people must shift to faster modes of transport </w:t>
      </w:r>
      <w:r>
        <w:rPr>
          <w:lang w:val="en-001"/>
        </w:rPr>
        <w:fldChar w:fldCharType="begin"/>
      </w:r>
      <w:r>
        <w:rPr>
          <w:lang w:val="en-001"/>
        </w:rPr>
        <w:instrText xml:space="preserve"> ADDIN ZOTERO_ITEM CSL_CITATION {"citationID":"gfwW88Uk","properties":{"formattedCitation":"(Schafer &amp; Victor, 2000)","plainCitation":"(Schafer &amp; Victor, 2000)","noteIndex":0},"citationItems":[{"id":14094,"uris":["http://zotero.org/users/5891677/items/FWBEGD2J"],"itemData":{"id":14094,"type":"article-journal","abstract":"On average a person spends 1.1h per day traveling and devotes a predictable fraction of income to travel. We show that these time and money budgets are stable over space and time and can be used for projecting future levels of mobility and transport mode. The fixed travel money budget requires that mobility rises nearly in proportion with income. Covering greater distances within the same fixed travel time budget requires that travelers shift to faster modes of transport. The choice of future transport modes is also constrained by path dependence because transport infrastructures change only slowly. In addition, demand for low-speed public transport is partially determined by urban population densities and land-use characteristics. We present a model that incorporates these constraints, which we use for projecting traffic volume and the share of the major motorized modes of transport—automobiles, buses, trains and high speed transport (mainly aircraft)—for 11 regions and the world through 2050. We project that by 2050 the average world citizen will travel as many kilometers as the average West European in 1990. The average American's mobility will rise by a factor of 2.6 by 2050, to 58,000 km/year. The average Indian travels 6000km/year by 2050, comparable with West European levels in the early 1970s. Today, world citizens move 23 billion km in total; by 2050 that figure grows to 105 billion.","container-title":"Transportation Research Part A: Policy and Practice","DOI":"10.1016/S0965-8564(98)00071-8","ISSN":"0965-8564","issue":"3","journalAbbreviation":"Transportation Research Part A: Policy and Practice","language":"en","page":"171-205","source":"ScienceDirect","title":"The future mobility of the world population","volume":"34","author":[{"family":"Schafer","given":"Andreas"},{"family":"Victor","given":"David G"}],"issued":{"date-parts":[["2000",4,1]]}}}],"schema":"https://github.com/citation-style-language/schema/raw/master/csl-citation.json"} </w:instrText>
      </w:r>
      <w:r>
        <w:rPr>
          <w:lang w:val="en-001"/>
        </w:rPr>
        <w:fldChar w:fldCharType="separate"/>
      </w:r>
      <w:r w:rsidRPr="0019489C">
        <w:rPr>
          <w:rFonts w:ascii="Calibri" w:hAnsi="Calibri" w:cs="Calibri"/>
          <w:lang w:val="en-US"/>
        </w:rPr>
        <w:t>(</w:t>
      </w:r>
      <w:bookmarkStart w:id="1" w:name="_Hlk101607742"/>
      <w:r w:rsidRPr="0019489C">
        <w:rPr>
          <w:rFonts w:ascii="Calibri" w:hAnsi="Calibri" w:cs="Calibri"/>
          <w:lang w:val="en-US"/>
        </w:rPr>
        <w:t>Schafer &amp; Victor, 2000</w:t>
      </w:r>
      <w:bookmarkEnd w:id="1"/>
      <w:r w:rsidRPr="0019489C">
        <w:rPr>
          <w:rFonts w:ascii="Calibri" w:hAnsi="Calibri" w:cs="Calibri"/>
          <w:lang w:val="en-US"/>
        </w:rPr>
        <w:t>)</w:t>
      </w:r>
      <w:r>
        <w:rPr>
          <w:lang w:val="en-001"/>
        </w:rPr>
        <w:fldChar w:fldCharType="end"/>
      </w:r>
      <w:r>
        <w:rPr>
          <w:lang w:val="en-001"/>
        </w:rPr>
        <w:t xml:space="preserve">. For African countries, the past data showed prevalence of bus-based passenger transport, slowly decreasing to give way to more car transport (Figure 1). The parametrization of the mode-sharing approach can be based on a logit function </w:t>
      </w:r>
      <w:r>
        <w:rPr>
          <w:lang w:val="en-001"/>
        </w:rPr>
        <w:fldChar w:fldCharType="begin"/>
      </w:r>
      <w:r>
        <w:rPr>
          <w:lang w:val="en-001"/>
        </w:rPr>
        <w:instrText xml:space="preserve"> ADDIN ZOTERO_ITEM CSL_CITATION {"citationID":"nzgng8iX","properties":{"formattedCitation":"(Kyle &amp; Kim, 2011; McCollum et al., 2017)","plainCitation":"(Kyle &amp; Kim, 2011; McCollum et al., 2017)","noteIndex":0},"citationItems":[{"id":14123,"uris":["http://zotero.org/users/5891677/items/532RJFN6"],"itemData":{"id":14123,"type":"article-journal","abstract":"This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450ppmv CO2 at the end of the century with reference vehicle technologies. The scenarios demonstrate considerable emissions mitigation potential from LDV technology; with and without emissions pricing, global CO2 concentrations in 2095 are reduced about 10ppmv by advanced ICEV technologies and natural gas vehicles, and 25ppmv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Policy","language":"en","page":"3012-3024","source":"ScienceDirect","title":"Long-term implications of alternative light-duty vehicle technologies for global greenhouse gas emissions and primary energy demands","volume":"39","author":[{"family":"Kyle","given":"Page"},{"family":"Kim","given":"Son H."}],"issued":{"date-parts":[["2011",5,1]]}}},{"id":13801,"uris":["http://zotero.org/users/5891677/items/6AU4JA8K"],"itemData":{"id":13801,"type":"article-journal","abstract":"A large body of transport sector-focused research recognizes the complexity of human behavior in relation to mobility. Yet, global integrated assessment models (IAMs), which are widely used to evaluate the costs, potentials, and consequences of different greenhouse gas emission trajectories over the medium-to-long term, typically represent behavior and the end use of energy as a simple rational choice between available alternatives, even though abundant empirical evidence shows that real-world decision making is more complex and less routinely rational. This paper demonstrates the value of incorporating certain features of consumer behavior in IAMs, focusing on light-duty vehicle (LDV) purchase decisions. An innovative model formulation is developed to represent heterogeneous consumer groups with varying preferences for vehicle novelty, range, refueling/recharging availability, and variety. The formulation is then implemented in the transport module of MESSAGE-Transport, a global IAM, although it also has the generic flexibility to be applied in energy-economy models with varying set-ups. Comparison of conventional and ‘behaviorally-realistic’ model runs with respect to vehicle purchase decisions shows that consumer preferences may slow down the transition to alternative fuel (low-carbon) vehicles. Consequently, stronger price-based incentives and/or non-price based measures may be needed to transform the global fleet of passenger vehicles, at least in the initial market phases of novel alternatives. Otherwise, the mitigation burden borne by other transport sub-sectors and other energy sectors could be higher than previously estimated. More generally, capturing behavioral features of energy consumers in global IAMs increases their usefulness to policy makers by allowing a more realistic assessment of a more diverse suite of policies.","container-title":"Transportation Research Part D: Transport and Environment","DOI":"10.1016/j.trd.2016.04.003","ISSN":"1361-9209","journalAbbreviation":"Transportation Research Part D: Transport and Environment","language":"en","page":"322-342","source":"ScienceDirect","title":"Improving the behavioral realism of global integrated assessment models: An application to consumers’ vehicle choices","title-short":"Improving the behavioral realism of global integrated assessment models","volume":"55","author":[{"family":"McCollum","given":"David L."},{"family":"Wilson","given":"Charlie"},{"family":"Pettifor","given":"Hazel"},{"family":"Ramea","given":"Kalai"},{"family":"Krey","given":"Volker"},{"family":"Riahi","given":"Keywan"},{"family":"Bertram","given":"Christoph"},{"family":"Lin","given":"Zhenhong"},{"family":"Edelenbosch","given":"Oreane Y."},{"family":"Fujisawa","given":"Sei"}],"issued":{"date-parts":[["2017",8,1]]}}}],"schema":"https://github.com/citation-style-language/schema/raw/master/csl-citation.json"} </w:instrText>
      </w:r>
      <w:r>
        <w:rPr>
          <w:lang w:val="en-001"/>
        </w:rPr>
        <w:fldChar w:fldCharType="separate"/>
      </w:r>
      <w:r w:rsidRPr="00337A33">
        <w:rPr>
          <w:rFonts w:ascii="Calibri" w:hAnsi="Calibri" w:cs="Calibri"/>
          <w:lang w:val="en-US"/>
        </w:rPr>
        <w:t>(Kyle &amp; Kim, 2011; McCollum et al., 2017)</w:t>
      </w:r>
      <w:r>
        <w:rPr>
          <w:lang w:val="en-001"/>
        </w:rPr>
        <w:fldChar w:fldCharType="end"/>
      </w:r>
      <w:r>
        <w:rPr>
          <w:lang w:val="en-001"/>
        </w:rPr>
        <w:t xml:space="preserve">. However, for simplification, this work assumed constant mode shares based on the most recent data (Figure 1): 54% bus, 37% cars, 6% rail and 4% high-speed modes such as air travel. Similarly, the mode shares for freight were assumed to be constant with respect to data from 2008, when it was estimated that around 60% of the freight volume was road-based and the remaining 40% were rail-based </w:t>
      </w:r>
      <w:r>
        <w:rPr>
          <w:lang w:val="en-001"/>
        </w:rPr>
        <w:fldChar w:fldCharType="begin"/>
      </w:r>
      <w:r>
        <w:rPr>
          <w:lang w:val="en-001"/>
        </w:rPr>
        <w:instrText xml:space="preserve"> ADDIN ZOTERO_ITEM CSL_CITATION {"citationID":"Hlb0Q7oK","properties":{"formattedCitation":"(Eeden et al., 2010)","plainCitation":"(Eeden et al., 2010)","noteIndex":0},"citationItems":[{"id":14258,"uris":["http://zotero.org/users/5891677/items/MD9PRZRW"],"itemData":{"id":14258,"type":"article-journal","abstract":"The Accelerated and Shared Growth Initiative for South Africa (AsgiSA) identified South Africa's freight logistics challenges as among the key binding constraints on the country's growth aspirations. The research presented here points to the structural imbalance between road and rail freight transport as one of the key contributors to this state of affairs. Most long-distance corridor transport has been captured by road. However, long-distance transport is a market segment that is very suitable for intermodal transportation: rail is utilised for the high-density, long-distance component and road for the feeder and distribution services at the corridor end points. A market segmentation approach is developed to identify the corridors and industries that are natural candidates for such solutions, thereby paving the way for role-players and stakeholders to initiate a dialogue on the development of appropriate solutions.","container-title":"Journal of Transport and Supply Chain Management","DOI":"10.4102/jtscm.v4i1.71","journalAbbreviation":"Journal of Transport and Supply Chain Management","source":"ResearchGate","title":"Identification of key target markets for intermodal freight transport solutions in South Africa","volume":"4","author":[{"family":"Eeden","given":"Joubert"},{"family":"Havenga","given":"Jan"},{"family":"Za","given":"Jveeden@sun"}],"issued":{"date-parts":[["2010",11,1]]}}}],"schema":"https://github.com/citation-style-language/schema/raw/master/csl-citation.json"} </w:instrText>
      </w:r>
      <w:r>
        <w:rPr>
          <w:lang w:val="en-001"/>
        </w:rPr>
        <w:fldChar w:fldCharType="separate"/>
      </w:r>
      <w:r w:rsidRPr="00FA348C">
        <w:rPr>
          <w:rFonts w:ascii="Calibri" w:hAnsi="Calibri" w:cs="Calibri"/>
          <w:lang w:val="en-US"/>
        </w:rPr>
        <w:t>(Eeden et al., 2010)</w:t>
      </w:r>
      <w:r>
        <w:rPr>
          <w:lang w:val="en-001"/>
        </w:rPr>
        <w:fldChar w:fldCharType="end"/>
      </w:r>
      <w:r>
        <w:rPr>
          <w:lang w:val="en-001"/>
        </w:rPr>
        <w:t>.</w:t>
      </w:r>
      <w:r w:rsidR="001A75AA">
        <w:rPr>
          <w:lang w:val="en-001"/>
        </w:rPr>
        <w:t xml:space="preserve"> This is a simplification with respect to the original work which inspired this project </w:t>
      </w:r>
      <w:r w:rsidR="001A75AA">
        <w:rPr>
          <w:lang w:val="en-001"/>
        </w:rPr>
        <w:fldChar w:fldCharType="begin"/>
      </w:r>
      <w:r w:rsidR="00EF131B">
        <w:rPr>
          <w:lang w:val="en-001"/>
        </w:rPr>
        <w:instrText xml:space="preserve"> ADDIN ZOTERO_ITEM CSL_CITATION {"citationID":"FzMHaX8H","properties":{"formattedCitation":"(McCollum et al., 2017)","plainCitation":"(McCollum et al., 2017)","noteIndex":0},"citationItems":[{"id":13801,"uris":["http://zotero.org/users/5891677/items/6AU4JA8K"],"itemData":{"id":13801,"type":"article-journal","abstract":"A large body of transport sector-focused research recognizes the complexity of human behavior in relation to mobility. Yet, global integrated assessment models (IAMs), which are widely used to evaluate the costs, potentials, and consequences of different greenhouse gas emission trajectories over the medium-to-long term, typically represent behavior and the end use of energy as a simple rational choice between available alternatives, even though abundant empirical evidence shows that real-world decision making is more complex and less routinely rational. This paper demonstrates the value of incorporating certain features of consumer behavior in IAMs, focusing on light-duty vehicle (LDV) purchase decisions. An innovative model formulation is developed to represent heterogeneous consumer groups with varying preferences for vehicle novelty, range, refueling/recharging availability, and variety. The formulation is then implemented in the transport module of MESSAGE-Transport, a global IAM, although it also has the generic flexibility to be applied in energy-economy models with varying set-ups. Comparison of conventional and ‘behaviorally-realistic’ model runs with respect to vehicle purchase decisions shows that consumer preferences may slow down the transition to alternative fuel (low-carbon) vehicles. Consequently, stronger price-based incentives and/or non-price based measures may be needed to transform the global fleet of passenger vehicles, at least in the initial market phases of novel alternatives. Otherwise, the mitigation burden borne by other transport sub-sectors and other energy sectors could be higher than previously estimated. More generally, capturing behavioral features of energy consumers in global IAMs increases their usefulness to policy makers by allowing a more realistic assessment of a more diverse suite of policies.","container-title":"Transportation Research Part D: Transport and Environment","DOI":"10.1016/j.trd.2016.04.003","ISSN":"1361-9209","journalAbbreviation":"Transportation Research Part D: Transport and Environment","language":"en","page":"322-342","source":"ScienceDirect","title":"Improving the behavioral realism of global integrated assessment models: An application to consumers’ vehicle choices","title-short":"Improving the behavioral realism of global integrated assessment models","volume":"55","author":[{"family":"McCollum","given":"David L."},{"family":"Wilson","given":"Charlie"},{"family":"Pettifor","given":"Hazel"},{"family":"Ramea","given":"Kalai"},{"family":"Krey","given":"Volker"},{"family":"Riahi","given":"Keywan"},{"family":"Bertram","given":"Christoph"},{"family":"Lin","given":"Zhenhong"},{"family":"Edelenbosch","given":"Oreane Y."},{"family":"Fujisawa","given":"Sei"}],"issued":{"date-parts":[["2017",8,1]]}}}],"schema":"https://github.com/citation-style-language/schema/raw/master/csl-citation.json"} </w:instrText>
      </w:r>
      <w:r w:rsidR="001A75AA">
        <w:rPr>
          <w:lang w:val="en-001"/>
        </w:rPr>
        <w:fldChar w:fldCharType="separate"/>
      </w:r>
      <w:r w:rsidR="001A75AA" w:rsidRPr="001A75AA">
        <w:rPr>
          <w:rFonts w:ascii="Calibri" w:hAnsi="Calibri" w:cs="Calibri"/>
          <w:lang w:val="en-001"/>
        </w:rPr>
        <w:t>(McCollum et al., 2017)</w:t>
      </w:r>
      <w:r w:rsidR="001A75AA">
        <w:rPr>
          <w:lang w:val="en-001"/>
        </w:rPr>
        <w:fldChar w:fldCharType="end"/>
      </w:r>
      <w:r w:rsidR="001A75AA">
        <w:rPr>
          <w:lang w:val="en-001"/>
        </w:rPr>
        <w:t>, where the modes of transport were determined using logit functions, interlinked with MESSAGE and MACRO.</w:t>
      </w:r>
    </w:p>
    <w:p w14:paraId="1994E85C" w14:textId="3B912E82" w:rsidR="008A67AE" w:rsidRPr="001A75AA" w:rsidRDefault="008A67AE" w:rsidP="008A67AE">
      <w:pPr>
        <w:pStyle w:val="Caption"/>
        <w:keepNext/>
        <w:rPr>
          <w:lang w:val="en-001"/>
        </w:rPr>
      </w:pPr>
      <w:r w:rsidRPr="001A75AA">
        <w:rPr>
          <w:lang w:val="en-001"/>
        </w:rPr>
        <w:t xml:space="preserve">Table </w:t>
      </w:r>
      <w:r>
        <w:fldChar w:fldCharType="begin"/>
      </w:r>
      <w:r w:rsidRPr="001A75AA">
        <w:rPr>
          <w:lang w:val="en-001"/>
        </w:rPr>
        <w:instrText xml:space="preserve"> SEQ Table \* ARABIC </w:instrText>
      </w:r>
      <w:r>
        <w:fldChar w:fldCharType="separate"/>
      </w:r>
      <w:r w:rsidR="00BC112F">
        <w:rPr>
          <w:noProof/>
          <w:lang w:val="en-001"/>
        </w:rPr>
        <w:t>1</w:t>
      </w:r>
      <w:r>
        <w:fldChar w:fldCharType="end"/>
      </w:r>
      <w:r w:rsidRPr="001A75AA">
        <w:rPr>
          <w:lang w:val="en-001"/>
        </w:rPr>
        <w:t>: Assumptions for GDP, population, and transport demand by year.</w:t>
      </w:r>
    </w:p>
    <w:tbl>
      <w:tblPr>
        <w:tblW w:w="8647" w:type="dxa"/>
        <w:jc w:val="center"/>
        <w:tblLook w:val="04A0" w:firstRow="1" w:lastRow="0" w:firstColumn="1" w:lastColumn="0" w:noHBand="0" w:noVBand="1"/>
      </w:tblPr>
      <w:tblGrid>
        <w:gridCol w:w="706"/>
        <w:gridCol w:w="2105"/>
        <w:gridCol w:w="1158"/>
        <w:gridCol w:w="2977"/>
        <w:gridCol w:w="1701"/>
      </w:tblGrid>
      <w:tr w:rsidR="00FA348C" w:rsidRPr="008A67AE" w14:paraId="0557BBC7" w14:textId="6C74A7D2" w:rsidTr="00FA348C">
        <w:trPr>
          <w:trHeight w:val="576"/>
          <w:jc w:val="center"/>
        </w:trPr>
        <w:tc>
          <w:tcPr>
            <w:tcW w:w="706" w:type="dxa"/>
            <w:tcBorders>
              <w:top w:val="nil"/>
              <w:left w:val="nil"/>
              <w:bottom w:val="single" w:sz="4" w:space="0" w:color="auto"/>
              <w:right w:val="nil"/>
            </w:tcBorders>
            <w:shd w:val="clear" w:color="auto" w:fill="auto"/>
            <w:noWrap/>
            <w:vAlign w:val="bottom"/>
            <w:hideMark/>
          </w:tcPr>
          <w:p w14:paraId="76A789CC" w14:textId="77777777" w:rsidR="00FA348C" w:rsidRPr="008A67AE" w:rsidRDefault="00FA348C" w:rsidP="00FA348C">
            <w:pPr>
              <w:spacing w:after="0" w:line="240" w:lineRule="auto"/>
              <w:jc w:val="center"/>
              <w:rPr>
                <w:rFonts w:ascii="Calibri" w:eastAsia="Times New Roman" w:hAnsi="Calibri" w:cs="Calibri"/>
                <w:b/>
                <w:bCs/>
                <w:color w:val="000000"/>
                <w:sz w:val="20"/>
                <w:szCs w:val="20"/>
                <w:lang w:val="en-001"/>
              </w:rPr>
            </w:pPr>
            <w:r w:rsidRPr="008A67AE">
              <w:rPr>
                <w:rFonts w:ascii="Calibri" w:eastAsia="Times New Roman" w:hAnsi="Calibri" w:cs="Calibri"/>
                <w:b/>
                <w:bCs/>
                <w:color w:val="000000"/>
                <w:sz w:val="20"/>
                <w:szCs w:val="20"/>
                <w:lang w:val="en-001"/>
              </w:rPr>
              <w:t>Year</w:t>
            </w:r>
          </w:p>
        </w:tc>
        <w:tc>
          <w:tcPr>
            <w:tcW w:w="2105" w:type="dxa"/>
            <w:tcBorders>
              <w:top w:val="nil"/>
              <w:left w:val="nil"/>
              <w:bottom w:val="single" w:sz="4" w:space="0" w:color="auto"/>
              <w:right w:val="nil"/>
            </w:tcBorders>
            <w:shd w:val="clear" w:color="auto" w:fill="auto"/>
            <w:vAlign w:val="bottom"/>
            <w:hideMark/>
          </w:tcPr>
          <w:p w14:paraId="1B8330F9" w14:textId="77777777" w:rsidR="00FA348C" w:rsidRPr="001A75AA" w:rsidRDefault="00FA348C" w:rsidP="00FA348C">
            <w:pPr>
              <w:spacing w:after="0" w:line="240" w:lineRule="auto"/>
              <w:jc w:val="center"/>
              <w:rPr>
                <w:rFonts w:ascii="Calibri" w:eastAsia="Times New Roman" w:hAnsi="Calibri" w:cs="Calibri"/>
                <w:b/>
                <w:bCs/>
                <w:color w:val="000000"/>
                <w:sz w:val="20"/>
                <w:szCs w:val="20"/>
                <w:lang w:val="en-001"/>
              </w:rPr>
            </w:pPr>
            <w:r w:rsidRPr="008A67AE">
              <w:rPr>
                <w:rFonts w:ascii="Calibri" w:eastAsia="Times New Roman" w:hAnsi="Calibri" w:cs="Calibri"/>
                <w:b/>
                <w:bCs/>
                <w:color w:val="000000"/>
                <w:sz w:val="20"/>
                <w:szCs w:val="20"/>
                <w:lang w:val="en-001"/>
              </w:rPr>
              <w:t xml:space="preserve">GDP </w:t>
            </w:r>
          </w:p>
          <w:p w14:paraId="145E48B4" w14:textId="6C693781" w:rsidR="00FA348C" w:rsidRPr="008A67AE" w:rsidRDefault="00FA348C" w:rsidP="00FA348C">
            <w:pPr>
              <w:spacing w:after="0" w:line="240" w:lineRule="auto"/>
              <w:jc w:val="center"/>
              <w:rPr>
                <w:rFonts w:ascii="Calibri" w:eastAsia="Times New Roman" w:hAnsi="Calibri" w:cs="Calibri"/>
                <w:b/>
                <w:bCs/>
                <w:color w:val="000000"/>
                <w:sz w:val="20"/>
                <w:szCs w:val="20"/>
                <w:lang w:val="en-US"/>
              </w:rPr>
            </w:pPr>
            <w:r w:rsidRPr="008A67AE">
              <w:rPr>
                <w:rFonts w:ascii="Calibri" w:eastAsia="Times New Roman" w:hAnsi="Calibri" w:cs="Calibri"/>
                <w:b/>
                <w:bCs/>
                <w:color w:val="000000"/>
                <w:sz w:val="20"/>
                <w:szCs w:val="20"/>
                <w:lang w:val="en-001"/>
              </w:rPr>
              <w:t>(billion</w:t>
            </w:r>
            <w:r w:rsidRPr="001A75AA">
              <w:rPr>
                <w:rFonts w:ascii="Calibri" w:eastAsia="Times New Roman" w:hAnsi="Calibri" w:cs="Calibri"/>
                <w:b/>
                <w:bCs/>
                <w:color w:val="000000"/>
                <w:sz w:val="20"/>
                <w:szCs w:val="20"/>
                <w:lang w:val="en-001"/>
              </w:rPr>
              <w:t xml:space="preserve"> </w:t>
            </w:r>
            <w:r w:rsidRPr="008A67AE">
              <w:rPr>
                <w:rFonts w:ascii="Calibri" w:eastAsia="Times New Roman" w:hAnsi="Calibri" w:cs="Calibri"/>
                <w:b/>
                <w:bCs/>
                <w:color w:val="000000"/>
                <w:sz w:val="20"/>
                <w:szCs w:val="20"/>
                <w:lang w:val="en-001"/>
              </w:rPr>
              <w:t>US$20</w:t>
            </w:r>
            <w:r w:rsidRPr="008A67AE">
              <w:rPr>
                <w:rFonts w:ascii="Calibri" w:eastAsia="Times New Roman" w:hAnsi="Calibri" w:cs="Calibri"/>
                <w:b/>
                <w:bCs/>
                <w:color w:val="000000"/>
                <w:sz w:val="20"/>
                <w:szCs w:val="20"/>
                <w:lang w:val="en-US"/>
              </w:rPr>
              <w:t>05/yr)</w:t>
            </w:r>
          </w:p>
        </w:tc>
        <w:tc>
          <w:tcPr>
            <w:tcW w:w="1158" w:type="dxa"/>
            <w:tcBorders>
              <w:top w:val="nil"/>
              <w:left w:val="nil"/>
              <w:bottom w:val="single" w:sz="4" w:space="0" w:color="auto"/>
              <w:right w:val="nil"/>
            </w:tcBorders>
            <w:shd w:val="clear" w:color="auto" w:fill="auto"/>
            <w:vAlign w:val="bottom"/>
            <w:hideMark/>
          </w:tcPr>
          <w:p w14:paraId="0017E2F5" w14:textId="77777777" w:rsidR="00FA348C" w:rsidRPr="008A67AE" w:rsidRDefault="00FA348C" w:rsidP="00FA348C">
            <w:pPr>
              <w:spacing w:after="0" w:line="240" w:lineRule="auto"/>
              <w:jc w:val="center"/>
              <w:rPr>
                <w:rFonts w:ascii="Calibri" w:eastAsia="Times New Roman" w:hAnsi="Calibri" w:cs="Calibri"/>
                <w:b/>
                <w:bCs/>
                <w:color w:val="000000"/>
                <w:sz w:val="20"/>
                <w:szCs w:val="20"/>
                <w:lang w:val="en-US"/>
              </w:rPr>
            </w:pPr>
            <w:r w:rsidRPr="008A67AE">
              <w:rPr>
                <w:rFonts w:ascii="Calibri" w:eastAsia="Times New Roman" w:hAnsi="Calibri" w:cs="Calibri"/>
                <w:b/>
                <w:bCs/>
                <w:color w:val="000000"/>
                <w:sz w:val="20"/>
                <w:szCs w:val="20"/>
                <w:lang w:val="en-US"/>
              </w:rPr>
              <w:t xml:space="preserve">Population </w:t>
            </w:r>
            <w:r w:rsidRPr="008A67AE">
              <w:rPr>
                <w:rFonts w:ascii="Calibri" w:eastAsia="Times New Roman" w:hAnsi="Calibri" w:cs="Calibri"/>
                <w:b/>
                <w:bCs/>
                <w:color w:val="000000"/>
                <w:sz w:val="20"/>
                <w:szCs w:val="20"/>
                <w:lang w:val="en-US"/>
              </w:rPr>
              <w:br/>
              <w:t>(million)</w:t>
            </w:r>
          </w:p>
        </w:tc>
        <w:tc>
          <w:tcPr>
            <w:tcW w:w="2977" w:type="dxa"/>
            <w:tcBorders>
              <w:top w:val="nil"/>
              <w:left w:val="nil"/>
              <w:bottom w:val="single" w:sz="4" w:space="0" w:color="auto"/>
              <w:right w:val="nil"/>
            </w:tcBorders>
            <w:shd w:val="clear" w:color="auto" w:fill="auto"/>
            <w:vAlign w:val="bottom"/>
            <w:hideMark/>
          </w:tcPr>
          <w:p w14:paraId="3BF6C7B2" w14:textId="3F35A4AD" w:rsidR="00FA348C" w:rsidRPr="008A67AE" w:rsidRDefault="00FA348C" w:rsidP="00FA348C">
            <w:pPr>
              <w:spacing w:after="0" w:line="240" w:lineRule="auto"/>
              <w:jc w:val="center"/>
              <w:rPr>
                <w:rFonts w:ascii="Calibri" w:eastAsia="Times New Roman" w:hAnsi="Calibri" w:cs="Calibri"/>
                <w:b/>
                <w:bCs/>
                <w:color w:val="000000"/>
                <w:sz w:val="20"/>
                <w:szCs w:val="20"/>
                <w:lang w:val="en-US"/>
              </w:rPr>
            </w:pPr>
            <w:r>
              <w:rPr>
                <w:rFonts w:ascii="Calibri" w:eastAsia="Times New Roman" w:hAnsi="Calibri" w:cs="Calibri"/>
                <w:b/>
                <w:bCs/>
                <w:color w:val="000000"/>
                <w:sz w:val="20"/>
                <w:szCs w:val="20"/>
                <w:lang w:val="en-001"/>
              </w:rPr>
              <w:t>Passenger t</w:t>
            </w:r>
            <w:r w:rsidRPr="008A67AE">
              <w:rPr>
                <w:rFonts w:ascii="Calibri" w:eastAsia="Times New Roman" w:hAnsi="Calibri" w:cs="Calibri"/>
                <w:b/>
                <w:bCs/>
                <w:color w:val="000000"/>
                <w:sz w:val="20"/>
                <w:szCs w:val="20"/>
                <w:lang w:val="en-US"/>
              </w:rPr>
              <w:t xml:space="preserve">ransport demand </w:t>
            </w:r>
            <w:r w:rsidRPr="008A67AE">
              <w:rPr>
                <w:rFonts w:ascii="Calibri" w:eastAsia="Times New Roman" w:hAnsi="Calibri" w:cs="Calibri"/>
                <w:b/>
                <w:bCs/>
                <w:color w:val="000000"/>
                <w:sz w:val="20"/>
                <w:szCs w:val="20"/>
                <w:lang w:val="en-US"/>
              </w:rPr>
              <w:br/>
              <w:t>(Gpkm/a)</w:t>
            </w:r>
          </w:p>
        </w:tc>
        <w:tc>
          <w:tcPr>
            <w:tcW w:w="1701" w:type="dxa"/>
            <w:tcBorders>
              <w:top w:val="nil"/>
              <w:left w:val="nil"/>
              <w:bottom w:val="single" w:sz="4" w:space="0" w:color="auto"/>
              <w:right w:val="nil"/>
            </w:tcBorders>
            <w:vAlign w:val="bottom"/>
          </w:tcPr>
          <w:p w14:paraId="52570991" w14:textId="19FE0058" w:rsidR="00FA348C" w:rsidRPr="00FA348C" w:rsidRDefault="00FA348C" w:rsidP="00FA348C">
            <w:pPr>
              <w:spacing w:after="0" w:line="240" w:lineRule="auto"/>
              <w:jc w:val="center"/>
              <w:rPr>
                <w:rFonts w:ascii="Calibri" w:eastAsia="Times New Roman" w:hAnsi="Calibri" w:cs="Calibri"/>
                <w:b/>
                <w:bCs/>
                <w:color w:val="000000"/>
                <w:sz w:val="20"/>
                <w:szCs w:val="20"/>
                <w:lang w:val="en-001"/>
              </w:rPr>
            </w:pPr>
            <w:r w:rsidRPr="001A75AA">
              <w:rPr>
                <w:rFonts w:ascii="Calibri" w:hAnsi="Calibri" w:cs="Calibri"/>
                <w:b/>
                <w:bCs/>
                <w:color w:val="000000"/>
                <w:lang w:val="en-US"/>
              </w:rPr>
              <w:t>Freight demand (Gtkm/a)</w:t>
            </w:r>
          </w:p>
        </w:tc>
      </w:tr>
      <w:tr w:rsidR="00FA348C" w:rsidRPr="008A67AE" w14:paraId="4589485D" w14:textId="7016D744" w:rsidTr="00FA348C">
        <w:trPr>
          <w:trHeight w:val="288"/>
          <w:jc w:val="center"/>
        </w:trPr>
        <w:tc>
          <w:tcPr>
            <w:tcW w:w="706" w:type="dxa"/>
            <w:tcBorders>
              <w:top w:val="single" w:sz="4" w:space="0" w:color="auto"/>
              <w:left w:val="nil"/>
              <w:bottom w:val="nil"/>
              <w:right w:val="nil"/>
            </w:tcBorders>
            <w:shd w:val="clear" w:color="auto" w:fill="auto"/>
            <w:noWrap/>
            <w:vAlign w:val="bottom"/>
            <w:hideMark/>
          </w:tcPr>
          <w:p w14:paraId="11CB790B"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2000</w:t>
            </w:r>
          </w:p>
        </w:tc>
        <w:tc>
          <w:tcPr>
            <w:tcW w:w="2105" w:type="dxa"/>
            <w:tcBorders>
              <w:top w:val="single" w:sz="4" w:space="0" w:color="auto"/>
              <w:left w:val="nil"/>
              <w:bottom w:val="nil"/>
              <w:right w:val="nil"/>
            </w:tcBorders>
            <w:shd w:val="clear" w:color="auto" w:fill="auto"/>
            <w:noWrap/>
            <w:vAlign w:val="bottom"/>
            <w:hideMark/>
          </w:tcPr>
          <w:p w14:paraId="45EF53DE"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336.204</w:t>
            </w:r>
          </w:p>
        </w:tc>
        <w:tc>
          <w:tcPr>
            <w:tcW w:w="1158" w:type="dxa"/>
            <w:tcBorders>
              <w:top w:val="single" w:sz="4" w:space="0" w:color="auto"/>
              <w:left w:val="nil"/>
              <w:bottom w:val="nil"/>
              <w:right w:val="nil"/>
            </w:tcBorders>
            <w:shd w:val="clear" w:color="auto" w:fill="auto"/>
            <w:noWrap/>
            <w:vAlign w:val="bottom"/>
            <w:hideMark/>
          </w:tcPr>
          <w:p w14:paraId="09714052"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44.76</w:t>
            </w:r>
          </w:p>
        </w:tc>
        <w:tc>
          <w:tcPr>
            <w:tcW w:w="2977" w:type="dxa"/>
            <w:tcBorders>
              <w:top w:val="single" w:sz="4" w:space="0" w:color="auto"/>
              <w:left w:val="nil"/>
              <w:bottom w:val="nil"/>
              <w:right w:val="nil"/>
            </w:tcBorders>
            <w:shd w:val="clear" w:color="auto" w:fill="auto"/>
            <w:noWrap/>
            <w:vAlign w:val="bottom"/>
            <w:hideMark/>
          </w:tcPr>
          <w:p w14:paraId="4222A10D"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236.03</w:t>
            </w:r>
          </w:p>
        </w:tc>
        <w:tc>
          <w:tcPr>
            <w:tcW w:w="1701" w:type="dxa"/>
            <w:tcBorders>
              <w:top w:val="single" w:sz="4" w:space="0" w:color="auto"/>
              <w:left w:val="nil"/>
              <w:bottom w:val="nil"/>
              <w:right w:val="nil"/>
            </w:tcBorders>
            <w:vAlign w:val="bottom"/>
          </w:tcPr>
          <w:p w14:paraId="374D3281" w14:textId="405FF055"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1A75AA">
              <w:rPr>
                <w:rFonts w:ascii="Calibri" w:hAnsi="Calibri" w:cs="Calibri"/>
                <w:color w:val="000000"/>
                <w:lang w:val="en-US"/>
              </w:rPr>
              <w:t>223.60</w:t>
            </w:r>
          </w:p>
        </w:tc>
      </w:tr>
      <w:tr w:rsidR="00FA348C" w:rsidRPr="008A67AE" w14:paraId="12EBD774" w14:textId="279760CC" w:rsidTr="00FA348C">
        <w:trPr>
          <w:trHeight w:val="288"/>
          <w:jc w:val="center"/>
        </w:trPr>
        <w:tc>
          <w:tcPr>
            <w:tcW w:w="706" w:type="dxa"/>
            <w:tcBorders>
              <w:top w:val="nil"/>
              <w:left w:val="nil"/>
              <w:bottom w:val="nil"/>
              <w:right w:val="nil"/>
            </w:tcBorders>
            <w:shd w:val="clear" w:color="auto" w:fill="auto"/>
            <w:noWrap/>
            <w:vAlign w:val="bottom"/>
            <w:hideMark/>
          </w:tcPr>
          <w:p w14:paraId="3EA9ED0E"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2005</w:t>
            </w:r>
          </w:p>
        </w:tc>
        <w:tc>
          <w:tcPr>
            <w:tcW w:w="2105" w:type="dxa"/>
            <w:tcBorders>
              <w:top w:val="nil"/>
              <w:left w:val="nil"/>
              <w:bottom w:val="nil"/>
              <w:right w:val="nil"/>
            </w:tcBorders>
            <w:shd w:val="clear" w:color="auto" w:fill="auto"/>
            <w:noWrap/>
            <w:vAlign w:val="bottom"/>
            <w:hideMark/>
          </w:tcPr>
          <w:p w14:paraId="17F800B0"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405.757</w:t>
            </w:r>
          </w:p>
        </w:tc>
        <w:tc>
          <w:tcPr>
            <w:tcW w:w="1158" w:type="dxa"/>
            <w:tcBorders>
              <w:top w:val="nil"/>
              <w:left w:val="nil"/>
              <w:bottom w:val="nil"/>
              <w:right w:val="nil"/>
            </w:tcBorders>
            <w:shd w:val="clear" w:color="auto" w:fill="auto"/>
            <w:noWrap/>
            <w:vAlign w:val="bottom"/>
            <w:hideMark/>
          </w:tcPr>
          <w:p w14:paraId="203F282C"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47.793</w:t>
            </w:r>
          </w:p>
        </w:tc>
        <w:tc>
          <w:tcPr>
            <w:tcW w:w="2977" w:type="dxa"/>
            <w:tcBorders>
              <w:top w:val="nil"/>
              <w:left w:val="nil"/>
              <w:bottom w:val="nil"/>
              <w:right w:val="nil"/>
            </w:tcBorders>
            <w:shd w:val="clear" w:color="auto" w:fill="auto"/>
            <w:noWrap/>
            <w:vAlign w:val="bottom"/>
            <w:hideMark/>
          </w:tcPr>
          <w:p w14:paraId="488434D6"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280.88</w:t>
            </w:r>
          </w:p>
        </w:tc>
        <w:tc>
          <w:tcPr>
            <w:tcW w:w="1701" w:type="dxa"/>
            <w:tcBorders>
              <w:top w:val="nil"/>
              <w:left w:val="nil"/>
              <w:bottom w:val="nil"/>
              <w:right w:val="nil"/>
            </w:tcBorders>
            <w:vAlign w:val="bottom"/>
          </w:tcPr>
          <w:p w14:paraId="75693518" w14:textId="3B93C7D8"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1A75AA">
              <w:rPr>
                <w:rFonts w:ascii="Calibri" w:hAnsi="Calibri" w:cs="Calibri"/>
                <w:color w:val="000000"/>
                <w:lang w:val="en-US"/>
              </w:rPr>
              <w:t>269.86</w:t>
            </w:r>
          </w:p>
        </w:tc>
      </w:tr>
      <w:tr w:rsidR="00FA348C" w:rsidRPr="008A67AE" w14:paraId="2A86CB4B" w14:textId="6026C264" w:rsidTr="00FA348C">
        <w:trPr>
          <w:trHeight w:val="288"/>
          <w:jc w:val="center"/>
        </w:trPr>
        <w:tc>
          <w:tcPr>
            <w:tcW w:w="706" w:type="dxa"/>
            <w:tcBorders>
              <w:top w:val="nil"/>
              <w:left w:val="nil"/>
              <w:bottom w:val="nil"/>
              <w:right w:val="nil"/>
            </w:tcBorders>
            <w:shd w:val="clear" w:color="auto" w:fill="auto"/>
            <w:noWrap/>
            <w:vAlign w:val="bottom"/>
            <w:hideMark/>
          </w:tcPr>
          <w:p w14:paraId="7CB52B38"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2010</w:t>
            </w:r>
          </w:p>
        </w:tc>
        <w:tc>
          <w:tcPr>
            <w:tcW w:w="2105" w:type="dxa"/>
            <w:tcBorders>
              <w:top w:val="nil"/>
              <w:left w:val="nil"/>
              <w:bottom w:val="nil"/>
              <w:right w:val="nil"/>
            </w:tcBorders>
            <w:shd w:val="clear" w:color="auto" w:fill="auto"/>
            <w:noWrap/>
            <w:vAlign w:val="bottom"/>
            <w:hideMark/>
          </w:tcPr>
          <w:p w14:paraId="4D47F862"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473.772</w:t>
            </w:r>
          </w:p>
        </w:tc>
        <w:tc>
          <w:tcPr>
            <w:tcW w:w="1158" w:type="dxa"/>
            <w:tcBorders>
              <w:top w:val="nil"/>
              <w:left w:val="nil"/>
              <w:bottom w:val="nil"/>
              <w:right w:val="nil"/>
            </w:tcBorders>
            <w:shd w:val="clear" w:color="auto" w:fill="auto"/>
            <w:noWrap/>
            <w:vAlign w:val="bottom"/>
            <w:hideMark/>
          </w:tcPr>
          <w:p w14:paraId="5D1096F3"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50.133</w:t>
            </w:r>
          </w:p>
        </w:tc>
        <w:tc>
          <w:tcPr>
            <w:tcW w:w="2977" w:type="dxa"/>
            <w:tcBorders>
              <w:top w:val="nil"/>
              <w:left w:val="nil"/>
              <w:bottom w:val="nil"/>
              <w:right w:val="nil"/>
            </w:tcBorders>
            <w:shd w:val="clear" w:color="auto" w:fill="auto"/>
            <w:noWrap/>
            <w:vAlign w:val="bottom"/>
            <w:hideMark/>
          </w:tcPr>
          <w:p w14:paraId="3407CE6C"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323.94</w:t>
            </w:r>
          </w:p>
        </w:tc>
        <w:tc>
          <w:tcPr>
            <w:tcW w:w="1701" w:type="dxa"/>
            <w:tcBorders>
              <w:top w:val="nil"/>
              <w:left w:val="nil"/>
              <w:bottom w:val="nil"/>
              <w:right w:val="nil"/>
            </w:tcBorders>
            <w:vAlign w:val="bottom"/>
          </w:tcPr>
          <w:p w14:paraId="49FC6D17" w14:textId="2F667094"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1A75AA">
              <w:rPr>
                <w:rFonts w:ascii="Calibri" w:hAnsi="Calibri" w:cs="Calibri"/>
                <w:color w:val="000000"/>
                <w:lang w:val="en-US"/>
              </w:rPr>
              <w:t>315.09</w:t>
            </w:r>
          </w:p>
        </w:tc>
      </w:tr>
      <w:tr w:rsidR="00FA348C" w:rsidRPr="008A67AE" w14:paraId="2232C302" w14:textId="73F1E15F" w:rsidTr="00FA348C">
        <w:trPr>
          <w:trHeight w:val="288"/>
          <w:jc w:val="center"/>
        </w:trPr>
        <w:tc>
          <w:tcPr>
            <w:tcW w:w="706" w:type="dxa"/>
            <w:tcBorders>
              <w:top w:val="nil"/>
              <w:left w:val="nil"/>
              <w:bottom w:val="nil"/>
              <w:right w:val="nil"/>
            </w:tcBorders>
            <w:shd w:val="clear" w:color="auto" w:fill="auto"/>
            <w:noWrap/>
            <w:vAlign w:val="bottom"/>
            <w:hideMark/>
          </w:tcPr>
          <w:p w14:paraId="1031CFB8"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2020</w:t>
            </w:r>
          </w:p>
        </w:tc>
        <w:tc>
          <w:tcPr>
            <w:tcW w:w="2105" w:type="dxa"/>
            <w:tcBorders>
              <w:top w:val="nil"/>
              <w:left w:val="nil"/>
              <w:bottom w:val="nil"/>
              <w:right w:val="nil"/>
            </w:tcBorders>
            <w:shd w:val="clear" w:color="auto" w:fill="auto"/>
            <w:noWrap/>
            <w:vAlign w:val="bottom"/>
            <w:hideMark/>
          </w:tcPr>
          <w:p w14:paraId="61FA86A8"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709.196</w:t>
            </w:r>
          </w:p>
        </w:tc>
        <w:tc>
          <w:tcPr>
            <w:tcW w:w="1158" w:type="dxa"/>
            <w:tcBorders>
              <w:top w:val="nil"/>
              <w:left w:val="nil"/>
              <w:bottom w:val="nil"/>
              <w:right w:val="nil"/>
            </w:tcBorders>
            <w:shd w:val="clear" w:color="auto" w:fill="auto"/>
            <w:noWrap/>
            <w:vAlign w:val="bottom"/>
            <w:hideMark/>
          </w:tcPr>
          <w:p w14:paraId="630CB970"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54.797</w:t>
            </w:r>
          </w:p>
        </w:tc>
        <w:tc>
          <w:tcPr>
            <w:tcW w:w="2977" w:type="dxa"/>
            <w:tcBorders>
              <w:top w:val="nil"/>
              <w:left w:val="nil"/>
              <w:bottom w:val="nil"/>
              <w:right w:val="nil"/>
            </w:tcBorders>
            <w:shd w:val="clear" w:color="auto" w:fill="auto"/>
            <w:noWrap/>
            <w:vAlign w:val="bottom"/>
            <w:hideMark/>
          </w:tcPr>
          <w:p w14:paraId="03B7187A"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467.70</w:t>
            </w:r>
          </w:p>
        </w:tc>
        <w:tc>
          <w:tcPr>
            <w:tcW w:w="1701" w:type="dxa"/>
            <w:tcBorders>
              <w:top w:val="nil"/>
              <w:left w:val="nil"/>
              <w:bottom w:val="nil"/>
              <w:right w:val="nil"/>
            </w:tcBorders>
            <w:vAlign w:val="bottom"/>
          </w:tcPr>
          <w:p w14:paraId="215FE76F" w14:textId="07F99FB5"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1A75AA">
              <w:rPr>
                <w:rFonts w:ascii="Calibri" w:hAnsi="Calibri" w:cs="Calibri"/>
                <w:color w:val="000000"/>
                <w:lang w:val="en-US"/>
              </w:rPr>
              <w:t>471.67</w:t>
            </w:r>
          </w:p>
        </w:tc>
      </w:tr>
      <w:tr w:rsidR="00FA348C" w:rsidRPr="008A67AE" w14:paraId="418FD450" w14:textId="773E52C8" w:rsidTr="00FA348C">
        <w:trPr>
          <w:trHeight w:val="288"/>
          <w:jc w:val="center"/>
        </w:trPr>
        <w:tc>
          <w:tcPr>
            <w:tcW w:w="706" w:type="dxa"/>
            <w:tcBorders>
              <w:top w:val="nil"/>
              <w:left w:val="nil"/>
              <w:bottom w:val="nil"/>
              <w:right w:val="nil"/>
            </w:tcBorders>
            <w:shd w:val="clear" w:color="auto" w:fill="auto"/>
            <w:noWrap/>
            <w:vAlign w:val="bottom"/>
            <w:hideMark/>
          </w:tcPr>
          <w:p w14:paraId="106FF088"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2030</w:t>
            </w:r>
          </w:p>
        </w:tc>
        <w:tc>
          <w:tcPr>
            <w:tcW w:w="2105" w:type="dxa"/>
            <w:tcBorders>
              <w:top w:val="nil"/>
              <w:left w:val="nil"/>
              <w:bottom w:val="nil"/>
              <w:right w:val="nil"/>
            </w:tcBorders>
            <w:shd w:val="clear" w:color="auto" w:fill="auto"/>
            <w:noWrap/>
            <w:vAlign w:val="bottom"/>
            <w:hideMark/>
          </w:tcPr>
          <w:p w14:paraId="316B4BDA"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1024.291</w:t>
            </w:r>
          </w:p>
        </w:tc>
        <w:tc>
          <w:tcPr>
            <w:tcW w:w="1158" w:type="dxa"/>
            <w:tcBorders>
              <w:top w:val="nil"/>
              <w:left w:val="nil"/>
              <w:bottom w:val="nil"/>
              <w:right w:val="nil"/>
            </w:tcBorders>
            <w:shd w:val="clear" w:color="auto" w:fill="auto"/>
            <w:noWrap/>
            <w:vAlign w:val="bottom"/>
            <w:hideMark/>
          </w:tcPr>
          <w:p w14:paraId="7C49B7BE"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58.585</w:t>
            </w:r>
          </w:p>
        </w:tc>
        <w:tc>
          <w:tcPr>
            <w:tcW w:w="2977" w:type="dxa"/>
            <w:tcBorders>
              <w:top w:val="nil"/>
              <w:left w:val="nil"/>
              <w:bottom w:val="nil"/>
              <w:right w:val="nil"/>
            </w:tcBorders>
            <w:shd w:val="clear" w:color="auto" w:fill="auto"/>
            <w:noWrap/>
            <w:vAlign w:val="bottom"/>
            <w:hideMark/>
          </w:tcPr>
          <w:p w14:paraId="47527643"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652.56</w:t>
            </w:r>
          </w:p>
        </w:tc>
        <w:tc>
          <w:tcPr>
            <w:tcW w:w="1701" w:type="dxa"/>
            <w:tcBorders>
              <w:top w:val="nil"/>
              <w:left w:val="nil"/>
              <w:bottom w:val="nil"/>
              <w:right w:val="nil"/>
            </w:tcBorders>
            <w:vAlign w:val="bottom"/>
          </w:tcPr>
          <w:p w14:paraId="2CFAAB1C" w14:textId="0E70903D"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1A75AA">
              <w:rPr>
                <w:rFonts w:ascii="Calibri" w:hAnsi="Calibri" w:cs="Calibri"/>
                <w:color w:val="000000"/>
                <w:lang w:val="en-US"/>
              </w:rPr>
              <w:t>681.23</w:t>
            </w:r>
          </w:p>
        </w:tc>
      </w:tr>
      <w:tr w:rsidR="00FA348C" w:rsidRPr="008A67AE" w14:paraId="081724B9" w14:textId="27830CBE" w:rsidTr="00FA348C">
        <w:trPr>
          <w:trHeight w:val="288"/>
          <w:jc w:val="center"/>
        </w:trPr>
        <w:tc>
          <w:tcPr>
            <w:tcW w:w="706" w:type="dxa"/>
            <w:tcBorders>
              <w:top w:val="nil"/>
              <w:left w:val="nil"/>
              <w:bottom w:val="nil"/>
              <w:right w:val="nil"/>
            </w:tcBorders>
            <w:shd w:val="clear" w:color="auto" w:fill="auto"/>
            <w:noWrap/>
            <w:vAlign w:val="bottom"/>
            <w:hideMark/>
          </w:tcPr>
          <w:p w14:paraId="45D0D116"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2040</w:t>
            </w:r>
          </w:p>
        </w:tc>
        <w:tc>
          <w:tcPr>
            <w:tcW w:w="2105" w:type="dxa"/>
            <w:tcBorders>
              <w:top w:val="nil"/>
              <w:left w:val="nil"/>
              <w:bottom w:val="nil"/>
              <w:right w:val="nil"/>
            </w:tcBorders>
            <w:shd w:val="clear" w:color="auto" w:fill="auto"/>
            <w:noWrap/>
            <w:vAlign w:val="bottom"/>
            <w:hideMark/>
          </w:tcPr>
          <w:p w14:paraId="76F21287"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1369.723</w:t>
            </w:r>
          </w:p>
        </w:tc>
        <w:tc>
          <w:tcPr>
            <w:tcW w:w="1158" w:type="dxa"/>
            <w:tcBorders>
              <w:top w:val="nil"/>
              <w:left w:val="nil"/>
              <w:bottom w:val="nil"/>
              <w:right w:val="nil"/>
            </w:tcBorders>
            <w:shd w:val="clear" w:color="auto" w:fill="auto"/>
            <w:noWrap/>
            <w:vAlign w:val="bottom"/>
            <w:hideMark/>
          </w:tcPr>
          <w:p w14:paraId="3FBDC792"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61.254</w:t>
            </w:r>
          </w:p>
        </w:tc>
        <w:tc>
          <w:tcPr>
            <w:tcW w:w="2977" w:type="dxa"/>
            <w:tcBorders>
              <w:top w:val="nil"/>
              <w:left w:val="nil"/>
              <w:bottom w:val="nil"/>
              <w:right w:val="nil"/>
            </w:tcBorders>
            <w:shd w:val="clear" w:color="auto" w:fill="auto"/>
            <w:noWrap/>
            <w:vAlign w:val="bottom"/>
            <w:hideMark/>
          </w:tcPr>
          <w:p w14:paraId="20B2D80D"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848.30</w:t>
            </w:r>
          </w:p>
        </w:tc>
        <w:tc>
          <w:tcPr>
            <w:tcW w:w="1701" w:type="dxa"/>
            <w:tcBorders>
              <w:top w:val="nil"/>
              <w:left w:val="nil"/>
              <w:bottom w:val="nil"/>
              <w:right w:val="nil"/>
            </w:tcBorders>
            <w:vAlign w:val="bottom"/>
          </w:tcPr>
          <w:p w14:paraId="698C9802" w14:textId="0F5A3174"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1A75AA">
              <w:rPr>
                <w:rFonts w:ascii="Calibri" w:hAnsi="Calibri" w:cs="Calibri"/>
                <w:color w:val="000000"/>
                <w:lang w:val="en-US"/>
              </w:rPr>
              <w:t>910.97</w:t>
            </w:r>
          </w:p>
        </w:tc>
      </w:tr>
      <w:tr w:rsidR="00FA348C" w:rsidRPr="008A67AE" w14:paraId="498ADC8D" w14:textId="51B06D67" w:rsidTr="00FA348C">
        <w:trPr>
          <w:trHeight w:val="288"/>
          <w:jc w:val="center"/>
        </w:trPr>
        <w:tc>
          <w:tcPr>
            <w:tcW w:w="706" w:type="dxa"/>
            <w:tcBorders>
              <w:top w:val="nil"/>
              <w:left w:val="nil"/>
              <w:bottom w:val="nil"/>
              <w:right w:val="nil"/>
            </w:tcBorders>
            <w:shd w:val="clear" w:color="auto" w:fill="auto"/>
            <w:noWrap/>
            <w:vAlign w:val="bottom"/>
            <w:hideMark/>
          </w:tcPr>
          <w:p w14:paraId="7AE870F2"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2050</w:t>
            </w:r>
          </w:p>
        </w:tc>
        <w:tc>
          <w:tcPr>
            <w:tcW w:w="2105" w:type="dxa"/>
            <w:tcBorders>
              <w:top w:val="nil"/>
              <w:left w:val="nil"/>
              <w:bottom w:val="nil"/>
              <w:right w:val="nil"/>
            </w:tcBorders>
            <w:shd w:val="clear" w:color="auto" w:fill="auto"/>
            <w:noWrap/>
            <w:vAlign w:val="bottom"/>
            <w:hideMark/>
          </w:tcPr>
          <w:p w14:paraId="4241E668"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1736.314</w:t>
            </w:r>
          </w:p>
        </w:tc>
        <w:tc>
          <w:tcPr>
            <w:tcW w:w="1158" w:type="dxa"/>
            <w:tcBorders>
              <w:top w:val="nil"/>
              <w:left w:val="nil"/>
              <w:bottom w:val="nil"/>
              <w:right w:val="nil"/>
            </w:tcBorders>
            <w:shd w:val="clear" w:color="auto" w:fill="auto"/>
            <w:noWrap/>
            <w:vAlign w:val="bottom"/>
            <w:hideMark/>
          </w:tcPr>
          <w:p w14:paraId="7530EC3C"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63.045</w:t>
            </w:r>
          </w:p>
        </w:tc>
        <w:tc>
          <w:tcPr>
            <w:tcW w:w="2977" w:type="dxa"/>
            <w:tcBorders>
              <w:top w:val="nil"/>
              <w:left w:val="nil"/>
              <w:bottom w:val="nil"/>
              <w:right w:val="nil"/>
            </w:tcBorders>
            <w:shd w:val="clear" w:color="auto" w:fill="auto"/>
            <w:noWrap/>
            <w:vAlign w:val="bottom"/>
            <w:hideMark/>
          </w:tcPr>
          <w:p w14:paraId="6730787A"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1,049.89</w:t>
            </w:r>
          </w:p>
        </w:tc>
        <w:tc>
          <w:tcPr>
            <w:tcW w:w="1701" w:type="dxa"/>
            <w:tcBorders>
              <w:top w:val="nil"/>
              <w:left w:val="nil"/>
              <w:bottom w:val="nil"/>
              <w:right w:val="nil"/>
            </w:tcBorders>
            <w:vAlign w:val="bottom"/>
          </w:tcPr>
          <w:p w14:paraId="7861D8BD" w14:textId="1227F8F3"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1A75AA">
              <w:rPr>
                <w:rFonts w:ascii="Calibri" w:hAnsi="Calibri" w:cs="Calibri"/>
                <w:color w:val="000000"/>
                <w:lang w:val="en-US"/>
              </w:rPr>
              <w:t>1,154.78</w:t>
            </w:r>
          </w:p>
        </w:tc>
      </w:tr>
      <w:tr w:rsidR="00FA348C" w:rsidRPr="008A67AE" w14:paraId="48EBF941" w14:textId="5CC4C012" w:rsidTr="00FA348C">
        <w:trPr>
          <w:trHeight w:val="288"/>
          <w:jc w:val="center"/>
        </w:trPr>
        <w:tc>
          <w:tcPr>
            <w:tcW w:w="706" w:type="dxa"/>
            <w:tcBorders>
              <w:top w:val="nil"/>
              <w:left w:val="nil"/>
              <w:bottom w:val="nil"/>
              <w:right w:val="nil"/>
            </w:tcBorders>
            <w:shd w:val="clear" w:color="auto" w:fill="auto"/>
            <w:noWrap/>
            <w:vAlign w:val="bottom"/>
            <w:hideMark/>
          </w:tcPr>
          <w:p w14:paraId="6F3BED34"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2060</w:t>
            </w:r>
          </w:p>
        </w:tc>
        <w:tc>
          <w:tcPr>
            <w:tcW w:w="2105" w:type="dxa"/>
            <w:tcBorders>
              <w:top w:val="nil"/>
              <w:left w:val="nil"/>
              <w:bottom w:val="nil"/>
              <w:right w:val="nil"/>
            </w:tcBorders>
            <w:shd w:val="clear" w:color="auto" w:fill="auto"/>
            <w:noWrap/>
            <w:vAlign w:val="bottom"/>
            <w:hideMark/>
          </w:tcPr>
          <w:p w14:paraId="6907D7E1"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2132.356</w:t>
            </w:r>
          </w:p>
        </w:tc>
        <w:tc>
          <w:tcPr>
            <w:tcW w:w="1158" w:type="dxa"/>
            <w:tcBorders>
              <w:top w:val="nil"/>
              <w:left w:val="nil"/>
              <w:bottom w:val="nil"/>
              <w:right w:val="nil"/>
            </w:tcBorders>
            <w:shd w:val="clear" w:color="auto" w:fill="auto"/>
            <w:noWrap/>
            <w:vAlign w:val="bottom"/>
            <w:hideMark/>
          </w:tcPr>
          <w:p w14:paraId="6CF1B378"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64.042</w:t>
            </w:r>
          </w:p>
        </w:tc>
        <w:tc>
          <w:tcPr>
            <w:tcW w:w="2977" w:type="dxa"/>
            <w:tcBorders>
              <w:top w:val="nil"/>
              <w:left w:val="nil"/>
              <w:bottom w:val="nil"/>
              <w:right w:val="nil"/>
            </w:tcBorders>
            <w:shd w:val="clear" w:color="auto" w:fill="auto"/>
            <w:noWrap/>
            <w:vAlign w:val="bottom"/>
            <w:hideMark/>
          </w:tcPr>
          <w:p w14:paraId="2327CCE4"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1,261.55</w:t>
            </w:r>
          </w:p>
        </w:tc>
        <w:tc>
          <w:tcPr>
            <w:tcW w:w="1701" w:type="dxa"/>
            <w:tcBorders>
              <w:top w:val="nil"/>
              <w:left w:val="nil"/>
              <w:bottom w:val="nil"/>
              <w:right w:val="nil"/>
            </w:tcBorders>
            <w:vAlign w:val="bottom"/>
          </w:tcPr>
          <w:p w14:paraId="030964A9" w14:textId="22863289"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1A75AA">
              <w:rPr>
                <w:rFonts w:ascii="Calibri" w:hAnsi="Calibri" w:cs="Calibri"/>
                <w:color w:val="000000"/>
                <w:lang w:val="en-US"/>
              </w:rPr>
              <w:t>1,418.18</w:t>
            </w:r>
          </w:p>
        </w:tc>
      </w:tr>
      <w:tr w:rsidR="00FA348C" w:rsidRPr="008A67AE" w14:paraId="31AE52E2" w14:textId="1A674D03" w:rsidTr="00FA348C">
        <w:trPr>
          <w:trHeight w:val="288"/>
          <w:jc w:val="center"/>
        </w:trPr>
        <w:tc>
          <w:tcPr>
            <w:tcW w:w="706" w:type="dxa"/>
            <w:tcBorders>
              <w:top w:val="nil"/>
              <w:left w:val="nil"/>
              <w:bottom w:val="nil"/>
              <w:right w:val="nil"/>
            </w:tcBorders>
            <w:shd w:val="clear" w:color="auto" w:fill="auto"/>
            <w:noWrap/>
            <w:vAlign w:val="bottom"/>
            <w:hideMark/>
          </w:tcPr>
          <w:p w14:paraId="1FC615D2"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2070</w:t>
            </w:r>
          </w:p>
        </w:tc>
        <w:tc>
          <w:tcPr>
            <w:tcW w:w="2105" w:type="dxa"/>
            <w:tcBorders>
              <w:top w:val="nil"/>
              <w:left w:val="nil"/>
              <w:bottom w:val="nil"/>
              <w:right w:val="nil"/>
            </w:tcBorders>
            <w:shd w:val="clear" w:color="auto" w:fill="auto"/>
            <w:noWrap/>
            <w:vAlign w:val="bottom"/>
            <w:hideMark/>
          </w:tcPr>
          <w:p w14:paraId="0D3FDFA6"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2549.391</w:t>
            </w:r>
          </w:p>
        </w:tc>
        <w:tc>
          <w:tcPr>
            <w:tcW w:w="1158" w:type="dxa"/>
            <w:tcBorders>
              <w:top w:val="nil"/>
              <w:left w:val="nil"/>
              <w:bottom w:val="nil"/>
              <w:right w:val="nil"/>
            </w:tcBorders>
            <w:shd w:val="clear" w:color="auto" w:fill="auto"/>
            <w:noWrap/>
            <w:vAlign w:val="bottom"/>
            <w:hideMark/>
          </w:tcPr>
          <w:p w14:paraId="6673AC48"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64.028</w:t>
            </w:r>
          </w:p>
        </w:tc>
        <w:tc>
          <w:tcPr>
            <w:tcW w:w="2977" w:type="dxa"/>
            <w:tcBorders>
              <w:top w:val="nil"/>
              <w:left w:val="nil"/>
              <w:bottom w:val="nil"/>
              <w:right w:val="nil"/>
            </w:tcBorders>
            <w:shd w:val="clear" w:color="auto" w:fill="auto"/>
            <w:noWrap/>
            <w:vAlign w:val="bottom"/>
            <w:hideMark/>
          </w:tcPr>
          <w:p w14:paraId="7DA157B2" w14:textId="77777777"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8A67AE">
              <w:rPr>
                <w:rFonts w:ascii="Calibri" w:eastAsia="Times New Roman" w:hAnsi="Calibri" w:cs="Calibri"/>
                <w:color w:val="000000"/>
                <w:sz w:val="20"/>
                <w:szCs w:val="20"/>
                <w:lang w:val="en-US"/>
              </w:rPr>
              <w:t>1,477.60</w:t>
            </w:r>
          </w:p>
        </w:tc>
        <w:tc>
          <w:tcPr>
            <w:tcW w:w="1701" w:type="dxa"/>
            <w:tcBorders>
              <w:top w:val="nil"/>
              <w:left w:val="nil"/>
              <w:bottom w:val="nil"/>
              <w:right w:val="nil"/>
            </w:tcBorders>
            <w:vAlign w:val="bottom"/>
          </w:tcPr>
          <w:p w14:paraId="0802269D" w14:textId="114D6459" w:rsidR="00FA348C" w:rsidRPr="008A67AE" w:rsidRDefault="00FA348C" w:rsidP="00FA348C">
            <w:pPr>
              <w:spacing w:after="0" w:line="240" w:lineRule="auto"/>
              <w:jc w:val="center"/>
              <w:rPr>
                <w:rFonts w:ascii="Calibri" w:eastAsia="Times New Roman" w:hAnsi="Calibri" w:cs="Calibri"/>
                <w:color w:val="000000"/>
                <w:sz w:val="20"/>
                <w:szCs w:val="20"/>
                <w:lang w:val="en-US"/>
              </w:rPr>
            </w:pPr>
            <w:r w:rsidRPr="001A75AA">
              <w:rPr>
                <w:rFonts w:ascii="Calibri" w:hAnsi="Calibri" w:cs="Calibri"/>
                <w:color w:val="000000"/>
                <w:lang w:val="en-US"/>
              </w:rPr>
              <w:t>1,695.54</w:t>
            </w:r>
          </w:p>
        </w:tc>
      </w:tr>
    </w:tbl>
    <w:p w14:paraId="6B479DFA" w14:textId="4C95B9B3" w:rsidR="007E11BB" w:rsidRPr="007E11BB" w:rsidRDefault="007E11BB" w:rsidP="00FD45BD">
      <w:pPr>
        <w:rPr>
          <w:lang w:val="en-001"/>
        </w:rPr>
      </w:pPr>
    </w:p>
    <w:p w14:paraId="702F6B03" w14:textId="77777777" w:rsidR="00105745" w:rsidRPr="00337A33" w:rsidRDefault="00105745" w:rsidP="00105745">
      <w:pPr>
        <w:keepNext/>
        <w:jc w:val="center"/>
        <w:rPr>
          <w:lang w:val="en-US"/>
        </w:rPr>
      </w:pPr>
      <w:r>
        <w:rPr>
          <w:noProof/>
          <w:lang w:val="en-001"/>
        </w:rPr>
        <w:drawing>
          <wp:inline distT="0" distB="0" distL="0" distR="0" wp14:anchorId="0F67EE42" wp14:editId="26DB0AF7">
            <wp:extent cx="4038600" cy="25437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4425" cy="2547463"/>
                    </a:xfrm>
                    <a:prstGeom prst="rect">
                      <a:avLst/>
                    </a:prstGeom>
                    <a:noFill/>
                    <a:ln>
                      <a:noFill/>
                    </a:ln>
                  </pic:spPr>
                </pic:pic>
              </a:graphicData>
            </a:graphic>
          </wp:inline>
        </w:drawing>
      </w:r>
    </w:p>
    <w:p w14:paraId="048747BE" w14:textId="73191F9D" w:rsidR="00105745" w:rsidRPr="00105745" w:rsidRDefault="00105745" w:rsidP="00105745">
      <w:pPr>
        <w:pStyle w:val="Caption"/>
        <w:jc w:val="center"/>
        <w:rPr>
          <w:lang w:val="en-001"/>
        </w:rPr>
      </w:pPr>
      <w:r w:rsidRPr="00105745">
        <w:rPr>
          <w:lang w:val="en-US"/>
        </w:rPr>
        <w:t xml:space="preserve">Figure </w:t>
      </w:r>
      <w:r>
        <w:fldChar w:fldCharType="begin"/>
      </w:r>
      <w:r w:rsidRPr="00105745">
        <w:rPr>
          <w:lang w:val="en-US"/>
        </w:rPr>
        <w:instrText xml:space="preserve"> SEQ Figure \* ARABIC </w:instrText>
      </w:r>
      <w:r>
        <w:fldChar w:fldCharType="separate"/>
      </w:r>
      <w:r w:rsidR="00693D70">
        <w:rPr>
          <w:noProof/>
          <w:lang w:val="en-US"/>
        </w:rPr>
        <w:t>1</w:t>
      </w:r>
      <w:r>
        <w:fldChar w:fldCharType="end"/>
      </w:r>
      <w:r>
        <w:rPr>
          <w:lang w:val="en-001"/>
        </w:rPr>
        <w:t>: Modal share of passenger transport in African countries (</w:t>
      </w:r>
      <w:r w:rsidRPr="00105745">
        <w:rPr>
          <w:lang w:val="en-001"/>
        </w:rPr>
        <w:t>Schafer &amp; Victor, 2000</w:t>
      </w:r>
      <w:r>
        <w:rPr>
          <w:lang w:val="en-001"/>
        </w:rPr>
        <w:t>).</w:t>
      </w:r>
    </w:p>
    <w:p w14:paraId="60F93904" w14:textId="54A3A360" w:rsidR="00C37F58" w:rsidRDefault="00C37F58" w:rsidP="00C37F58">
      <w:pPr>
        <w:pStyle w:val="Heading4"/>
        <w:rPr>
          <w:lang w:val="en-001"/>
        </w:rPr>
      </w:pPr>
      <w:r>
        <w:rPr>
          <w:lang w:val="en-001"/>
        </w:rPr>
        <w:t>Converting energy-based to kilometer-based transport</w:t>
      </w:r>
    </w:p>
    <w:p w14:paraId="22A3E9E0" w14:textId="4613E7E1" w:rsidR="002B685C" w:rsidRDefault="00C37F58" w:rsidP="00C37F58">
      <w:pPr>
        <w:rPr>
          <w:lang w:val="en-001"/>
        </w:rPr>
      </w:pPr>
      <w:r>
        <w:rPr>
          <w:lang w:val="en-001"/>
        </w:rPr>
        <w:t xml:space="preserve">In order to convert the MESSAGEix-South Africa model </w:t>
      </w:r>
      <w:r w:rsidR="009B7ACD">
        <w:rPr>
          <w:lang w:val="en-001"/>
        </w:rPr>
        <w:t>from energy-based (</w:t>
      </w:r>
      <w:r w:rsidR="00554557">
        <w:rPr>
          <w:lang w:val="en-001"/>
        </w:rPr>
        <w:t>GWa</w:t>
      </w:r>
      <w:r w:rsidR="009B7ACD">
        <w:rPr>
          <w:lang w:val="en-001"/>
        </w:rPr>
        <w:t>) to kilometer-based (</w:t>
      </w:r>
      <w:r w:rsidR="00554557">
        <w:rPr>
          <w:lang w:val="en-001"/>
        </w:rPr>
        <w:t>G</w:t>
      </w:r>
      <w:r w:rsidR="009B7ACD">
        <w:rPr>
          <w:lang w:val="en-001"/>
        </w:rPr>
        <w:t xml:space="preserve">pkm and </w:t>
      </w:r>
      <w:r w:rsidR="00554557">
        <w:rPr>
          <w:lang w:val="en-001"/>
        </w:rPr>
        <w:t>G</w:t>
      </w:r>
      <w:r w:rsidR="009B7ACD">
        <w:rPr>
          <w:lang w:val="en-001"/>
        </w:rPr>
        <w:t xml:space="preserve">tkm), several adjustments must be made. </w:t>
      </w:r>
      <w:r w:rsidR="00554557">
        <w:rPr>
          <w:lang w:val="en-001"/>
        </w:rPr>
        <w:t xml:space="preserve">Because the entire model is operated using units of GWa, the required step of the model development is the determination of energy needed to supply one unit of Gpkm or Gtkm. </w:t>
      </w:r>
      <w:r w:rsidR="002B685C">
        <w:rPr>
          <w:lang w:val="en-001"/>
        </w:rPr>
        <w:t xml:space="preserve">In this work, only selected categories of transport technologies are considered – only car passenger transport is disaggregated into different powertrain </w:t>
      </w:r>
      <w:r w:rsidR="002B685C">
        <w:rPr>
          <w:lang w:val="en-001"/>
        </w:rPr>
        <w:lastRenderedPageBreak/>
        <w:t xml:space="preserve">technologies, while the other categories are assumed to make use of just one selected energy commodity. For car passenger transport, it was possible to find South-African specific data on fuel economy </w:t>
      </w:r>
      <w:r w:rsidR="002B685C" w:rsidRPr="00C502A8">
        <w:rPr>
          <w:lang w:val="en-001"/>
        </w:rPr>
        <w:fldChar w:fldCharType="begin"/>
      </w:r>
      <w:r w:rsidR="002B685C" w:rsidRPr="00C502A8">
        <w:rPr>
          <w:lang w:val="en-001"/>
        </w:rPr>
        <w:instrText xml:space="preserve"> ADDIN ZOTERO_ITEM CSL_CITATION {"citationID":"CbkXwzAx","properties":{"formattedCitation":"(IEA, 2021)","plainCitation":"(IEA, 2021)","noteIndex":0},"citationItems":[{"id":14261,"uris":["http://zotero.org/users/5891677/items/IXEUK377"],"itemData":{"id":14261,"type":"webpage","abstract":"Fuel economy in South Africa - Analysis and findings. An article by the International Energy Agency.","container-title":"IEA","language":"en-GB","title":"Fuel economy in South Africa – Analysis","URL":"https://www.iea.org/articles/fuel-economy-in-south-africa","author":[{"family":"IEA","given":""}],"accessed":{"date-parts":[["2022",4,23]]},"issued":{"date-parts":[["2021"]]}}}],"schema":"https://github.com/citation-style-language/schema/raw/master/csl-citation.json"} </w:instrText>
      </w:r>
      <w:r w:rsidR="002B685C" w:rsidRPr="00C502A8">
        <w:rPr>
          <w:lang w:val="en-001"/>
        </w:rPr>
        <w:fldChar w:fldCharType="separate"/>
      </w:r>
      <w:r w:rsidR="002B685C" w:rsidRPr="00C502A8">
        <w:rPr>
          <w:rFonts w:ascii="Calibri" w:hAnsi="Calibri" w:cs="Calibri"/>
          <w:lang w:val="en-US"/>
        </w:rPr>
        <w:t>(IEA, 2021)</w:t>
      </w:r>
      <w:r w:rsidR="002B685C" w:rsidRPr="00C502A8">
        <w:rPr>
          <w:lang w:val="en-001"/>
        </w:rPr>
        <w:fldChar w:fldCharType="end"/>
      </w:r>
      <w:r w:rsidR="002B685C">
        <w:rPr>
          <w:lang w:val="en-001"/>
        </w:rPr>
        <w:t xml:space="preserve"> and occupancy </w:t>
      </w:r>
      <w:r w:rsidR="002B685C">
        <w:rPr>
          <w:lang w:val="en-001"/>
        </w:rPr>
        <w:fldChar w:fldCharType="begin"/>
      </w:r>
      <w:r w:rsidR="002B685C">
        <w:rPr>
          <w:lang w:val="en-001"/>
        </w:rPr>
        <w:instrText xml:space="preserve"> ADDIN ZOTERO_ITEM CSL_CITATION {"citationID":"cIDNJF4E","properties":{"formattedCitation":"(Merven et al., 2012)","plainCitation":"(Merven et al., 2012)","noteIndex":0},"citationItems":[{"id":14129,"uris":["http://zotero.org/users/5891677/items/SWG3JUKN"],"itemData":{"id":14129,"type":"article-journal","language":"en","page":"78","source":"Zotero","title":"Quantifying the energy needs of the transport sector for South Africa: A bottom‐up model","author":[{"family":"Merven","given":"Bruno"},{"family":"Stone","given":"Adrian"},{"family":"Hughes","given":"Alison"},{"family":"Cohen","given":"Brett"}],"issued":{"date-parts":[["2012"]]}}}],"schema":"https://github.com/citation-style-language/schema/raw/master/csl-citation.json"} </w:instrText>
      </w:r>
      <w:r w:rsidR="002B685C">
        <w:rPr>
          <w:lang w:val="en-001"/>
        </w:rPr>
        <w:fldChar w:fldCharType="separate"/>
      </w:r>
      <w:r w:rsidR="002B685C" w:rsidRPr="002B685C">
        <w:rPr>
          <w:rFonts w:ascii="Calibri" w:hAnsi="Calibri" w:cs="Calibri"/>
          <w:lang w:val="en-US"/>
        </w:rPr>
        <w:t>(Merven et al., 2012)</w:t>
      </w:r>
      <w:r w:rsidR="002B685C">
        <w:rPr>
          <w:lang w:val="en-001"/>
        </w:rPr>
        <w:fldChar w:fldCharType="end"/>
      </w:r>
      <w:r w:rsidR="002B685C">
        <w:rPr>
          <w:lang w:val="en-001"/>
        </w:rPr>
        <w:t xml:space="preserve">. For bus passenger transport, </w:t>
      </w:r>
      <w:r w:rsidR="00547639">
        <w:rPr>
          <w:lang w:val="en-001"/>
        </w:rPr>
        <w:t xml:space="preserve">an estimate of 30 liters diesel/100 km and occupancy of 25 passengers/bus was assumed, based on South African literature </w:t>
      </w:r>
      <w:r w:rsidR="00547639">
        <w:rPr>
          <w:lang w:val="en-001"/>
        </w:rPr>
        <w:fldChar w:fldCharType="begin"/>
      </w:r>
      <w:r w:rsidR="00547639">
        <w:rPr>
          <w:lang w:val="en-001"/>
        </w:rPr>
        <w:instrText xml:space="preserve"> ADDIN ZOTERO_ITEM CSL_CITATION {"citationID":"jSN8kjBt","properties":{"formattedCitation":"(Merven et al., 2012)","plainCitation":"(Merven et al., 2012)","noteIndex":0},"citationItems":[{"id":14129,"uris":["http://zotero.org/users/5891677/items/SWG3JUKN"],"itemData":{"id":14129,"type":"article-journal","language":"en","page":"78","source":"Zotero","title":"Quantifying the energy needs of the transport sector for South Africa: A bottom‐up model","author":[{"family":"Merven","given":"Bruno"},{"family":"Stone","given":"Adrian"},{"family":"Hughes","given":"Alison"},{"family":"Cohen","given":"Brett"}],"issued":{"date-parts":[["2012"]]}}}],"schema":"https://github.com/citation-style-language/schema/raw/master/csl-citation.json"} </w:instrText>
      </w:r>
      <w:r w:rsidR="00547639">
        <w:rPr>
          <w:lang w:val="en-001"/>
        </w:rPr>
        <w:fldChar w:fldCharType="separate"/>
      </w:r>
      <w:r w:rsidR="00547639" w:rsidRPr="002B685C">
        <w:rPr>
          <w:rFonts w:ascii="Calibri" w:hAnsi="Calibri" w:cs="Calibri"/>
          <w:lang w:val="en-US"/>
        </w:rPr>
        <w:t>(Merven et al., 2012)</w:t>
      </w:r>
      <w:r w:rsidR="00547639">
        <w:rPr>
          <w:lang w:val="en-001"/>
        </w:rPr>
        <w:fldChar w:fldCharType="end"/>
      </w:r>
      <w:r w:rsidR="00547639">
        <w:rPr>
          <w:lang w:val="en-001"/>
        </w:rPr>
        <w:t xml:space="preserve">. For other transport modes, sources from countries other than South Africa were used due to lack of data </w:t>
      </w:r>
      <w:r w:rsidR="00547639">
        <w:rPr>
          <w:lang w:val="en-001"/>
        </w:rPr>
        <w:fldChar w:fldCharType="begin"/>
      </w:r>
      <w:r w:rsidR="00547639">
        <w:rPr>
          <w:lang w:val="en-001"/>
        </w:rPr>
        <w:instrText xml:space="preserve"> ADDIN ZOTERO_ITEM CSL_CITATION {"citationID":"V0oxZvyV","properties":{"formattedCitation":"(Deutsche Bahn, 2018; Mathiesen et al., 2014)","plainCitation":"(Deutsche Bahn, 2018; Mathiesen et al., 2014)","noteIndex":0},"citationItems":[{"id":14265,"uris":["http://zotero.org/users/5891677/items/ELFZDBDQ"],"itemData":{"id":14265,"type":"webpage","language":"en","title":"Energy efficiency increased","URL":"https://ibir.deutschebahn.com/ib2018/ib2018/en/group-management-report/environmental/progress-in-climate-protection/energy-efficiency-increased/","author":[{"literal":"Deutsche Bahn"}],"accessed":{"date-parts":[["2022",4,23]]},"issued":{"date-parts":[["2018"]]}}},{"id":14262,"uris":["http://zotero.org/users/5891677/items/X666AUSW"],"itemData":{"id":14262,"type":"book","abstract":"This background report describes on the different fuel pathways for the transport sector were created and compared. The study highlights the unique issues that need to be resolved for the transport sector such as the large growth in demand, the need for energy-dense fuels, and the concerns about the availability of sustainable resources.\n\nThe results indicate that electricity should be prioritised as much as is economically possible in the transport sector, which is primarily for cars and rail. Other modes, such as trucks, ships, and aeroplanes will require fuels with a high energy density. Replacing oil in these modes with existing biofuels is likely to result in an over-consumption of biomass, thus resulting in an unsustainable solution. In this study, new electrofuel pathways are created outlining how electricity can be combined with biomass to create new fuels for these modes.\n\nThe amount of electrofuel that can be incorporated into the energy system in the future will be very dependent on the technological develop of some key technologies, such as biomass gasification, carbon capture and recycling, and electrolysers, as well as on the amount of sustainable biomass that can be harnessed in the energy system.","note":"DOI: 10.13140/RG.2.1.3217.2886","source":"ResearchGate","title":"CEESA 100% Renewable Energy Transport Scenarios towards 2050","author":[{"family":"Mathiesen","given":"Brian"},{"family":"Connolly","given":"David"},{"family":"Lund","given":"Henrik"},{"family":"Nielsen","given":"Mads"},{"family":"Schaltz","given":"Erik"},{"family":"Wenzel","given":"Henrik"},{"family":"Bentsen","given":"Niclas"},{"family":"Felby","given":"Claus"},{"family":"Kaspersen","given":"Per"},{"family":"Skov","given":"Iva"},{"family":"Hansen","given":"Kenneth"}],"issued":{"date-parts":[["2014",6,1]]}}}],"schema":"https://github.com/citation-style-language/schema/raw/master/csl-citation.json"} </w:instrText>
      </w:r>
      <w:r w:rsidR="00547639">
        <w:rPr>
          <w:lang w:val="en-001"/>
        </w:rPr>
        <w:fldChar w:fldCharType="separate"/>
      </w:r>
      <w:r w:rsidR="00547639" w:rsidRPr="00547639">
        <w:rPr>
          <w:rFonts w:ascii="Calibri" w:hAnsi="Calibri" w:cs="Calibri"/>
          <w:lang w:val="en-US"/>
        </w:rPr>
        <w:t>(Deutsche Bahn, 2018; Mathiesen et al., 2014)</w:t>
      </w:r>
      <w:r w:rsidR="00547639">
        <w:rPr>
          <w:lang w:val="en-001"/>
        </w:rPr>
        <w:fldChar w:fldCharType="end"/>
      </w:r>
      <w:r w:rsidR="00547639">
        <w:rPr>
          <w:lang w:val="en-001"/>
        </w:rPr>
        <w:t xml:space="preserve">. The results can be seen in Table 2. </w:t>
      </w:r>
    </w:p>
    <w:p w14:paraId="5B9C87CD" w14:textId="0FAD5E96" w:rsidR="002C7E44" w:rsidRPr="002C7E44" w:rsidRDefault="002C7E44" w:rsidP="002C7E44">
      <w:pPr>
        <w:pStyle w:val="Caption"/>
        <w:keepNext/>
        <w:spacing w:after="0"/>
        <w:rPr>
          <w:lang w:val="en-001"/>
        </w:rPr>
      </w:pPr>
      <w:r w:rsidRPr="002C7E44">
        <w:rPr>
          <w:lang w:val="en-US"/>
        </w:rPr>
        <w:t xml:space="preserve">Table </w:t>
      </w:r>
      <w:r>
        <w:fldChar w:fldCharType="begin"/>
      </w:r>
      <w:r w:rsidRPr="002C7E44">
        <w:rPr>
          <w:lang w:val="en-US"/>
        </w:rPr>
        <w:instrText xml:space="preserve"> SEQ Table \* ARABIC </w:instrText>
      </w:r>
      <w:r>
        <w:fldChar w:fldCharType="separate"/>
      </w:r>
      <w:r w:rsidR="00BC112F">
        <w:rPr>
          <w:noProof/>
          <w:lang w:val="en-US"/>
        </w:rPr>
        <w:t>2</w:t>
      </w:r>
      <w:r>
        <w:fldChar w:fldCharType="end"/>
      </w:r>
      <w:r>
        <w:rPr>
          <w:lang w:val="en-001"/>
        </w:rPr>
        <w:t>: Fuel economy of various transport modes.</w:t>
      </w:r>
    </w:p>
    <w:tbl>
      <w:tblPr>
        <w:tblW w:w="8828" w:type="dxa"/>
        <w:tblLayout w:type="fixed"/>
        <w:tblLook w:val="04A0" w:firstRow="1" w:lastRow="0" w:firstColumn="1" w:lastColumn="0" w:noHBand="0" w:noVBand="1"/>
      </w:tblPr>
      <w:tblGrid>
        <w:gridCol w:w="1701"/>
        <w:gridCol w:w="799"/>
        <w:gridCol w:w="811"/>
        <w:gridCol w:w="1539"/>
        <w:gridCol w:w="1246"/>
        <w:gridCol w:w="1275"/>
        <w:gridCol w:w="1457"/>
      </w:tblGrid>
      <w:tr w:rsidR="002C7E44" w:rsidRPr="002C7E44" w14:paraId="2DDF447D" w14:textId="77777777" w:rsidTr="002C7E44">
        <w:tc>
          <w:tcPr>
            <w:tcW w:w="1701" w:type="dxa"/>
            <w:shd w:val="clear" w:color="auto" w:fill="auto"/>
            <w:noWrap/>
            <w:vAlign w:val="bottom"/>
          </w:tcPr>
          <w:p w14:paraId="5C5EA735" w14:textId="77777777" w:rsidR="002C7E44" w:rsidRPr="002C7E44" w:rsidRDefault="002C7E44" w:rsidP="002C7E44">
            <w:pPr>
              <w:spacing w:after="0" w:line="240" w:lineRule="auto"/>
              <w:rPr>
                <w:rFonts w:eastAsia="Times New Roman" w:cstheme="minorHAnsi"/>
                <w:b/>
                <w:bCs/>
                <w:color w:val="000000"/>
                <w:sz w:val="20"/>
                <w:szCs w:val="20"/>
                <w:lang w:val="en-US"/>
              </w:rPr>
            </w:pPr>
          </w:p>
        </w:tc>
        <w:tc>
          <w:tcPr>
            <w:tcW w:w="799" w:type="dxa"/>
            <w:shd w:val="clear" w:color="auto" w:fill="auto"/>
            <w:noWrap/>
            <w:vAlign w:val="bottom"/>
          </w:tcPr>
          <w:p w14:paraId="36418F45" w14:textId="77777777" w:rsidR="002C7E44" w:rsidRPr="002C7E44" w:rsidRDefault="002C7E44" w:rsidP="002C7E44">
            <w:pPr>
              <w:spacing w:after="0" w:line="240" w:lineRule="auto"/>
              <w:rPr>
                <w:rFonts w:eastAsia="Times New Roman" w:cstheme="minorHAnsi"/>
                <w:b/>
                <w:bCs/>
                <w:color w:val="000000"/>
                <w:sz w:val="20"/>
                <w:szCs w:val="20"/>
                <w:lang w:val="en-US"/>
              </w:rPr>
            </w:pPr>
          </w:p>
        </w:tc>
        <w:tc>
          <w:tcPr>
            <w:tcW w:w="811" w:type="dxa"/>
            <w:shd w:val="clear" w:color="auto" w:fill="auto"/>
            <w:noWrap/>
            <w:vAlign w:val="bottom"/>
          </w:tcPr>
          <w:p w14:paraId="0C221CF1" w14:textId="77777777" w:rsidR="002C7E44" w:rsidRPr="002C7E44" w:rsidRDefault="002C7E44" w:rsidP="002C7E44">
            <w:pPr>
              <w:spacing w:after="0" w:line="240" w:lineRule="auto"/>
              <w:rPr>
                <w:rFonts w:eastAsia="Times New Roman" w:cstheme="minorHAnsi"/>
                <w:b/>
                <w:bCs/>
                <w:color w:val="000000"/>
                <w:sz w:val="20"/>
                <w:szCs w:val="20"/>
                <w:lang w:val="en-US"/>
              </w:rPr>
            </w:pPr>
          </w:p>
        </w:tc>
        <w:tc>
          <w:tcPr>
            <w:tcW w:w="1539" w:type="dxa"/>
            <w:shd w:val="clear" w:color="auto" w:fill="auto"/>
            <w:vAlign w:val="bottom"/>
          </w:tcPr>
          <w:p w14:paraId="13BCF8FC" w14:textId="77777777" w:rsidR="002C7E44" w:rsidRPr="002C7E44" w:rsidRDefault="002C7E44" w:rsidP="002C7E44">
            <w:pPr>
              <w:spacing w:after="0" w:line="240" w:lineRule="auto"/>
              <w:rPr>
                <w:rFonts w:eastAsia="Times New Roman" w:cstheme="minorHAnsi"/>
                <w:b/>
                <w:bCs/>
                <w:color w:val="000000"/>
                <w:sz w:val="20"/>
                <w:szCs w:val="20"/>
                <w:lang w:val="en-US"/>
              </w:rPr>
            </w:pPr>
          </w:p>
        </w:tc>
        <w:tc>
          <w:tcPr>
            <w:tcW w:w="1246" w:type="dxa"/>
            <w:shd w:val="clear" w:color="auto" w:fill="auto"/>
            <w:vAlign w:val="bottom"/>
          </w:tcPr>
          <w:p w14:paraId="53A88E33" w14:textId="77777777" w:rsidR="002C7E44" w:rsidRPr="002C7E44" w:rsidRDefault="002C7E44" w:rsidP="002C7E44">
            <w:pPr>
              <w:spacing w:after="0" w:line="240" w:lineRule="auto"/>
              <w:jc w:val="center"/>
              <w:rPr>
                <w:rFonts w:eastAsia="Times New Roman" w:cstheme="minorHAnsi"/>
                <w:b/>
                <w:bCs/>
                <w:color w:val="000000"/>
                <w:sz w:val="20"/>
                <w:szCs w:val="20"/>
                <w:lang w:val="en-US"/>
              </w:rPr>
            </w:pPr>
          </w:p>
        </w:tc>
        <w:tc>
          <w:tcPr>
            <w:tcW w:w="2732" w:type="dxa"/>
            <w:gridSpan w:val="2"/>
            <w:shd w:val="clear" w:color="auto" w:fill="auto"/>
            <w:vAlign w:val="bottom"/>
          </w:tcPr>
          <w:p w14:paraId="0D37B9CA" w14:textId="4443EB69" w:rsidR="002C7E44" w:rsidRPr="002C7E44" w:rsidRDefault="002C7E44" w:rsidP="002C7E44">
            <w:pPr>
              <w:spacing w:after="0" w:line="240" w:lineRule="auto"/>
              <w:jc w:val="center"/>
              <w:rPr>
                <w:rFonts w:eastAsia="Times New Roman" w:cstheme="minorHAnsi"/>
                <w:b/>
                <w:bCs/>
                <w:color w:val="000000"/>
                <w:sz w:val="20"/>
                <w:szCs w:val="20"/>
                <w:lang w:val="en-001"/>
              </w:rPr>
            </w:pPr>
            <w:r>
              <w:rPr>
                <w:rFonts w:eastAsia="Times New Roman" w:cstheme="minorHAnsi"/>
                <w:b/>
                <w:bCs/>
                <w:color w:val="000000"/>
                <w:sz w:val="20"/>
                <w:szCs w:val="20"/>
                <w:lang w:val="en-001"/>
              </w:rPr>
              <w:t>Fuel economy</w:t>
            </w:r>
          </w:p>
        </w:tc>
      </w:tr>
      <w:tr w:rsidR="002C7E44" w:rsidRPr="00D54865" w14:paraId="67A6B712" w14:textId="77777777" w:rsidTr="002C7E44">
        <w:tc>
          <w:tcPr>
            <w:tcW w:w="1701" w:type="dxa"/>
            <w:tcBorders>
              <w:bottom w:val="single" w:sz="4" w:space="0" w:color="auto"/>
            </w:tcBorders>
            <w:shd w:val="clear" w:color="auto" w:fill="auto"/>
            <w:noWrap/>
            <w:vAlign w:val="bottom"/>
            <w:hideMark/>
          </w:tcPr>
          <w:p w14:paraId="4D646379" w14:textId="77777777" w:rsidR="002C7E44" w:rsidRPr="002C7E44" w:rsidRDefault="002C7E44" w:rsidP="002C7E44">
            <w:pPr>
              <w:spacing w:after="0" w:line="240" w:lineRule="auto"/>
              <w:jc w:val="center"/>
              <w:rPr>
                <w:rFonts w:eastAsia="Times New Roman" w:cstheme="minorHAnsi"/>
                <w:b/>
                <w:bCs/>
                <w:color w:val="000000"/>
                <w:sz w:val="20"/>
                <w:szCs w:val="20"/>
                <w:lang w:val="en-US"/>
              </w:rPr>
            </w:pPr>
            <w:r w:rsidRPr="002C7E44">
              <w:rPr>
                <w:rFonts w:eastAsia="Times New Roman" w:cstheme="minorHAnsi"/>
                <w:b/>
                <w:bCs/>
                <w:color w:val="000000"/>
                <w:sz w:val="20"/>
                <w:szCs w:val="20"/>
                <w:lang w:val="en-US"/>
              </w:rPr>
              <w:t>Transport type</w:t>
            </w:r>
          </w:p>
        </w:tc>
        <w:tc>
          <w:tcPr>
            <w:tcW w:w="799" w:type="dxa"/>
            <w:tcBorders>
              <w:bottom w:val="single" w:sz="4" w:space="0" w:color="auto"/>
            </w:tcBorders>
            <w:shd w:val="clear" w:color="auto" w:fill="auto"/>
            <w:noWrap/>
            <w:vAlign w:val="bottom"/>
            <w:hideMark/>
          </w:tcPr>
          <w:p w14:paraId="1F48E5C3" w14:textId="77777777" w:rsidR="002C7E44" w:rsidRPr="002C7E44" w:rsidRDefault="002C7E44" w:rsidP="002C7E44">
            <w:pPr>
              <w:spacing w:after="0" w:line="240" w:lineRule="auto"/>
              <w:jc w:val="center"/>
              <w:rPr>
                <w:rFonts w:eastAsia="Times New Roman" w:cstheme="minorHAnsi"/>
                <w:b/>
                <w:bCs/>
                <w:color w:val="000000"/>
                <w:sz w:val="20"/>
                <w:szCs w:val="20"/>
                <w:lang w:val="en-US"/>
              </w:rPr>
            </w:pPr>
            <w:r w:rsidRPr="002C7E44">
              <w:rPr>
                <w:rFonts w:eastAsia="Times New Roman" w:cstheme="minorHAnsi"/>
                <w:b/>
                <w:bCs/>
                <w:color w:val="000000"/>
                <w:sz w:val="20"/>
                <w:szCs w:val="20"/>
                <w:lang w:val="en-US"/>
              </w:rPr>
              <w:t>Mode</w:t>
            </w:r>
          </w:p>
        </w:tc>
        <w:tc>
          <w:tcPr>
            <w:tcW w:w="811" w:type="dxa"/>
            <w:tcBorders>
              <w:bottom w:val="single" w:sz="4" w:space="0" w:color="auto"/>
            </w:tcBorders>
            <w:shd w:val="clear" w:color="auto" w:fill="auto"/>
            <w:noWrap/>
            <w:vAlign w:val="bottom"/>
            <w:hideMark/>
          </w:tcPr>
          <w:p w14:paraId="4AA32449" w14:textId="7093ADA1" w:rsidR="002C7E44" w:rsidRPr="002C7E44" w:rsidRDefault="00BF0BD2" w:rsidP="002C7E44">
            <w:pPr>
              <w:spacing w:after="0" w:line="240" w:lineRule="auto"/>
              <w:jc w:val="center"/>
              <w:rPr>
                <w:rFonts w:eastAsia="Times New Roman" w:cstheme="minorHAnsi"/>
                <w:b/>
                <w:bCs/>
                <w:color w:val="000000"/>
                <w:sz w:val="20"/>
                <w:szCs w:val="20"/>
                <w:lang w:val="en-001"/>
              </w:rPr>
            </w:pPr>
            <w:r>
              <w:rPr>
                <w:rFonts w:eastAsia="Times New Roman" w:cstheme="minorHAnsi"/>
                <w:b/>
                <w:bCs/>
                <w:color w:val="000000"/>
                <w:sz w:val="20"/>
                <w:szCs w:val="20"/>
                <w:lang w:val="en-001"/>
              </w:rPr>
              <w:t>Powertrain</w:t>
            </w:r>
          </w:p>
        </w:tc>
        <w:tc>
          <w:tcPr>
            <w:tcW w:w="1539" w:type="dxa"/>
            <w:tcBorders>
              <w:bottom w:val="single" w:sz="4" w:space="0" w:color="auto"/>
            </w:tcBorders>
            <w:shd w:val="clear" w:color="auto" w:fill="auto"/>
            <w:vAlign w:val="bottom"/>
            <w:hideMark/>
          </w:tcPr>
          <w:p w14:paraId="6FB3D211" w14:textId="77777777" w:rsidR="002C7E44" w:rsidRPr="002C7E44" w:rsidRDefault="002C7E44" w:rsidP="002C7E44">
            <w:pPr>
              <w:spacing w:after="0" w:line="240" w:lineRule="auto"/>
              <w:jc w:val="center"/>
              <w:rPr>
                <w:rFonts w:eastAsia="Times New Roman" w:cstheme="minorHAnsi"/>
                <w:b/>
                <w:bCs/>
                <w:color w:val="000000"/>
                <w:sz w:val="20"/>
                <w:szCs w:val="20"/>
                <w:lang w:val="en-US"/>
              </w:rPr>
            </w:pPr>
            <w:r w:rsidRPr="002C7E44">
              <w:rPr>
                <w:rFonts w:eastAsia="Times New Roman" w:cstheme="minorHAnsi"/>
                <w:b/>
                <w:bCs/>
                <w:color w:val="000000"/>
                <w:sz w:val="20"/>
                <w:szCs w:val="20"/>
                <w:lang w:val="en-US"/>
              </w:rPr>
              <w:t xml:space="preserve">Fuel economy </w:t>
            </w:r>
            <w:r w:rsidRPr="002C7E44">
              <w:rPr>
                <w:rFonts w:eastAsia="Times New Roman" w:cstheme="minorHAnsi"/>
                <w:b/>
                <w:bCs/>
                <w:color w:val="000000"/>
                <w:sz w:val="20"/>
                <w:szCs w:val="20"/>
                <w:lang w:val="en-US"/>
              </w:rPr>
              <w:br/>
              <w:t>(lge/100 km)</w:t>
            </w:r>
          </w:p>
        </w:tc>
        <w:tc>
          <w:tcPr>
            <w:tcW w:w="1246" w:type="dxa"/>
            <w:tcBorders>
              <w:bottom w:val="single" w:sz="4" w:space="0" w:color="auto"/>
            </w:tcBorders>
            <w:shd w:val="clear" w:color="auto" w:fill="auto"/>
            <w:vAlign w:val="bottom"/>
            <w:hideMark/>
          </w:tcPr>
          <w:p w14:paraId="608ED64D" w14:textId="77777777" w:rsidR="002C7E44" w:rsidRPr="002C7E44" w:rsidRDefault="002C7E44" w:rsidP="002C7E44">
            <w:pPr>
              <w:spacing w:after="0" w:line="240" w:lineRule="auto"/>
              <w:jc w:val="center"/>
              <w:rPr>
                <w:rFonts w:eastAsia="Times New Roman" w:cstheme="minorHAnsi"/>
                <w:b/>
                <w:bCs/>
                <w:color w:val="000000"/>
                <w:sz w:val="20"/>
                <w:szCs w:val="20"/>
                <w:lang w:val="en-US"/>
              </w:rPr>
            </w:pPr>
            <w:r w:rsidRPr="002C7E44">
              <w:rPr>
                <w:rFonts w:eastAsia="Times New Roman" w:cstheme="minorHAnsi"/>
                <w:b/>
                <w:bCs/>
                <w:color w:val="000000"/>
                <w:sz w:val="20"/>
                <w:szCs w:val="20"/>
                <w:lang w:val="en-US"/>
              </w:rPr>
              <w:t xml:space="preserve">Occupancy </w:t>
            </w:r>
            <w:r w:rsidRPr="002C7E44">
              <w:rPr>
                <w:rFonts w:eastAsia="Times New Roman" w:cstheme="minorHAnsi"/>
                <w:b/>
                <w:bCs/>
                <w:color w:val="000000"/>
                <w:sz w:val="20"/>
                <w:szCs w:val="20"/>
                <w:lang w:val="en-US"/>
              </w:rPr>
              <w:br/>
              <w:t>(per/veh)</w:t>
            </w:r>
          </w:p>
        </w:tc>
        <w:tc>
          <w:tcPr>
            <w:tcW w:w="1275" w:type="dxa"/>
            <w:tcBorders>
              <w:bottom w:val="single" w:sz="4" w:space="0" w:color="auto"/>
            </w:tcBorders>
            <w:shd w:val="clear" w:color="auto" w:fill="auto"/>
            <w:vAlign w:val="bottom"/>
            <w:hideMark/>
          </w:tcPr>
          <w:p w14:paraId="62C03930" w14:textId="42ED428F" w:rsidR="002C7E44" w:rsidRPr="002C7E44" w:rsidRDefault="002C7E44" w:rsidP="002C7E44">
            <w:pPr>
              <w:spacing w:after="0" w:line="240" w:lineRule="auto"/>
              <w:jc w:val="center"/>
              <w:rPr>
                <w:rFonts w:eastAsia="Times New Roman" w:cstheme="minorHAnsi"/>
                <w:b/>
                <w:bCs/>
                <w:color w:val="000000"/>
                <w:sz w:val="20"/>
                <w:szCs w:val="20"/>
                <w:lang w:val="en-US"/>
              </w:rPr>
            </w:pPr>
            <w:r w:rsidRPr="002C7E44">
              <w:rPr>
                <w:rFonts w:eastAsia="Times New Roman" w:cstheme="minorHAnsi"/>
                <w:b/>
                <w:bCs/>
                <w:color w:val="000000"/>
                <w:sz w:val="20"/>
                <w:szCs w:val="20"/>
                <w:lang w:val="en-US"/>
              </w:rPr>
              <w:t>(MJ/pkm or MJ/tkm)</w:t>
            </w:r>
          </w:p>
        </w:tc>
        <w:tc>
          <w:tcPr>
            <w:tcW w:w="1457" w:type="dxa"/>
            <w:tcBorders>
              <w:bottom w:val="single" w:sz="4" w:space="0" w:color="auto"/>
            </w:tcBorders>
            <w:shd w:val="clear" w:color="auto" w:fill="auto"/>
            <w:vAlign w:val="bottom"/>
            <w:hideMark/>
          </w:tcPr>
          <w:p w14:paraId="035ED1E4" w14:textId="60278228" w:rsidR="002C7E44" w:rsidRPr="002C7E44" w:rsidRDefault="002C7E44" w:rsidP="002C7E44">
            <w:pPr>
              <w:spacing w:after="0" w:line="240" w:lineRule="auto"/>
              <w:jc w:val="center"/>
              <w:rPr>
                <w:rFonts w:eastAsia="Times New Roman" w:cstheme="minorHAnsi"/>
                <w:b/>
                <w:bCs/>
                <w:color w:val="000000"/>
                <w:sz w:val="20"/>
                <w:szCs w:val="20"/>
                <w:lang w:val="en-US"/>
              </w:rPr>
            </w:pPr>
            <w:r w:rsidRPr="002C7E44">
              <w:rPr>
                <w:rFonts w:eastAsia="Times New Roman" w:cstheme="minorHAnsi"/>
                <w:b/>
                <w:bCs/>
                <w:color w:val="000000"/>
                <w:sz w:val="20"/>
                <w:szCs w:val="20"/>
                <w:lang w:val="en-US"/>
              </w:rPr>
              <w:t>(GWa/Gpkm or GWa/Gtkm)</w:t>
            </w:r>
          </w:p>
        </w:tc>
      </w:tr>
      <w:tr w:rsidR="002C7E44" w:rsidRPr="002C7E44" w14:paraId="3A861917" w14:textId="77777777" w:rsidTr="002C7E44">
        <w:trPr>
          <w:trHeight w:val="288"/>
        </w:trPr>
        <w:tc>
          <w:tcPr>
            <w:tcW w:w="1701" w:type="dxa"/>
            <w:tcBorders>
              <w:top w:val="single" w:sz="4" w:space="0" w:color="auto"/>
            </w:tcBorders>
            <w:shd w:val="clear" w:color="auto" w:fill="auto"/>
            <w:noWrap/>
            <w:vAlign w:val="bottom"/>
            <w:hideMark/>
          </w:tcPr>
          <w:p w14:paraId="01CA23EE"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Passenger (pkm)</w:t>
            </w:r>
          </w:p>
        </w:tc>
        <w:tc>
          <w:tcPr>
            <w:tcW w:w="799" w:type="dxa"/>
            <w:tcBorders>
              <w:top w:val="single" w:sz="4" w:space="0" w:color="auto"/>
            </w:tcBorders>
            <w:shd w:val="clear" w:color="auto" w:fill="auto"/>
            <w:noWrap/>
            <w:vAlign w:val="bottom"/>
            <w:hideMark/>
          </w:tcPr>
          <w:p w14:paraId="42D114A3"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Car</w:t>
            </w:r>
          </w:p>
        </w:tc>
        <w:tc>
          <w:tcPr>
            <w:tcW w:w="811" w:type="dxa"/>
            <w:tcBorders>
              <w:top w:val="single" w:sz="4" w:space="0" w:color="auto"/>
            </w:tcBorders>
            <w:shd w:val="clear" w:color="auto" w:fill="auto"/>
            <w:noWrap/>
            <w:vAlign w:val="bottom"/>
            <w:hideMark/>
          </w:tcPr>
          <w:p w14:paraId="6A118D60"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Petrol</w:t>
            </w:r>
          </w:p>
        </w:tc>
        <w:tc>
          <w:tcPr>
            <w:tcW w:w="1539" w:type="dxa"/>
            <w:tcBorders>
              <w:top w:val="single" w:sz="4" w:space="0" w:color="auto"/>
            </w:tcBorders>
            <w:shd w:val="clear" w:color="auto" w:fill="auto"/>
            <w:noWrap/>
            <w:vAlign w:val="bottom"/>
            <w:hideMark/>
          </w:tcPr>
          <w:p w14:paraId="3E699CC1"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7.1</w:t>
            </w:r>
          </w:p>
        </w:tc>
        <w:tc>
          <w:tcPr>
            <w:tcW w:w="1246" w:type="dxa"/>
            <w:tcBorders>
              <w:top w:val="single" w:sz="4" w:space="0" w:color="auto"/>
            </w:tcBorders>
            <w:shd w:val="clear" w:color="auto" w:fill="auto"/>
            <w:noWrap/>
            <w:vAlign w:val="bottom"/>
            <w:hideMark/>
          </w:tcPr>
          <w:p w14:paraId="74AF5BC5"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1.4</w:t>
            </w:r>
          </w:p>
        </w:tc>
        <w:tc>
          <w:tcPr>
            <w:tcW w:w="1275" w:type="dxa"/>
            <w:tcBorders>
              <w:top w:val="single" w:sz="4" w:space="0" w:color="auto"/>
            </w:tcBorders>
            <w:shd w:val="clear" w:color="auto" w:fill="auto"/>
            <w:noWrap/>
            <w:vAlign w:val="bottom"/>
            <w:hideMark/>
          </w:tcPr>
          <w:p w14:paraId="06609599"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1.73</w:t>
            </w:r>
          </w:p>
        </w:tc>
        <w:tc>
          <w:tcPr>
            <w:tcW w:w="1457" w:type="dxa"/>
            <w:tcBorders>
              <w:top w:val="single" w:sz="4" w:space="0" w:color="auto"/>
            </w:tcBorders>
            <w:shd w:val="clear" w:color="auto" w:fill="auto"/>
            <w:noWrap/>
            <w:vAlign w:val="bottom"/>
            <w:hideMark/>
          </w:tcPr>
          <w:p w14:paraId="4257B9F7"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0.0550</w:t>
            </w:r>
          </w:p>
        </w:tc>
      </w:tr>
      <w:tr w:rsidR="002C7E44" w:rsidRPr="002C7E44" w14:paraId="5048E23A" w14:textId="77777777" w:rsidTr="002C7E44">
        <w:trPr>
          <w:trHeight w:val="288"/>
        </w:trPr>
        <w:tc>
          <w:tcPr>
            <w:tcW w:w="1701" w:type="dxa"/>
            <w:shd w:val="clear" w:color="auto" w:fill="auto"/>
            <w:noWrap/>
            <w:vAlign w:val="bottom"/>
            <w:hideMark/>
          </w:tcPr>
          <w:p w14:paraId="457D5176"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Passenger (pkm)</w:t>
            </w:r>
          </w:p>
        </w:tc>
        <w:tc>
          <w:tcPr>
            <w:tcW w:w="799" w:type="dxa"/>
            <w:shd w:val="clear" w:color="auto" w:fill="auto"/>
            <w:noWrap/>
            <w:vAlign w:val="bottom"/>
            <w:hideMark/>
          </w:tcPr>
          <w:p w14:paraId="73AAE7FE"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Car</w:t>
            </w:r>
          </w:p>
        </w:tc>
        <w:tc>
          <w:tcPr>
            <w:tcW w:w="811" w:type="dxa"/>
            <w:shd w:val="clear" w:color="auto" w:fill="auto"/>
            <w:noWrap/>
            <w:vAlign w:val="bottom"/>
            <w:hideMark/>
          </w:tcPr>
          <w:p w14:paraId="7E92EA17"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Diesel</w:t>
            </w:r>
          </w:p>
        </w:tc>
        <w:tc>
          <w:tcPr>
            <w:tcW w:w="1539" w:type="dxa"/>
            <w:shd w:val="clear" w:color="auto" w:fill="auto"/>
            <w:noWrap/>
            <w:vAlign w:val="bottom"/>
            <w:hideMark/>
          </w:tcPr>
          <w:p w14:paraId="652B6712"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8</w:t>
            </w:r>
          </w:p>
        </w:tc>
        <w:tc>
          <w:tcPr>
            <w:tcW w:w="1246" w:type="dxa"/>
            <w:shd w:val="clear" w:color="auto" w:fill="auto"/>
            <w:noWrap/>
            <w:vAlign w:val="bottom"/>
            <w:hideMark/>
          </w:tcPr>
          <w:p w14:paraId="4D1DFAF9"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1.4</w:t>
            </w:r>
          </w:p>
        </w:tc>
        <w:tc>
          <w:tcPr>
            <w:tcW w:w="1275" w:type="dxa"/>
            <w:shd w:val="clear" w:color="auto" w:fill="auto"/>
            <w:noWrap/>
            <w:vAlign w:val="bottom"/>
            <w:hideMark/>
          </w:tcPr>
          <w:p w14:paraId="12320FB5"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1.95</w:t>
            </w:r>
          </w:p>
        </w:tc>
        <w:tc>
          <w:tcPr>
            <w:tcW w:w="1457" w:type="dxa"/>
            <w:shd w:val="clear" w:color="auto" w:fill="auto"/>
            <w:noWrap/>
            <w:vAlign w:val="bottom"/>
            <w:hideMark/>
          </w:tcPr>
          <w:p w14:paraId="25913FCA"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0.0620</w:t>
            </w:r>
          </w:p>
        </w:tc>
      </w:tr>
      <w:tr w:rsidR="002C7E44" w:rsidRPr="002C7E44" w14:paraId="0FB2F69A" w14:textId="77777777" w:rsidTr="002C7E44">
        <w:trPr>
          <w:trHeight w:val="288"/>
        </w:trPr>
        <w:tc>
          <w:tcPr>
            <w:tcW w:w="1701" w:type="dxa"/>
            <w:shd w:val="clear" w:color="auto" w:fill="auto"/>
            <w:noWrap/>
            <w:vAlign w:val="bottom"/>
            <w:hideMark/>
          </w:tcPr>
          <w:p w14:paraId="171BAD9B"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Passenger (pkm)</w:t>
            </w:r>
          </w:p>
        </w:tc>
        <w:tc>
          <w:tcPr>
            <w:tcW w:w="799" w:type="dxa"/>
            <w:shd w:val="clear" w:color="auto" w:fill="auto"/>
            <w:noWrap/>
            <w:vAlign w:val="bottom"/>
            <w:hideMark/>
          </w:tcPr>
          <w:p w14:paraId="1BDFC151"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Car</w:t>
            </w:r>
          </w:p>
        </w:tc>
        <w:tc>
          <w:tcPr>
            <w:tcW w:w="811" w:type="dxa"/>
            <w:shd w:val="clear" w:color="auto" w:fill="auto"/>
            <w:noWrap/>
            <w:vAlign w:val="bottom"/>
            <w:hideMark/>
          </w:tcPr>
          <w:p w14:paraId="72080821"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Electric</w:t>
            </w:r>
          </w:p>
        </w:tc>
        <w:tc>
          <w:tcPr>
            <w:tcW w:w="1539" w:type="dxa"/>
            <w:shd w:val="clear" w:color="auto" w:fill="auto"/>
            <w:noWrap/>
            <w:vAlign w:val="bottom"/>
            <w:hideMark/>
          </w:tcPr>
          <w:p w14:paraId="392CD3AC"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2</w:t>
            </w:r>
          </w:p>
        </w:tc>
        <w:tc>
          <w:tcPr>
            <w:tcW w:w="1246" w:type="dxa"/>
            <w:shd w:val="clear" w:color="auto" w:fill="auto"/>
            <w:noWrap/>
            <w:vAlign w:val="bottom"/>
            <w:hideMark/>
          </w:tcPr>
          <w:p w14:paraId="07C146BA"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1.4</w:t>
            </w:r>
          </w:p>
        </w:tc>
        <w:tc>
          <w:tcPr>
            <w:tcW w:w="1275" w:type="dxa"/>
            <w:shd w:val="clear" w:color="auto" w:fill="auto"/>
            <w:noWrap/>
            <w:vAlign w:val="bottom"/>
            <w:hideMark/>
          </w:tcPr>
          <w:p w14:paraId="1CC30DDC"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0.49</w:t>
            </w:r>
          </w:p>
        </w:tc>
        <w:tc>
          <w:tcPr>
            <w:tcW w:w="1457" w:type="dxa"/>
            <w:shd w:val="clear" w:color="auto" w:fill="auto"/>
            <w:noWrap/>
            <w:vAlign w:val="bottom"/>
            <w:hideMark/>
          </w:tcPr>
          <w:p w14:paraId="01F784EC"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0.0155</w:t>
            </w:r>
          </w:p>
        </w:tc>
      </w:tr>
      <w:tr w:rsidR="002C7E44" w:rsidRPr="002C7E44" w14:paraId="1B7BB3E2" w14:textId="77777777" w:rsidTr="002C7E44">
        <w:trPr>
          <w:trHeight w:val="288"/>
        </w:trPr>
        <w:tc>
          <w:tcPr>
            <w:tcW w:w="1701" w:type="dxa"/>
            <w:shd w:val="clear" w:color="auto" w:fill="auto"/>
            <w:noWrap/>
            <w:vAlign w:val="bottom"/>
            <w:hideMark/>
          </w:tcPr>
          <w:p w14:paraId="5FAB3382"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Passenger (pkm)</w:t>
            </w:r>
          </w:p>
        </w:tc>
        <w:tc>
          <w:tcPr>
            <w:tcW w:w="799" w:type="dxa"/>
            <w:shd w:val="clear" w:color="auto" w:fill="auto"/>
            <w:noWrap/>
            <w:vAlign w:val="bottom"/>
            <w:hideMark/>
          </w:tcPr>
          <w:p w14:paraId="45E3F099"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Bus</w:t>
            </w:r>
          </w:p>
        </w:tc>
        <w:tc>
          <w:tcPr>
            <w:tcW w:w="811" w:type="dxa"/>
            <w:shd w:val="clear" w:color="auto" w:fill="auto"/>
            <w:noWrap/>
            <w:vAlign w:val="bottom"/>
            <w:hideMark/>
          </w:tcPr>
          <w:p w14:paraId="5491E669"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Diesel</w:t>
            </w:r>
          </w:p>
        </w:tc>
        <w:tc>
          <w:tcPr>
            <w:tcW w:w="1539" w:type="dxa"/>
            <w:shd w:val="clear" w:color="auto" w:fill="auto"/>
            <w:noWrap/>
            <w:vAlign w:val="bottom"/>
            <w:hideMark/>
          </w:tcPr>
          <w:p w14:paraId="7C413943"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33.80</w:t>
            </w:r>
          </w:p>
        </w:tc>
        <w:tc>
          <w:tcPr>
            <w:tcW w:w="1246" w:type="dxa"/>
            <w:shd w:val="clear" w:color="auto" w:fill="auto"/>
            <w:noWrap/>
            <w:vAlign w:val="bottom"/>
            <w:hideMark/>
          </w:tcPr>
          <w:p w14:paraId="6D3EA77D"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25</w:t>
            </w:r>
          </w:p>
        </w:tc>
        <w:tc>
          <w:tcPr>
            <w:tcW w:w="1275" w:type="dxa"/>
            <w:shd w:val="clear" w:color="auto" w:fill="auto"/>
            <w:noWrap/>
            <w:vAlign w:val="bottom"/>
            <w:hideMark/>
          </w:tcPr>
          <w:p w14:paraId="17AC52D6"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0.46</w:t>
            </w:r>
          </w:p>
        </w:tc>
        <w:tc>
          <w:tcPr>
            <w:tcW w:w="1457" w:type="dxa"/>
            <w:shd w:val="clear" w:color="auto" w:fill="auto"/>
            <w:noWrap/>
            <w:vAlign w:val="bottom"/>
            <w:hideMark/>
          </w:tcPr>
          <w:p w14:paraId="48F288EC"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0.0147</w:t>
            </w:r>
          </w:p>
        </w:tc>
      </w:tr>
      <w:tr w:rsidR="002C7E44" w:rsidRPr="002C7E44" w14:paraId="16E06B17" w14:textId="77777777" w:rsidTr="002C7E44">
        <w:trPr>
          <w:trHeight w:val="288"/>
        </w:trPr>
        <w:tc>
          <w:tcPr>
            <w:tcW w:w="1701" w:type="dxa"/>
            <w:shd w:val="clear" w:color="auto" w:fill="auto"/>
            <w:noWrap/>
            <w:vAlign w:val="bottom"/>
            <w:hideMark/>
          </w:tcPr>
          <w:p w14:paraId="73B09906"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Passenger (pkm)</w:t>
            </w:r>
          </w:p>
        </w:tc>
        <w:tc>
          <w:tcPr>
            <w:tcW w:w="799" w:type="dxa"/>
            <w:shd w:val="clear" w:color="auto" w:fill="auto"/>
            <w:noWrap/>
            <w:vAlign w:val="bottom"/>
            <w:hideMark/>
          </w:tcPr>
          <w:p w14:paraId="58EB76A9"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Air</w:t>
            </w:r>
          </w:p>
        </w:tc>
        <w:tc>
          <w:tcPr>
            <w:tcW w:w="811" w:type="dxa"/>
            <w:shd w:val="reverseDiagStripe" w:color="000000" w:fill="auto"/>
            <w:noWrap/>
            <w:vAlign w:val="bottom"/>
            <w:hideMark/>
          </w:tcPr>
          <w:p w14:paraId="5C34186B" w14:textId="77777777" w:rsidR="002C7E44" w:rsidRPr="002C7E44" w:rsidRDefault="002C7E44" w:rsidP="002C7E44">
            <w:pPr>
              <w:spacing w:after="0" w:line="240" w:lineRule="auto"/>
              <w:jc w:val="center"/>
              <w:rPr>
                <w:rFonts w:eastAsia="Times New Roman" w:cstheme="minorHAnsi"/>
                <w:color w:val="000000"/>
                <w:sz w:val="20"/>
                <w:szCs w:val="20"/>
                <w:lang w:val="en-US"/>
              </w:rPr>
            </w:pPr>
          </w:p>
        </w:tc>
        <w:tc>
          <w:tcPr>
            <w:tcW w:w="1539" w:type="dxa"/>
            <w:shd w:val="reverseDiagStripe" w:color="000000" w:fill="auto"/>
            <w:noWrap/>
            <w:vAlign w:val="bottom"/>
            <w:hideMark/>
          </w:tcPr>
          <w:p w14:paraId="5599B7B5" w14:textId="77777777" w:rsidR="002C7E44" w:rsidRPr="002C7E44" w:rsidRDefault="002C7E44" w:rsidP="002C7E44">
            <w:pPr>
              <w:spacing w:after="0" w:line="240" w:lineRule="auto"/>
              <w:jc w:val="center"/>
              <w:rPr>
                <w:rFonts w:eastAsia="Times New Roman" w:cstheme="minorHAnsi"/>
                <w:sz w:val="20"/>
                <w:szCs w:val="20"/>
                <w:lang w:val="en-US"/>
              </w:rPr>
            </w:pPr>
          </w:p>
        </w:tc>
        <w:tc>
          <w:tcPr>
            <w:tcW w:w="1246" w:type="dxa"/>
            <w:shd w:val="reverseDiagStripe" w:color="000000" w:fill="auto"/>
            <w:noWrap/>
            <w:vAlign w:val="bottom"/>
            <w:hideMark/>
          </w:tcPr>
          <w:p w14:paraId="052977BE" w14:textId="77777777" w:rsidR="002C7E44" w:rsidRPr="002C7E44" w:rsidRDefault="002C7E44" w:rsidP="002C7E44">
            <w:pPr>
              <w:spacing w:after="0" w:line="240" w:lineRule="auto"/>
              <w:jc w:val="center"/>
              <w:rPr>
                <w:rFonts w:eastAsia="Times New Roman" w:cstheme="minorHAnsi"/>
                <w:sz w:val="20"/>
                <w:szCs w:val="20"/>
                <w:lang w:val="en-US"/>
              </w:rPr>
            </w:pPr>
          </w:p>
        </w:tc>
        <w:tc>
          <w:tcPr>
            <w:tcW w:w="1275" w:type="dxa"/>
            <w:shd w:val="clear" w:color="auto" w:fill="auto"/>
            <w:noWrap/>
            <w:vAlign w:val="bottom"/>
            <w:hideMark/>
          </w:tcPr>
          <w:p w14:paraId="22E37776"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1.5</w:t>
            </w:r>
          </w:p>
        </w:tc>
        <w:tc>
          <w:tcPr>
            <w:tcW w:w="1457" w:type="dxa"/>
            <w:shd w:val="clear" w:color="auto" w:fill="auto"/>
            <w:noWrap/>
            <w:vAlign w:val="bottom"/>
            <w:hideMark/>
          </w:tcPr>
          <w:p w14:paraId="0B6AAFA1"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0.0476</w:t>
            </w:r>
          </w:p>
        </w:tc>
      </w:tr>
      <w:tr w:rsidR="002C7E44" w:rsidRPr="002C7E44" w14:paraId="18E04CB9" w14:textId="77777777" w:rsidTr="002C7E44">
        <w:trPr>
          <w:trHeight w:val="288"/>
        </w:trPr>
        <w:tc>
          <w:tcPr>
            <w:tcW w:w="1701" w:type="dxa"/>
            <w:shd w:val="clear" w:color="auto" w:fill="auto"/>
            <w:noWrap/>
            <w:vAlign w:val="bottom"/>
            <w:hideMark/>
          </w:tcPr>
          <w:p w14:paraId="3A78FC4A"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Passenger (pkm)</w:t>
            </w:r>
          </w:p>
        </w:tc>
        <w:tc>
          <w:tcPr>
            <w:tcW w:w="799" w:type="dxa"/>
            <w:shd w:val="clear" w:color="auto" w:fill="auto"/>
            <w:noWrap/>
            <w:vAlign w:val="bottom"/>
            <w:hideMark/>
          </w:tcPr>
          <w:p w14:paraId="4E737FCB"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Rail</w:t>
            </w:r>
          </w:p>
        </w:tc>
        <w:tc>
          <w:tcPr>
            <w:tcW w:w="811" w:type="dxa"/>
            <w:shd w:val="reverseDiagStripe" w:color="000000" w:fill="auto"/>
            <w:noWrap/>
            <w:vAlign w:val="bottom"/>
            <w:hideMark/>
          </w:tcPr>
          <w:p w14:paraId="3FFA7194" w14:textId="77777777" w:rsidR="002C7E44" w:rsidRPr="002C7E44" w:rsidRDefault="002C7E44" w:rsidP="002C7E44">
            <w:pPr>
              <w:spacing w:after="0" w:line="240" w:lineRule="auto"/>
              <w:jc w:val="center"/>
              <w:rPr>
                <w:rFonts w:eastAsia="Times New Roman" w:cstheme="minorHAnsi"/>
                <w:color w:val="000000"/>
                <w:sz w:val="20"/>
                <w:szCs w:val="20"/>
                <w:lang w:val="en-US"/>
              </w:rPr>
            </w:pPr>
          </w:p>
        </w:tc>
        <w:tc>
          <w:tcPr>
            <w:tcW w:w="1539" w:type="dxa"/>
            <w:shd w:val="reverseDiagStripe" w:color="000000" w:fill="auto"/>
            <w:noWrap/>
            <w:vAlign w:val="bottom"/>
            <w:hideMark/>
          </w:tcPr>
          <w:p w14:paraId="05E404A6" w14:textId="77777777" w:rsidR="002C7E44" w:rsidRPr="002C7E44" w:rsidRDefault="002C7E44" w:rsidP="002C7E44">
            <w:pPr>
              <w:spacing w:after="0" w:line="240" w:lineRule="auto"/>
              <w:jc w:val="center"/>
              <w:rPr>
                <w:rFonts w:eastAsia="Times New Roman" w:cstheme="minorHAnsi"/>
                <w:sz w:val="20"/>
                <w:szCs w:val="20"/>
                <w:lang w:val="en-US"/>
              </w:rPr>
            </w:pPr>
          </w:p>
        </w:tc>
        <w:tc>
          <w:tcPr>
            <w:tcW w:w="1246" w:type="dxa"/>
            <w:shd w:val="reverseDiagStripe" w:color="000000" w:fill="auto"/>
            <w:noWrap/>
            <w:vAlign w:val="bottom"/>
            <w:hideMark/>
          </w:tcPr>
          <w:p w14:paraId="17930B88" w14:textId="77777777" w:rsidR="002C7E44" w:rsidRPr="002C7E44" w:rsidRDefault="002C7E44" w:rsidP="002C7E44">
            <w:pPr>
              <w:spacing w:after="0" w:line="240" w:lineRule="auto"/>
              <w:jc w:val="center"/>
              <w:rPr>
                <w:rFonts w:eastAsia="Times New Roman" w:cstheme="minorHAnsi"/>
                <w:sz w:val="20"/>
                <w:szCs w:val="20"/>
                <w:lang w:val="en-US"/>
              </w:rPr>
            </w:pPr>
          </w:p>
        </w:tc>
        <w:tc>
          <w:tcPr>
            <w:tcW w:w="1275" w:type="dxa"/>
            <w:shd w:val="clear" w:color="auto" w:fill="auto"/>
            <w:noWrap/>
            <w:vAlign w:val="bottom"/>
            <w:hideMark/>
          </w:tcPr>
          <w:p w14:paraId="7F2E0EDC"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0.35</w:t>
            </w:r>
          </w:p>
        </w:tc>
        <w:tc>
          <w:tcPr>
            <w:tcW w:w="1457" w:type="dxa"/>
            <w:shd w:val="clear" w:color="auto" w:fill="auto"/>
            <w:noWrap/>
            <w:vAlign w:val="bottom"/>
            <w:hideMark/>
          </w:tcPr>
          <w:p w14:paraId="24FCFF71"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0.0111</w:t>
            </w:r>
          </w:p>
        </w:tc>
      </w:tr>
      <w:tr w:rsidR="002C7E44" w:rsidRPr="002C7E44" w14:paraId="3DEBD5D3" w14:textId="77777777" w:rsidTr="002C7E44">
        <w:trPr>
          <w:trHeight w:val="288"/>
        </w:trPr>
        <w:tc>
          <w:tcPr>
            <w:tcW w:w="1701" w:type="dxa"/>
            <w:shd w:val="clear" w:color="auto" w:fill="auto"/>
            <w:noWrap/>
            <w:vAlign w:val="bottom"/>
            <w:hideMark/>
          </w:tcPr>
          <w:p w14:paraId="6FEC114C"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Freight (tkm)</w:t>
            </w:r>
          </w:p>
        </w:tc>
        <w:tc>
          <w:tcPr>
            <w:tcW w:w="799" w:type="dxa"/>
            <w:shd w:val="clear" w:color="auto" w:fill="auto"/>
            <w:noWrap/>
            <w:vAlign w:val="bottom"/>
            <w:hideMark/>
          </w:tcPr>
          <w:p w14:paraId="4E60845F"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Rail</w:t>
            </w:r>
          </w:p>
        </w:tc>
        <w:tc>
          <w:tcPr>
            <w:tcW w:w="811" w:type="dxa"/>
            <w:shd w:val="reverseDiagStripe" w:color="000000" w:fill="auto"/>
            <w:noWrap/>
            <w:vAlign w:val="bottom"/>
            <w:hideMark/>
          </w:tcPr>
          <w:p w14:paraId="67C322C6" w14:textId="77777777" w:rsidR="002C7E44" w:rsidRPr="002C7E44" w:rsidRDefault="002C7E44" w:rsidP="002C7E44">
            <w:pPr>
              <w:spacing w:after="0" w:line="240" w:lineRule="auto"/>
              <w:jc w:val="center"/>
              <w:rPr>
                <w:rFonts w:eastAsia="Times New Roman" w:cstheme="minorHAnsi"/>
                <w:color w:val="000000"/>
                <w:sz w:val="20"/>
                <w:szCs w:val="20"/>
                <w:lang w:val="en-US"/>
              </w:rPr>
            </w:pPr>
          </w:p>
        </w:tc>
        <w:tc>
          <w:tcPr>
            <w:tcW w:w="1539" w:type="dxa"/>
            <w:shd w:val="reverseDiagStripe" w:color="000000" w:fill="auto"/>
            <w:noWrap/>
            <w:vAlign w:val="bottom"/>
            <w:hideMark/>
          </w:tcPr>
          <w:p w14:paraId="441A0635" w14:textId="77777777" w:rsidR="002C7E44" w:rsidRPr="002C7E44" w:rsidRDefault="002C7E44" w:rsidP="002C7E44">
            <w:pPr>
              <w:spacing w:after="0" w:line="240" w:lineRule="auto"/>
              <w:jc w:val="center"/>
              <w:rPr>
                <w:rFonts w:eastAsia="Times New Roman" w:cstheme="minorHAnsi"/>
                <w:sz w:val="20"/>
                <w:szCs w:val="20"/>
                <w:lang w:val="en-US"/>
              </w:rPr>
            </w:pPr>
          </w:p>
        </w:tc>
        <w:tc>
          <w:tcPr>
            <w:tcW w:w="1246" w:type="dxa"/>
            <w:shd w:val="reverseDiagStripe" w:color="000000" w:fill="auto"/>
            <w:noWrap/>
            <w:vAlign w:val="bottom"/>
            <w:hideMark/>
          </w:tcPr>
          <w:p w14:paraId="356CF7E5" w14:textId="77777777" w:rsidR="002C7E44" w:rsidRPr="002C7E44" w:rsidRDefault="002C7E44" w:rsidP="002C7E44">
            <w:pPr>
              <w:spacing w:after="0" w:line="240" w:lineRule="auto"/>
              <w:jc w:val="center"/>
              <w:rPr>
                <w:rFonts w:eastAsia="Times New Roman" w:cstheme="minorHAnsi"/>
                <w:sz w:val="20"/>
                <w:szCs w:val="20"/>
                <w:lang w:val="en-US"/>
              </w:rPr>
            </w:pPr>
          </w:p>
        </w:tc>
        <w:tc>
          <w:tcPr>
            <w:tcW w:w="1275" w:type="dxa"/>
            <w:shd w:val="clear" w:color="auto" w:fill="auto"/>
            <w:noWrap/>
            <w:vAlign w:val="bottom"/>
            <w:hideMark/>
          </w:tcPr>
          <w:p w14:paraId="306EE176"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0.33</w:t>
            </w:r>
          </w:p>
        </w:tc>
        <w:tc>
          <w:tcPr>
            <w:tcW w:w="1457" w:type="dxa"/>
            <w:shd w:val="clear" w:color="auto" w:fill="auto"/>
            <w:noWrap/>
            <w:vAlign w:val="bottom"/>
            <w:hideMark/>
          </w:tcPr>
          <w:p w14:paraId="28CC3A78"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0.0105</w:t>
            </w:r>
          </w:p>
        </w:tc>
      </w:tr>
      <w:tr w:rsidR="002C7E44" w:rsidRPr="002C7E44" w14:paraId="7402C67B" w14:textId="77777777" w:rsidTr="002C7E44">
        <w:trPr>
          <w:trHeight w:val="288"/>
        </w:trPr>
        <w:tc>
          <w:tcPr>
            <w:tcW w:w="1701" w:type="dxa"/>
            <w:shd w:val="clear" w:color="auto" w:fill="auto"/>
            <w:noWrap/>
            <w:vAlign w:val="bottom"/>
            <w:hideMark/>
          </w:tcPr>
          <w:p w14:paraId="1B76DD64"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Freight (tkm)</w:t>
            </w:r>
          </w:p>
        </w:tc>
        <w:tc>
          <w:tcPr>
            <w:tcW w:w="799" w:type="dxa"/>
            <w:shd w:val="clear" w:color="auto" w:fill="auto"/>
            <w:noWrap/>
            <w:vAlign w:val="bottom"/>
            <w:hideMark/>
          </w:tcPr>
          <w:p w14:paraId="3A1801B9"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Road</w:t>
            </w:r>
          </w:p>
        </w:tc>
        <w:tc>
          <w:tcPr>
            <w:tcW w:w="811" w:type="dxa"/>
            <w:shd w:val="reverseDiagStripe" w:color="000000" w:fill="auto"/>
            <w:noWrap/>
            <w:vAlign w:val="bottom"/>
            <w:hideMark/>
          </w:tcPr>
          <w:p w14:paraId="4606D91E" w14:textId="77777777" w:rsidR="002C7E44" w:rsidRPr="002C7E44" w:rsidRDefault="002C7E44" w:rsidP="002C7E44">
            <w:pPr>
              <w:spacing w:after="0" w:line="240" w:lineRule="auto"/>
              <w:jc w:val="center"/>
              <w:rPr>
                <w:rFonts w:eastAsia="Times New Roman" w:cstheme="minorHAnsi"/>
                <w:color w:val="000000"/>
                <w:sz w:val="20"/>
                <w:szCs w:val="20"/>
                <w:lang w:val="en-US"/>
              </w:rPr>
            </w:pPr>
          </w:p>
        </w:tc>
        <w:tc>
          <w:tcPr>
            <w:tcW w:w="1539" w:type="dxa"/>
            <w:shd w:val="reverseDiagStripe" w:color="000000" w:fill="auto"/>
            <w:noWrap/>
            <w:vAlign w:val="bottom"/>
            <w:hideMark/>
          </w:tcPr>
          <w:p w14:paraId="0FC4359C" w14:textId="77777777" w:rsidR="002C7E44" w:rsidRPr="002C7E44" w:rsidRDefault="002C7E44" w:rsidP="002C7E44">
            <w:pPr>
              <w:spacing w:after="0" w:line="240" w:lineRule="auto"/>
              <w:jc w:val="center"/>
              <w:rPr>
                <w:rFonts w:eastAsia="Times New Roman" w:cstheme="minorHAnsi"/>
                <w:sz w:val="20"/>
                <w:szCs w:val="20"/>
                <w:lang w:val="en-US"/>
              </w:rPr>
            </w:pPr>
          </w:p>
        </w:tc>
        <w:tc>
          <w:tcPr>
            <w:tcW w:w="1246" w:type="dxa"/>
            <w:shd w:val="reverseDiagStripe" w:color="000000" w:fill="auto"/>
            <w:noWrap/>
            <w:vAlign w:val="bottom"/>
            <w:hideMark/>
          </w:tcPr>
          <w:p w14:paraId="75494FC0" w14:textId="77777777" w:rsidR="002C7E44" w:rsidRPr="002C7E44" w:rsidRDefault="002C7E44" w:rsidP="002C7E44">
            <w:pPr>
              <w:spacing w:after="0" w:line="240" w:lineRule="auto"/>
              <w:jc w:val="center"/>
              <w:rPr>
                <w:rFonts w:eastAsia="Times New Roman" w:cstheme="minorHAnsi"/>
                <w:sz w:val="20"/>
                <w:szCs w:val="20"/>
                <w:lang w:val="en-US"/>
              </w:rPr>
            </w:pPr>
          </w:p>
        </w:tc>
        <w:tc>
          <w:tcPr>
            <w:tcW w:w="1275" w:type="dxa"/>
            <w:shd w:val="clear" w:color="auto" w:fill="auto"/>
            <w:noWrap/>
            <w:vAlign w:val="bottom"/>
            <w:hideMark/>
          </w:tcPr>
          <w:p w14:paraId="18856DCA"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1.21</w:t>
            </w:r>
          </w:p>
        </w:tc>
        <w:tc>
          <w:tcPr>
            <w:tcW w:w="1457" w:type="dxa"/>
            <w:shd w:val="clear" w:color="auto" w:fill="auto"/>
            <w:noWrap/>
            <w:vAlign w:val="bottom"/>
            <w:hideMark/>
          </w:tcPr>
          <w:p w14:paraId="51D1ADBB" w14:textId="77777777" w:rsidR="002C7E44" w:rsidRPr="002C7E44" w:rsidRDefault="002C7E44" w:rsidP="002C7E44">
            <w:pPr>
              <w:spacing w:after="0" w:line="240" w:lineRule="auto"/>
              <w:jc w:val="center"/>
              <w:rPr>
                <w:rFonts w:eastAsia="Times New Roman" w:cstheme="minorHAnsi"/>
                <w:color w:val="000000"/>
                <w:sz w:val="20"/>
                <w:szCs w:val="20"/>
                <w:lang w:val="en-US"/>
              </w:rPr>
            </w:pPr>
            <w:r w:rsidRPr="002C7E44">
              <w:rPr>
                <w:rFonts w:eastAsia="Times New Roman" w:cstheme="minorHAnsi"/>
                <w:color w:val="000000"/>
                <w:sz w:val="20"/>
                <w:szCs w:val="20"/>
                <w:lang w:val="en-US"/>
              </w:rPr>
              <w:t>0.0384</w:t>
            </w:r>
          </w:p>
        </w:tc>
      </w:tr>
    </w:tbl>
    <w:p w14:paraId="3A768A4B" w14:textId="77777777" w:rsidR="009B7ACD" w:rsidRDefault="009B7ACD" w:rsidP="00C37F58">
      <w:pPr>
        <w:rPr>
          <w:lang w:val="en-001"/>
        </w:rPr>
      </w:pPr>
    </w:p>
    <w:p w14:paraId="3FBC0174" w14:textId="18E9EB6B" w:rsidR="00984400" w:rsidRDefault="00984400" w:rsidP="00984400">
      <w:pPr>
        <w:pStyle w:val="Heading3"/>
        <w:rPr>
          <w:lang w:val="en-001"/>
        </w:rPr>
      </w:pPr>
      <w:r>
        <w:rPr>
          <w:lang w:val="en-001"/>
        </w:rPr>
        <w:t>Part 2: Transport capacity</w:t>
      </w:r>
    </w:p>
    <w:p w14:paraId="1F36E814" w14:textId="30147F60" w:rsidR="003D03B5" w:rsidRDefault="002608E9" w:rsidP="00266C86">
      <w:pPr>
        <w:rPr>
          <w:lang w:val="en-001"/>
        </w:rPr>
      </w:pPr>
      <w:r>
        <w:rPr>
          <w:lang w:val="en-001"/>
        </w:rPr>
        <w:t xml:space="preserve">The next step in model development is the introduction of transport capacity, i.e., </w:t>
      </w:r>
      <w:r w:rsidR="00BF0BD2">
        <w:rPr>
          <w:lang w:val="en-001"/>
        </w:rPr>
        <w:t xml:space="preserve">introduction of </w:t>
      </w:r>
      <w:r>
        <w:rPr>
          <w:lang w:val="en-001"/>
        </w:rPr>
        <w:t>vehicles</w:t>
      </w:r>
      <w:r w:rsidR="00BF0BD2">
        <w:rPr>
          <w:lang w:val="en-001"/>
        </w:rPr>
        <w:t>,</w:t>
      </w:r>
      <w:r>
        <w:rPr>
          <w:lang w:val="en-001"/>
        </w:rPr>
        <w:t xml:space="preserve"> characterized by investment costs and technical lifetimes. The vehicles are a means to supply transport demand. </w:t>
      </w:r>
      <w:r w:rsidR="00BF0BD2">
        <w:rPr>
          <w:lang w:val="en-001"/>
        </w:rPr>
        <w:t xml:space="preserve">For simplification, this and the following parts of the model focus only on the passenger transport supplied by car, as this is the only commodity that can be supplied by different technologies (different powertrain types). </w:t>
      </w:r>
      <w:r w:rsidR="00082CBF">
        <w:rPr>
          <w:lang w:val="en-001"/>
        </w:rPr>
        <w:t xml:space="preserve">Introducing the other commodities into the model would make sense from the perspective of energy demand and energy prices (they would increase the overall demand for chosen commodities). However, due to time constraints, these commodities were not added into MESSAGEix-South Africa and </w:t>
      </w:r>
      <w:r w:rsidR="00266C86">
        <w:rPr>
          <w:lang w:val="en-001"/>
        </w:rPr>
        <w:t>were only accounted for manually in the Results section of this work.</w:t>
      </w:r>
    </w:p>
    <w:p w14:paraId="1D676410" w14:textId="57E78026" w:rsidR="00B22D37" w:rsidRPr="00B22D37" w:rsidRDefault="00B22D37" w:rsidP="00266C86">
      <w:pPr>
        <w:rPr>
          <w:lang w:val="en-001"/>
        </w:rPr>
      </w:pPr>
      <w:r>
        <w:rPr>
          <w:lang w:val="en-001"/>
        </w:rPr>
        <w:t xml:space="preserve">The car powertrain types considered in this work were limited to gasoline internal combustion engine (GSLICE), natural gas internal combustion engine (NGICE) and battery electric vehicle with </w:t>
      </w:r>
      <w:r w:rsidR="00393444">
        <w:rPr>
          <w:lang w:val="en-001"/>
        </w:rPr>
        <w:t>a 100-mile</w:t>
      </w:r>
      <w:r>
        <w:rPr>
          <w:lang w:val="en-001"/>
        </w:rPr>
        <w:t xml:space="preserve"> range (EV100). </w:t>
      </w:r>
      <w:r w:rsidR="00393444">
        <w:rPr>
          <w:lang w:val="en-001"/>
        </w:rPr>
        <w:t>The diesel engine was not considered, as the disutility costs (see Part 3 of the methods section in this report) were the same for gasoline and diesel cars.</w:t>
      </w:r>
    </w:p>
    <w:p w14:paraId="30E2CCE2" w14:textId="77777777" w:rsidR="009A6671" w:rsidRDefault="00F917CC" w:rsidP="00FD45BD">
      <w:pPr>
        <w:rPr>
          <w:lang w:val="en-001"/>
        </w:rPr>
      </w:pPr>
      <w:r>
        <w:rPr>
          <w:lang w:val="en-001"/>
        </w:rPr>
        <w:t>The t</w:t>
      </w:r>
      <w:r w:rsidR="00EF131B">
        <w:rPr>
          <w:lang w:val="en-001"/>
        </w:rPr>
        <w:t xml:space="preserve">echnical lifetime of cars was assumed to be an average of 15 years, using the same assumptions as </w:t>
      </w:r>
      <w:r w:rsidR="00EF131B">
        <w:rPr>
          <w:lang w:val="en-001"/>
        </w:rPr>
        <w:fldChar w:fldCharType="begin"/>
      </w:r>
      <w:r w:rsidR="00344119">
        <w:rPr>
          <w:lang w:val="en-001"/>
        </w:rPr>
        <w:instrText xml:space="preserve"> ADDIN ZOTERO_ITEM CSL_CITATION {"citationID":"w3kYZ6SD","properties":{"formattedCitation":"(McCollum et al., 2017, Suppl. Inf.)","plainCitation":"(McCollum et al., 2017, Suppl. Inf.)","noteIndex":0},"citationItems":[{"id":13801,"uris":["http://zotero.org/users/5891677/items/6AU4JA8K"],"itemData":{"id":13801,"type":"article-journal","abstract":"A large body of transport sector-focused research recognizes the complexity of human behavior in relation to mobility. Yet, global integrated assessment models (IAMs), which are widely used to evaluate the costs, potentials, and consequences of different greenhouse gas emission trajectories over the medium-to-long term, typically represent behavior and the end use of energy as a simple rational choice between available alternatives, even though abundant empirical evidence shows that real-world decision making is more complex and less routinely rational. This paper demonstrates the value of incorporating certain features of consumer behavior in IAMs, focusing on light-duty vehicle (LDV) purchase decisions. An innovative model formulation is developed to represent heterogeneous consumer groups with varying preferences for vehicle novelty, range, refueling/recharging availability, and variety. The formulation is then implemented in the transport module of MESSAGE-Transport, a global IAM, although it also has the generic flexibility to be applied in energy-economy models with varying set-ups. Comparison of conventional and ‘behaviorally-realistic’ model runs with respect to vehicle purchase decisions shows that consumer preferences may slow down the transition to alternative fuel (low-carbon) vehicles. Consequently, stronger price-based incentives and/or non-price based measures may be needed to transform the global fleet of passenger vehicles, at least in the initial market phases of novel alternatives. Otherwise, the mitigation burden borne by other transport sub-sectors and other energy sectors could be higher than previously estimated. More generally, capturing behavioral features of energy consumers in global IAMs increases their usefulness to policy makers by allowing a more realistic assessment of a more diverse suite of policies.","container-title":"Transportation Research Part D: Transport and Environment","DOI":"10.1016/j.trd.2016.04.003","ISSN":"1361-9209","journalAbbreviation":"Transportation Research Part D: Transport and Environment","language":"en","page":"322-342","source":"ScienceDirect","title":"Improving the behavioral realism of global integrated assessment models: An application to consumers’ vehicle choices","title-short":"Improving the behavioral realism of global integrated assessment models","volume":"55","author":[{"family":"McCollum","given":"David L."},{"family":"Wilson","given":"Charlie"},{"family":"Pettifor","given":"Hazel"},{"family":"Ramea","given":"Kalai"},{"family":"Krey","given":"Volker"},{"family":"Riahi","given":"Keywan"},{"family":"Bertram","given":"Christoph"},{"family":"Lin","given":"Zhenhong"},{"family":"Edelenbosch","given":"Oreane Y."},{"family":"Fujisawa","given":"Sei"}],"issued":{"date-parts":[["2017",8,1]]}},"suffix":", Suppl. Inf."}],"schema":"https://github.com/citation-style-language/schema/raw/master/csl-citation.json"} </w:instrText>
      </w:r>
      <w:r w:rsidR="00EF131B">
        <w:rPr>
          <w:lang w:val="en-001"/>
        </w:rPr>
        <w:fldChar w:fldCharType="separate"/>
      </w:r>
      <w:r w:rsidR="00344119" w:rsidRPr="00D54865">
        <w:rPr>
          <w:rFonts w:ascii="Calibri" w:hAnsi="Calibri" w:cs="Calibri"/>
          <w:lang w:val="en-US"/>
        </w:rPr>
        <w:t>(McCollum et al., 2017, Suppl. Inf.)</w:t>
      </w:r>
      <w:r w:rsidR="00EF131B">
        <w:rPr>
          <w:lang w:val="en-001"/>
        </w:rPr>
        <w:fldChar w:fldCharType="end"/>
      </w:r>
      <w:r w:rsidR="00EF131B">
        <w:rPr>
          <w:lang w:val="en-001"/>
        </w:rPr>
        <w:t xml:space="preserve"> for </w:t>
      </w:r>
      <w:r w:rsidR="00CC092A">
        <w:rPr>
          <w:lang w:val="en-001"/>
        </w:rPr>
        <w:t>an</w:t>
      </w:r>
      <w:r w:rsidR="00EF131B">
        <w:rPr>
          <w:lang w:val="en-001"/>
        </w:rPr>
        <w:t xml:space="preserve"> average consumer. The investment cost</w:t>
      </w:r>
      <w:r w:rsidR="00CC092A">
        <w:rPr>
          <w:lang w:val="en-001"/>
        </w:rPr>
        <w:t xml:space="preserve"> was calculated based on the baseline vehicle costs shown in the results of </w:t>
      </w:r>
      <w:r w:rsidR="00CC092A">
        <w:rPr>
          <w:lang w:val="en-001"/>
        </w:rPr>
        <w:fldChar w:fldCharType="begin"/>
      </w:r>
      <w:r w:rsidR="00CC092A">
        <w:rPr>
          <w:lang w:val="en-001"/>
        </w:rPr>
        <w:instrText xml:space="preserve"> ADDIN ZOTERO_ITEM CSL_CITATION {"citationID":"41C9rRui","properties":{"formattedCitation":"(McCollum et al., 2017)","plainCitation":"(McCollum et al., 2017)","noteIndex":0},"citationItems":[{"id":13801,"uris":["http://zotero.org/users/5891677/items/6AU4JA8K"],"itemData":{"id":13801,"type":"article-journal","abstract":"A large body of transport sector-focused research recognizes the complexity of human behavior in relation to mobility. Yet, global integrated assessment models (IAMs), which are widely used to evaluate the costs, potentials, and consequences of different greenhouse gas emission trajectories over the medium-to-long term, typically represent behavior and the end use of energy as a simple rational choice between available alternatives, even though abundant empirical evidence shows that real-world decision making is more complex and less routinely rational. This paper demonstrates the value of incorporating certain features of consumer behavior in IAMs, focusing on light-duty vehicle (LDV) purchase decisions. An innovative model formulation is developed to represent heterogeneous consumer groups with varying preferences for vehicle novelty, range, refueling/recharging availability, and variety. The formulation is then implemented in the transport module of MESSAGE-Transport, a global IAM, although it also has the generic flexibility to be applied in energy-economy models with varying set-ups. Comparison of conventional and ‘behaviorally-realistic’ model runs with respect to vehicle purchase decisions shows that consumer preferences may slow down the transition to alternative fuel (low-carbon) vehicles. Consequently, stronger price-based incentives and/or non-price based measures may be needed to transform the global fleet of passenger vehicles, at least in the initial market phases of novel alternatives. Otherwise, the mitigation burden borne by other transport sub-sectors and other energy sectors could be higher than previously estimated. More generally, capturing behavioral features of energy consumers in global IAMs increases their usefulness to policy makers by allowing a more realistic assessment of a more diverse suite of policies.","container-title":"Transportation Research Part D: Transport and Environment","DOI":"10.1016/j.trd.2016.04.003","ISSN":"1361-9209","journalAbbreviation":"Transportation Research Part D: Transport and Environment","language":"en","page":"322-342","source":"ScienceDirect","title":"Improving the behavioral realism of global integrated assessment models: An application to consumers’ vehicle choices","title-short":"Improving the behavioral realism of global integrated assessment models","volume":"55","author":[{"family":"McCollum","given":"David L."},{"family":"Wilson","given":"Charlie"},{"family":"Pettifor","given":"Hazel"},{"family":"Ramea","given":"Kalai"},{"family":"Krey","given":"Volker"},{"family":"Riahi","given":"Keywan"},{"family":"Bertram","given":"Christoph"},{"family":"Lin","given":"Zhenhong"},{"family":"Edelenbosch","given":"Oreane Y."},{"family":"Fujisawa","given":"Sei"}],"issued":{"date-parts":[["2017",8,1]]}}}],"schema":"https://github.com/citation-style-language/schema/raw/master/csl-citation.json"} </w:instrText>
      </w:r>
      <w:r w:rsidR="00CC092A">
        <w:rPr>
          <w:lang w:val="en-001"/>
        </w:rPr>
        <w:fldChar w:fldCharType="separate"/>
      </w:r>
      <w:r w:rsidR="00CC092A" w:rsidRPr="00EF131B">
        <w:rPr>
          <w:rFonts w:ascii="Calibri" w:hAnsi="Calibri" w:cs="Calibri"/>
          <w:lang w:val="en-US"/>
        </w:rPr>
        <w:t>(McCollum et al., 2017)</w:t>
      </w:r>
      <w:r w:rsidR="00CC092A">
        <w:rPr>
          <w:lang w:val="en-001"/>
        </w:rPr>
        <w:fldChar w:fldCharType="end"/>
      </w:r>
      <w:r w:rsidR="00CC092A">
        <w:rPr>
          <w:lang w:val="en-001"/>
        </w:rPr>
        <w:t xml:space="preserve">, assuming African-specific 10400 vehicle-km per year </w:t>
      </w:r>
      <w:r w:rsidR="00CC092A">
        <w:rPr>
          <w:lang w:val="en-001"/>
        </w:rPr>
        <w:fldChar w:fldCharType="begin"/>
      </w:r>
      <w:r w:rsidR="00344119">
        <w:rPr>
          <w:lang w:val="en-001"/>
        </w:rPr>
        <w:instrText xml:space="preserve"> ADDIN ZOTERO_ITEM CSL_CITATION {"citationID":"LF5JSfFb","properties":{"formattedCitation":"(McCollum et al., 2017, Suppl. Inf.)","plainCitation":"(McCollum et al., 2017, Suppl. Inf.)","noteIndex":0},"citationItems":[{"id":13801,"uris":["http://zotero.org/users/5891677/items/6AU4JA8K"],"itemData":{"id":13801,"type":"article-journal","abstract":"A large body of transport sector-focused research recognizes the complexity of human behavior in relation to mobility. Yet, global integrated assessment models (IAMs), which are widely used to evaluate the costs, potentials, and consequences of different greenhouse gas emission trajectories over the medium-to-long term, typically represent behavior and the end use of energy as a simple rational choice between available alternatives, even though abundant empirical evidence shows that real-world decision making is more complex and less routinely rational. This paper demonstrates the value of incorporating certain features of consumer behavior in IAMs, focusing on light-duty vehicle (LDV) purchase decisions. An innovative model formulation is developed to represent heterogeneous consumer groups with varying preferences for vehicle novelty, range, refueling/recharging availability, and variety. The formulation is then implemented in the transport module of MESSAGE-Transport, a global IAM, although it also has the generic flexibility to be applied in energy-economy models with varying set-ups. Comparison of conventional and ‘behaviorally-realistic’ model runs with respect to vehicle purchase decisions shows that consumer preferences may slow down the transition to alternative fuel (low-carbon) vehicles. Consequently, stronger price-based incentives and/or non-price based measures may be needed to transform the global fleet of passenger vehicles, at least in the initial market phases of novel alternatives. Otherwise, the mitigation burden borne by other transport sub-sectors and other energy sectors could be higher than previously estimated. More generally, capturing behavioral features of energy consumers in global IAMs increases their usefulness to policy makers by allowing a more realistic assessment of a more diverse suite of policies.","container-title":"Transportation Research Part D: Transport and Environment","DOI":"10.1016/j.trd.2016.04.003","ISSN":"1361-9209","journalAbbreviation":"Transportation Research Part D: Transport and Environment","language":"en","page":"322-342","source":"ScienceDirect","title":"Improving the behavioral realism of global integrated assessment models: An application to consumers’ vehicle choices","title-short":"Improving the behavioral realism of global integrated assessment models","volume":"55","author":[{"family":"McCollum","given":"David L."},{"family":"Wilson","given":"Charlie"},{"family":"Pettifor","given":"Hazel"},{"family":"Ramea","given":"Kalai"},{"family":"Krey","given":"Volker"},{"family":"Riahi","given":"Keywan"},{"family":"Bertram","given":"Christoph"},{"family":"Lin","given":"Zhenhong"},{"family":"Edelenbosch","given":"Oreane Y."},{"family":"Fujisawa","given":"Sei"}],"issued":{"date-parts":[["2017",8,1]]}},"suffix":", Suppl. Inf."}],"schema":"https://github.com/citation-style-language/schema/raw/master/csl-citation.json"} </w:instrText>
      </w:r>
      <w:r w:rsidR="00CC092A">
        <w:rPr>
          <w:lang w:val="en-001"/>
        </w:rPr>
        <w:fldChar w:fldCharType="separate"/>
      </w:r>
      <w:r w:rsidR="00344119" w:rsidRPr="00D54865">
        <w:rPr>
          <w:rFonts w:ascii="Calibri" w:hAnsi="Calibri" w:cs="Calibri"/>
          <w:lang w:val="en-US"/>
        </w:rPr>
        <w:t>(McCollum et al., 2017, Suppl. Inf.)</w:t>
      </w:r>
      <w:r w:rsidR="00CC092A">
        <w:rPr>
          <w:lang w:val="en-001"/>
        </w:rPr>
        <w:fldChar w:fldCharType="end"/>
      </w:r>
      <w:r w:rsidR="00CC092A">
        <w:rPr>
          <w:lang w:val="en-001"/>
        </w:rPr>
        <w:t xml:space="preserve"> and 1.4 person/vehicle </w:t>
      </w:r>
      <w:r w:rsidR="00CC092A">
        <w:rPr>
          <w:lang w:val="en-001"/>
        </w:rPr>
        <w:fldChar w:fldCharType="begin"/>
      </w:r>
      <w:r w:rsidR="00CC092A">
        <w:rPr>
          <w:lang w:val="en-001"/>
        </w:rPr>
        <w:instrText xml:space="preserve"> ADDIN ZOTERO_ITEM CSL_CITATION {"citationID":"z1VjChY5","properties":{"formattedCitation":"(Merven et al., 2012)","plainCitation":"(Merven et al., 2012)","noteIndex":0},"citationItems":[{"id":14129,"uris":["http://zotero.org/users/5891677/items/SWG3JUKN"],"itemData":{"id":14129,"type":"article-journal","language":"en","page":"78","source":"Zotero","title":"Quantifying the energy needs of the transport sector for South Africa: A bottom‐up model","author":[{"family":"Merven","given":"Bruno"},{"family":"Stone","given":"Adrian"},{"family":"Hughes","given":"Alison"},{"family":"Cohen","given":"Brett"}],"issued":{"date-parts":[["2012"]]}}}],"schema":"https://github.com/citation-style-language/schema/raw/master/csl-citation.json"} </w:instrText>
      </w:r>
      <w:r w:rsidR="00CC092A">
        <w:rPr>
          <w:lang w:val="en-001"/>
        </w:rPr>
        <w:fldChar w:fldCharType="separate"/>
      </w:r>
      <w:r w:rsidR="00CC092A" w:rsidRPr="00CC092A">
        <w:rPr>
          <w:rFonts w:ascii="Calibri" w:hAnsi="Calibri" w:cs="Calibri"/>
          <w:lang w:val="en-US"/>
        </w:rPr>
        <w:t>(Merven et al., 2012)</w:t>
      </w:r>
      <w:r w:rsidR="00CC092A">
        <w:rPr>
          <w:lang w:val="en-001"/>
        </w:rPr>
        <w:fldChar w:fldCharType="end"/>
      </w:r>
      <w:r w:rsidR="00CC092A">
        <w:rPr>
          <w:lang w:val="en-001"/>
        </w:rPr>
        <w:t>.</w:t>
      </w:r>
      <w:r>
        <w:rPr>
          <w:lang w:val="en-001"/>
        </w:rPr>
        <w:t xml:space="preserve"> </w:t>
      </w:r>
      <w:r w:rsidR="009A6671">
        <w:rPr>
          <w:lang w:val="en-001"/>
        </w:rPr>
        <w:t>Taking all these into account, it was possible to calculate the</w:t>
      </w:r>
      <w:r>
        <w:rPr>
          <w:lang w:val="en-001"/>
        </w:rPr>
        <w:t xml:space="preserve"> baseline investment cost </w:t>
      </w:r>
      <w:r w:rsidR="009A6671">
        <w:rPr>
          <w:lang w:val="en-001"/>
        </w:rPr>
        <w:t>and express it in USD/kpkm, which is the form equivalent to other investment costs in the model (USD/kWa)</w:t>
      </w:r>
      <w:r>
        <w:rPr>
          <w:lang w:val="en-001"/>
        </w:rPr>
        <w:t xml:space="preserve">. </w:t>
      </w:r>
    </w:p>
    <w:p w14:paraId="10DC7E96" w14:textId="50298773" w:rsidR="005A2B44" w:rsidRDefault="009A6671" w:rsidP="00FD45BD">
      <w:pPr>
        <w:rPr>
          <w:lang w:val="en-001"/>
        </w:rPr>
      </w:pPr>
      <w:r>
        <w:rPr>
          <w:lang w:val="en-001"/>
        </w:rPr>
        <w:t>In addition</w:t>
      </w:r>
      <w:r w:rsidR="00F917CC">
        <w:rPr>
          <w:lang w:val="en-001"/>
        </w:rPr>
        <w:t>, the cost of the different technologies may change in time</w:t>
      </w:r>
      <w:r w:rsidR="005A2B44">
        <w:rPr>
          <w:lang w:val="en-001"/>
        </w:rPr>
        <w:t xml:space="preserve">, which was also the case with most of the technologies in the MESSAGEix-South Africa model. </w:t>
      </w:r>
      <w:r w:rsidR="00F917CC">
        <w:rPr>
          <w:lang w:val="en-001"/>
        </w:rPr>
        <w:t xml:space="preserve"> </w:t>
      </w:r>
      <w:r w:rsidR="005A2B44">
        <w:rPr>
          <w:lang w:val="en-001"/>
        </w:rPr>
        <w:t>I</w:t>
      </w:r>
      <w:r w:rsidR="00F917CC">
        <w:rPr>
          <w:lang w:val="en-001"/>
        </w:rPr>
        <w:t xml:space="preserve">n this work, we assume that the cost of </w:t>
      </w:r>
      <w:r w:rsidR="005A2B44">
        <w:rPr>
          <w:lang w:val="en-001"/>
        </w:rPr>
        <w:t>different car technologies changes just like the cost of powerplant technologies in the MESSAGEix-South Africa model. The g</w:t>
      </w:r>
      <w:r w:rsidR="00F917CC">
        <w:rPr>
          <w:lang w:val="en-001"/>
        </w:rPr>
        <w:t xml:space="preserve">asoline cars </w:t>
      </w:r>
      <w:r w:rsidR="00582384">
        <w:rPr>
          <w:lang w:val="en-001"/>
        </w:rPr>
        <w:t>have</w:t>
      </w:r>
      <w:r w:rsidR="00F917CC">
        <w:rPr>
          <w:lang w:val="en-001"/>
        </w:rPr>
        <w:t xml:space="preserve"> constant</w:t>
      </w:r>
      <w:r w:rsidR="005A2B44">
        <w:rPr>
          <w:lang w:val="en-001"/>
        </w:rPr>
        <w:t xml:space="preserve"> </w:t>
      </w:r>
      <w:r w:rsidR="00582384">
        <w:rPr>
          <w:lang w:val="en-001"/>
        </w:rPr>
        <w:t xml:space="preserve">costs </w:t>
      </w:r>
      <w:r w:rsidR="005A2B44">
        <w:rPr>
          <w:lang w:val="en-001"/>
        </w:rPr>
        <w:t>just like</w:t>
      </w:r>
      <w:r w:rsidR="00582384">
        <w:rPr>
          <w:lang w:val="en-001"/>
        </w:rPr>
        <w:t xml:space="preserve"> </w:t>
      </w:r>
      <w:r w:rsidR="005A2B44">
        <w:rPr>
          <w:lang w:val="en-001"/>
        </w:rPr>
        <w:t xml:space="preserve">light oil power plants </w:t>
      </w:r>
      <w:r w:rsidR="005A2B44">
        <w:rPr>
          <w:lang w:val="en-001"/>
        </w:rPr>
        <w:lastRenderedPageBreak/>
        <w:t>(loil_ppl)</w:t>
      </w:r>
      <w:r w:rsidR="00F917CC">
        <w:rPr>
          <w:lang w:val="en-001"/>
        </w:rPr>
        <w:t xml:space="preserve">, natural gas </w:t>
      </w:r>
      <w:r w:rsidR="005A2B44">
        <w:rPr>
          <w:lang w:val="en-001"/>
        </w:rPr>
        <w:t xml:space="preserve">vehicles </w:t>
      </w:r>
      <w:r w:rsidR="00582384">
        <w:rPr>
          <w:lang w:val="en-001"/>
        </w:rPr>
        <w:t>get slightly</w:t>
      </w:r>
      <w:r w:rsidR="005A2B44">
        <w:rPr>
          <w:lang w:val="en-001"/>
        </w:rPr>
        <w:t xml:space="preserve"> </w:t>
      </w:r>
      <w:r w:rsidR="00582384">
        <w:rPr>
          <w:lang w:val="en-001"/>
        </w:rPr>
        <w:t>cheaper</w:t>
      </w:r>
      <w:r w:rsidR="005A2B44">
        <w:rPr>
          <w:lang w:val="en-001"/>
        </w:rPr>
        <w:t xml:space="preserve"> just like gas power plants (gas_ppl), and electric vehicles </w:t>
      </w:r>
      <w:r w:rsidR="00582384">
        <w:rPr>
          <w:lang w:val="en-001"/>
        </w:rPr>
        <w:t>get significantly cheaper just like</w:t>
      </w:r>
      <w:r w:rsidR="005A2B44">
        <w:rPr>
          <w:lang w:val="en-001"/>
        </w:rPr>
        <w:t xml:space="preserve"> solar panel powerplants (solar_pv_ppl), see Figure 2.  </w:t>
      </w:r>
    </w:p>
    <w:p w14:paraId="54EBE37A" w14:textId="77777777" w:rsidR="00F917CC" w:rsidRDefault="00B22D37" w:rsidP="00F917CC">
      <w:pPr>
        <w:keepNext/>
      </w:pPr>
      <w:r>
        <w:rPr>
          <w:noProof/>
        </w:rPr>
        <w:drawing>
          <wp:inline distT="0" distB="0" distL="0" distR="0" wp14:anchorId="25C4E97A" wp14:editId="56B0A354">
            <wp:extent cx="5731510" cy="2262505"/>
            <wp:effectExtent l="0" t="0" r="2540" b="4445"/>
            <wp:docPr id="3" name="Chart 3">
              <a:extLst xmlns:a="http://schemas.openxmlformats.org/drawingml/2006/main">
                <a:ext uri="{FF2B5EF4-FFF2-40B4-BE49-F238E27FC236}">
                  <a16:creationId xmlns:a16="http://schemas.microsoft.com/office/drawing/2014/main" id="{266BC27A-7BC0-4E13-ABBB-50088A6844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C10DAB" w14:textId="53B4FFC1" w:rsidR="00B22D37" w:rsidRDefault="00F917CC" w:rsidP="00F917CC">
      <w:pPr>
        <w:pStyle w:val="Caption"/>
        <w:rPr>
          <w:lang w:val="en-001"/>
        </w:rPr>
      </w:pPr>
      <w:r w:rsidRPr="00F917CC">
        <w:rPr>
          <w:lang w:val="en-US"/>
        </w:rPr>
        <w:t xml:space="preserve">Figure </w:t>
      </w:r>
      <w:r>
        <w:fldChar w:fldCharType="begin"/>
      </w:r>
      <w:r w:rsidRPr="00F917CC">
        <w:rPr>
          <w:lang w:val="en-US"/>
        </w:rPr>
        <w:instrText xml:space="preserve"> SEQ Figure \* ARABIC </w:instrText>
      </w:r>
      <w:r>
        <w:fldChar w:fldCharType="separate"/>
      </w:r>
      <w:r w:rsidR="00693D70">
        <w:rPr>
          <w:noProof/>
          <w:lang w:val="en-US"/>
        </w:rPr>
        <w:t>2</w:t>
      </w:r>
      <w:r>
        <w:fldChar w:fldCharType="end"/>
      </w:r>
      <w:r>
        <w:rPr>
          <w:lang w:val="en-001"/>
        </w:rPr>
        <w:t>: The cost of technologies</w:t>
      </w:r>
      <w:r w:rsidR="005A2B44">
        <w:rPr>
          <w:lang w:val="en-001"/>
        </w:rPr>
        <w:t xml:space="preserve"> </w:t>
      </w:r>
      <w:r>
        <w:rPr>
          <w:lang w:val="en-001"/>
        </w:rPr>
        <w:t xml:space="preserve">in time. Assumption: gas_ppl </w:t>
      </w:r>
      <w:r>
        <w:rPr>
          <w:rFonts w:cstheme="minorHAnsi"/>
          <w:lang w:val="en-001"/>
        </w:rPr>
        <w:t>≈</w:t>
      </w:r>
      <w:r>
        <w:rPr>
          <w:lang w:val="en-001"/>
        </w:rPr>
        <w:t xml:space="preserve"> NGICE, loil_ppl </w:t>
      </w:r>
      <w:r>
        <w:rPr>
          <w:rFonts w:cstheme="minorHAnsi"/>
          <w:lang w:val="en-001"/>
        </w:rPr>
        <w:t>≈</w:t>
      </w:r>
      <w:r>
        <w:rPr>
          <w:lang w:val="en-001"/>
        </w:rPr>
        <w:t xml:space="preserve"> GSLICE, solar_pv_ppl </w:t>
      </w:r>
      <w:r>
        <w:rPr>
          <w:rFonts w:cstheme="minorHAnsi"/>
          <w:lang w:val="en-001"/>
        </w:rPr>
        <w:t>≈</w:t>
      </w:r>
      <w:r>
        <w:rPr>
          <w:lang w:val="en-001"/>
        </w:rPr>
        <w:t xml:space="preserve"> EV100.</w:t>
      </w:r>
    </w:p>
    <w:p w14:paraId="0CABF5DC" w14:textId="60359F50" w:rsidR="00984400" w:rsidRDefault="00984400" w:rsidP="00984400">
      <w:pPr>
        <w:pStyle w:val="Heading3"/>
        <w:rPr>
          <w:lang w:val="en-001"/>
        </w:rPr>
      </w:pPr>
      <w:r>
        <w:rPr>
          <w:lang w:val="en-001"/>
        </w:rPr>
        <w:t>Part 3: Elements of behavioral realism in transport</w:t>
      </w:r>
    </w:p>
    <w:p w14:paraId="6C5BC6C4" w14:textId="1C139C0F" w:rsidR="003D03B5" w:rsidRDefault="00B904C1" w:rsidP="00FD45BD">
      <w:pPr>
        <w:rPr>
          <w:lang w:val="en-001"/>
        </w:rPr>
      </w:pPr>
      <w:r>
        <w:rPr>
          <w:lang w:val="en-001"/>
        </w:rPr>
        <w:t xml:space="preserve">Finally, the model </w:t>
      </w:r>
      <w:r w:rsidR="006529D8">
        <w:rPr>
          <w:lang w:val="en-001"/>
        </w:rPr>
        <w:t xml:space="preserve">can be extended to include various consumer groups with different vehicle preferences, reflected in disutility costs, which are added to the investment costs. </w:t>
      </w:r>
      <w:r w:rsidR="00802193">
        <w:rPr>
          <w:lang w:val="en-001"/>
        </w:rPr>
        <w:t xml:space="preserve">This in turn introduces some aspects of behavioral realism to the model – the fact that different consumers choose different cars, independently of objective investment costs, but rather dependent on preferences, life situation, infrastructure etc. </w:t>
      </w:r>
      <w:r w:rsidR="009C079B">
        <w:rPr>
          <w:lang w:val="en-001"/>
        </w:rPr>
        <w:t xml:space="preserve">The </w:t>
      </w:r>
      <w:r w:rsidR="00802193">
        <w:rPr>
          <w:lang w:val="en-001"/>
        </w:rPr>
        <w:t xml:space="preserve">full model by </w:t>
      </w:r>
      <w:r w:rsidR="00802193">
        <w:rPr>
          <w:lang w:val="en-001"/>
        </w:rPr>
        <w:fldChar w:fldCharType="begin"/>
      </w:r>
      <w:r w:rsidR="00802193">
        <w:rPr>
          <w:lang w:val="en-001"/>
        </w:rPr>
        <w:instrText xml:space="preserve"> ADDIN ZOTERO_ITEM CSL_CITATION {"citationID":"FFQ2SiYS","properties":{"formattedCitation":"(McCollum et al., 2017)","plainCitation":"(McCollum et al., 2017)","noteIndex":0},"citationItems":[{"id":13801,"uris":["http://zotero.org/users/5891677/items/6AU4JA8K"],"itemData":{"id":13801,"type":"article-journal","abstract":"A large body of transport sector-focused research recognizes the complexity of human behavior in relation to mobility. Yet, global integrated assessment models (IAMs), which are widely used to evaluate the costs, potentials, and consequences of different greenhouse gas emission trajectories over the medium-to-long term, typically represent behavior and the end use of energy as a simple rational choice between available alternatives, even though abundant empirical evidence shows that real-world decision making is more complex and less routinely rational. This paper demonstrates the value of incorporating certain features of consumer behavior in IAMs, focusing on light-duty vehicle (LDV) purchase decisions. An innovative model formulation is developed to represent heterogeneous consumer groups with varying preferences for vehicle novelty, range, refueling/recharging availability, and variety. The formulation is then implemented in the transport module of MESSAGE-Transport, a global IAM, although it also has the generic flexibility to be applied in energy-economy models with varying set-ups. Comparison of conventional and ‘behaviorally-realistic’ model runs with respect to vehicle purchase decisions shows that consumer preferences may slow down the transition to alternative fuel (low-carbon) vehicles. Consequently, stronger price-based incentives and/or non-price based measures may be needed to transform the global fleet of passenger vehicles, at least in the initial market phases of novel alternatives. Otherwise, the mitigation burden borne by other transport sub-sectors and other energy sectors could be higher than previously estimated. More generally, capturing behavioral features of energy consumers in global IAMs increases their usefulness to policy makers by allowing a more realistic assessment of a more diverse suite of policies.","container-title":"Transportation Research Part D: Transport and Environment","DOI":"10.1016/j.trd.2016.04.003","ISSN":"1361-9209","journalAbbreviation":"Transportation Research Part D: Transport and Environment","language":"en","page":"322-342","source":"ScienceDirect","title":"Improving the behavioral realism of global integrated assessment models: An application to consumers’ vehicle choices","title-short":"Improving the behavioral realism of global integrated assessment models","volume":"55","author":[{"family":"McCollum","given":"David L."},{"family":"Wilson","given":"Charlie"},{"family":"Pettifor","given":"Hazel"},{"family":"Ramea","given":"Kalai"},{"family":"Krey","given":"Volker"},{"family":"Riahi","given":"Keywan"},{"family":"Bertram","given":"Christoph"},{"family":"Lin","given":"Zhenhong"},{"family":"Edelenbosch","given":"Oreane Y."},{"family":"Fujisawa","given":"Sei"}],"issued":{"date-parts":[["2017",8,1]]}}}],"schema":"https://github.com/citation-style-language/schema/raw/master/csl-citation.json"} </w:instrText>
      </w:r>
      <w:r w:rsidR="00802193">
        <w:rPr>
          <w:lang w:val="en-001"/>
        </w:rPr>
        <w:fldChar w:fldCharType="separate"/>
      </w:r>
      <w:r w:rsidR="00802193" w:rsidRPr="00802193">
        <w:rPr>
          <w:rFonts w:ascii="Calibri" w:hAnsi="Calibri" w:cs="Calibri"/>
          <w:lang w:val="en-US"/>
        </w:rPr>
        <w:t>(McCollum et al., 2017)</w:t>
      </w:r>
      <w:r w:rsidR="00802193">
        <w:rPr>
          <w:lang w:val="en-001"/>
        </w:rPr>
        <w:fldChar w:fldCharType="end"/>
      </w:r>
      <w:r w:rsidR="00802193">
        <w:rPr>
          <w:lang w:val="en-001"/>
        </w:rPr>
        <w:t xml:space="preserve">, </w:t>
      </w:r>
      <w:r w:rsidR="009C079B">
        <w:rPr>
          <w:lang w:val="en-001"/>
        </w:rPr>
        <w:t>included</w:t>
      </w:r>
      <w:r w:rsidR="00802193">
        <w:rPr>
          <w:lang w:val="en-001"/>
        </w:rPr>
        <w:t xml:space="preserve"> 27</w:t>
      </w:r>
      <w:r w:rsidR="009C079B">
        <w:rPr>
          <w:lang w:val="en-001"/>
        </w:rPr>
        <w:t xml:space="preserve"> consumer</w:t>
      </w:r>
      <w:r w:rsidR="00802193">
        <w:rPr>
          <w:lang w:val="en-001"/>
        </w:rPr>
        <w:t xml:space="preserve"> groups</w:t>
      </w:r>
      <w:r w:rsidR="009C079B">
        <w:rPr>
          <w:lang w:val="en-001"/>
        </w:rPr>
        <w:t xml:space="preserve">. The frameowkr </w:t>
      </w:r>
      <w:r w:rsidR="00802193">
        <w:rPr>
          <w:lang w:val="en-001"/>
        </w:rPr>
        <w:t xml:space="preserve">included three layers of disaggregation, </w:t>
      </w:r>
      <w:r w:rsidR="009C079B">
        <w:rPr>
          <w:lang w:val="en-001"/>
        </w:rPr>
        <w:t>each with</w:t>
      </w:r>
      <w:r w:rsidR="00802193">
        <w:rPr>
          <w:lang w:val="en-001"/>
        </w:rPr>
        <w:t xml:space="preserve"> 3 types of consumers: 1) attitude toward technology/risk (early adopter, early majority, late majority); 2) settlement type (urban, suburban, rural); 3) driving intensity (frequent, average, modest driver).</w:t>
      </w:r>
      <w:r w:rsidR="005221AC">
        <w:rPr>
          <w:lang w:val="en-001"/>
        </w:rPr>
        <w:t xml:space="preserve"> In this work</w:t>
      </w:r>
      <w:r w:rsidR="009C079B">
        <w:rPr>
          <w:lang w:val="en-001"/>
        </w:rPr>
        <w:t>, only the second layer (settlement type) was considered.</w:t>
      </w:r>
    </w:p>
    <w:p w14:paraId="1EE66DD3" w14:textId="1D84725D" w:rsidR="0014189D" w:rsidRPr="0026468A" w:rsidRDefault="00B03BB6" w:rsidP="00FD45BD">
      <w:pPr>
        <w:rPr>
          <w:lang w:val="en-001"/>
        </w:rPr>
      </w:pPr>
      <w:r>
        <w:rPr>
          <w:lang w:val="en-001"/>
        </w:rPr>
        <w:t xml:space="preserve">The settlement type </w:t>
      </w:r>
      <w:r w:rsidR="0014189D">
        <w:rPr>
          <w:lang w:val="en-001"/>
        </w:rPr>
        <w:t>disaggregation</w:t>
      </w:r>
      <w:r>
        <w:rPr>
          <w:lang w:val="en-001"/>
        </w:rPr>
        <w:t xml:space="preserve"> can be based on predictions for the share of population living in urban areas </w:t>
      </w:r>
      <w:r w:rsidR="0026468A">
        <w:rPr>
          <w:lang w:val="en-001"/>
        </w:rPr>
        <w:fldChar w:fldCharType="begin"/>
      </w:r>
      <w:r w:rsidR="0026468A">
        <w:rPr>
          <w:lang w:val="en-001"/>
        </w:rPr>
        <w:instrText xml:space="preserve"> ADDIN ZOTERO_ITEM CSL_CITATION {"citationID":"5S89x9dr","properties":{"formattedCitation":"(IIASA Energy Program, 2018)","plainCitation":"(IIASA Energy Program, 2018)","noteIndex":0},"citationItems":[{"id":14093,"uris":["http://zotero.org/users/5891677/items/3ALG2ZBM"],"itemData":{"id":14093,"type":"webpage","title":"SSP Public Database (Version 1.1)","URL":"https://tntcat.iiasa.ac.at/SspDb/","author":[{"literal":"IIASA Energy Program"}],"issued":{"date-parts":[["2018"]]}}}],"schema":"https://github.com/citation-style-language/schema/raw/master/csl-citation.json"} </w:instrText>
      </w:r>
      <w:r w:rsidR="0026468A">
        <w:rPr>
          <w:lang w:val="en-001"/>
        </w:rPr>
        <w:fldChar w:fldCharType="separate"/>
      </w:r>
      <w:r w:rsidR="0026468A" w:rsidRPr="00262965">
        <w:rPr>
          <w:rFonts w:ascii="Calibri" w:hAnsi="Calibri" w:cs="Calibri"/>
          <w:lang w:val="en-US"/>
        </w:rPr>
        <w:t>(IIASA Energy Program, 2018)</w:t>
      </w:r>
      <w:r w:rsidR="0026468A">
        <w:rPr>
          <w:lang w:val="en-001"/>
        </w:rPr>
        <w:fldChar w:fldCharType="end"/>
      </w:r>
      <w:r w:rsidR="0026468A">
        <w:rPr>
          <w:lang w:val="en-001"/>
        </w:rPr>
        <w:t xml:space="preserve">, and assuming that 5% of the population in the urban area is actually suburban </w:t>
      </w:r>
      <w:r w:rsidR="0026468A">
        <w:rPr>
          <w:lang w:val="en-001"/>
        </w:rPr>
        <w:fldChar w:fldCharType="begin"/>
      </w:r>
      <w:r w:rsidR="00344119">
        <w:rPr>
          <w:lang w:val="en-001"/>
        </w:rPr>
        <w:instrText xml:space="preserve"> ADDIN ZOTERO_ITEM CSL_CITATION {"citationID":"NJpalIg6","properties":{"formattedCitation":"(McCollum et al., 2017, Suppl. Inf.)","plainCitation":"(McCollum et al., 2017, Suppl. Inf.)","noteIndex":0},"citationItems":[{"id":13801,"uris":["http://zotero.org/users/5891677/items/6AU4JA8K"],"itemData":{"id":13801,"type":"article-journal","abstract":"A large body of transport sector-focused research recognizes the complexity of human behavior in relation to mobility. Yet, global integrated assessment models (IAMs), which are widely used to evaluate the costs, potentials, and consequences of different greenhouse gas emission trajectories over the medium-to-long term, typically represent behavior and the end use of energy as a simple rational choice between available alternatives, even though abundant empirical evidence shows that real-world decision making is more complex and less routinely rational. This paper demonstrates the value of incorporating certain features of consumer behavior in IAMs, focusing on light-duty vehicle (LDV) purchase decisions. An innovative model formulation is developed to represent heterogeneous consumer groups with varying preferences for vehicle novelty, range, refueling/recharging availability, and variety. The formulation is then implemented in the transport module of MESSAGE-Transport, a global IAM, although it also has the generic flexibility to be applied in energy-economy models with varying set-ups. Comparison of conventional and ‘behaviorally-realistic’ model runs with respect to vehicle purchase decisions shows that consumer preferences may slow down the transition to alternative fuel (low-carbon) vehicles. Consequently, stronger price-based incentives and/or non-price based measures may be needed to transform the global fleet of passenger vehicles, at least in the initial market phases of novel alternatives. Otherwise, the mitigation burden borne by other transport sub-sectors and other energy sectors could be higher than previously estimated. More generally, capturing behavioral features of energy consumers in global IAMs increases their usefulness to policy makers by allowing a more realistic assessment of a more diverse suite of policies.","container-title":"Transportation Research Part D: Transport and Environment","DOI":"10.1016/j.trd.2016.04.003","ISSN":"1361-9209","journalAbbreviation":"Transportation Research Part D: Transport and Environment","language":"en","page":"322-342","source":"ScienceDirect","title":"Improving the behavioral realism of global integrated assessment models: An application to consumers’ vehicle choices","title-short":"Improving the behavioral realism of global integrated assessment models","volume":"55","author":[{"family":"McCollum","given":"David L."},{"family":"Wilson","given":"Charlie"},{"family":"Pettifor","given":"Hazel"},{"family":"Ramea","given":"Kalai"},{"family":"Krey","given":"Volker"},{"family":"Riahi","given":"Keywan"},{"family":"Bertram","given":"Christoph"},{"family":"Lin","given":"Zhenhong"},{"family":"Edelenbosch","given":"Oreane Y."},{"family":"Fujisawa","given":"Sei"}],"issued":{"date-parts":[["2017",8,1]]}},"suffix":", Suppl. Inf."}],"schema":"https://github.com/citation-style-language/schema/raw/master/csl-citation.json"} </w:instrText>
      </w:r>
      <w:r w:rsidR="0026468A">
        <w:rPr>
          <w:lang w:val="en-001"/>
        </w:rPr>
        <w:fldChar w:fldCharType="separate"/>
      </w:r>
      <w:r w:rsidR="00344119" w:rsidRPr="00344119">
        <w:rPr>
          <w:rFonts w:ascii="Calibri" w:hAnsi="Calibri" w:cs="Calibri"/>
          <w:lang w:val="en-US"/>
        </w:rPr>
        <w:t>(McCollum et al., 2017, Suppl. Inf.)</w:t>
      </w:r>
      <w:r w:rsidR="0026468A">
        <w:rPr>
          <w:lang w:val="en-001"/>
        </w:rPr>
        <w:fldChar w:fldCharType="end"/>
      </w:r>
      <w:r w:rsidR="0026468A">
        <w:rPr>
          <w:lang w:val="en-001"/>
        </w:rPr>
        <w:t xml:space="preserve">. </w:t>
      </w:r>
      <w:r w:rsidR="00344119">
        <w:rPr>
          <w:lang w:val="en-001"/>
        </w:rPr>
        <w:t xml:space="preserve">Furthermore, </w:t>
      </w:r>
      <w:r w:rsidR="002151DF">
        <w:rPr>
          <w:lang w:val="en-001"/>
        </w:rPr>
        <w:t xml:space="preserve">it is assumed that the mobility of the different consumer groups is on average the same, i.e., the </w:t>
      </w:r>
      <w:r w:rsidR="00E46A70">
        <w:rPr>
          <w:lang w:val="en-001"/>
        </w:rPr>
        <w:t xml:space="preserve">passenger transport demand can be disaggregated in the same way as the population. </w:t>
      </w:r>
    </w:p>
    <w:p w14:paraId="5CAC660B" w14:textId="76832DDA" w:rsidR="006529D8" w:rsidRDefault="0014189D" w:rsidP="00FD45BD">
      <w:pPr>
        <w:rPr>
          <w:lang w:val="en-001"/>
        </w:rPr>
      </w:pPr>
      <w:r>
        <w:rPr>
          <w:lang w:val="en-001"/>
        </w:rPr>
        <w:t xml:space="preserve">After the demand has been disaggregated, disutility costs can be added to reflect varying preferences of people living in different settlement types. The disutility costs were taken from the Supplementary Information of </w:t>
      </w:r>
      <w:r>
        <w:rPr>
          <w:lang w:val="en-001"/>
        </w:rPr>
        <w:fldChar w:fldCharType="begin"/>
      </w:r>
      <w:r>
        <w:rPr>
          <w:lang w:val="en-001"/>
        </w:rPr>
        <w:instrText xml:space="preserve"> ADDIN ZOTERO_ITEM CSL_CITATION {"citationID":"gqIUGpVL","properties":{"formattedCitation":"(McCollum et al., 2017)","plainCitation":"(McCollum et al., 2017)","noteIndex":0},"citationItems":[{"id":13801,"uris":["http://zotero.org/users/5891677/items/6AU4JA8K"],"itemData":{"id":13801,"type":"article-journal","abstract":"A large body of transport sector-focused research recognizes the complexity of human behavior in relation to mobility. Yet, global integrated assessment models (IAMs), which are widely used to evaluate the costs, potentials, and consequences of different greenhouse gas emission trajectories over the medium-to-long term, typically represent behavior and the end use of energy as a simple rational choice between available alternatives, even though abundant empirical evidence shows that real-world decision making is more complex and less routinely rational. This paper demonstrates the value of incorporating certain features of consumer behavior in IAMs, focusing on light-duty vehicle (LDV) purchase decisions. An innovative model formulation is developed to represent heterogeneous consumer groups with varying preferences for vehicle novelty, range, refueling/recharging availability, and variety. The formulation is then implemented in the transport module of MESSAGE-Transport, a global IAM, although it also has the generic flexibility to be applied in energy-economy models with varying set-ups. Comparison of conventional and ‘behaviorally-realistic’ model runs with respect to vehicle purchase decisions shows that consumer preferences may slow down the transition to alternative fuel (low-carbon) vehicles. Consequently, stronger price-based incentives and/or non-price based measures may be needed to transform the global fleet of passenger vehicles, at least in the initial market phases of novel alternatives. Otherwise, the mitigation burden borne by other transport sub-sectors and other energy sectors could be higher than previously estimated. More generally, capturing behavioral features of energy consumers in global IAMs increases their usefulness to policy makers by allowing a more realistic assessment of a more diverse suite of policies.","container-title":"Transportation Research Part D: Transport and Environment","DOI":"10.1016/j.trd.2016.04.003","ISSN":"1361-9209","journalAbbreviation":"Transportation Research Part D: Transport and Environment","language":"en","page":"322-342","source":"ScienceDirect","title":"Improving the behavioral realism of global integrated assessment models: An application to consumers’ vehicle choices","title-short":"Improving the behavioral realism of global integrated assessment models","volume":"55","author":[{"family":"McCollum","given":"David L."},{"family":"Wilson","given":"Charlie"},{"family":"Pettifor","given":"Hazel"},{"family":"Ramea","given":"Kalai"},{"family":"Krey","given":"Volker"},{"family":"Riahi","given":"Keywan"},{"family":"Bertram","given":"Christoph"},{"family":"Lin","given":"Zhenhong"},{"family":"Edelenbosch","given":"Oreane Y."},{"family":"Fujisawa","given":"Sei"}],"issued":{"date-parts":[["2017",8,1]]}}}],"schema":"https://github.com/citation-style-language/schema/raw/master/csl-citation.json"} </w:instrText>
      </w:r>
      <w:r>
        <w:rPr>
          <w:lang w:val="en-001"/>
        </w:rPr>
        <w:fldChar w:fldCharType="separate"/>
      </w:r>
      <w:r w:rsidRPr="0014189D">
        <w:rPr>
          <w:rFonts w:ascii="Calibri" w:hAnsi="Calibri" w:cs="Calibri"/>
          <w:lang w:val="en-001"/>
        </w:rPr>
        <w:t>(McCollum et al., 2017)</w:t>
      </w:r>
      <w:r>
        <w:rPr>
          <w:lang w:val="en-001"/>
        </w:rPr>
        <w:fldChar w:fldCharType="end"/>
      </w:r>
      <w:r>
        <w:rPr>
          <w:lang w:val="en-001"/>
        </w:rPr>
        <w:t>, taking into account that the</w:t>
      </w:r>
      <w:r w:rsidR="009A6671">
        <w:rPr>
          <w:lang w:val="en-001"/>
        </w:rPr>
        <w:t xml:space="preserve"> data is given as $1000/vehicle and we first need to convert it to $/kpkm, just like in case of the baseline investment costs calculated in Step 2.</w:t>
      </w:r>
    </w:p>
    <w:p w14:paraId="3AB4430A" w14:textId="77777777" w:rsidR="00AA77B6" w:rsidRDefault="00AA77B6">
      <w:pPr>
        <w:rPr>
          <w:rFonts w:asciiTheme="majorHAnsi" w:eastAsiaTheme="majorEastAsia" w:hAnsiTheme="majorHAnsi" w:cstheme="majorBidi"/>
          <w:color w:val="2F5496" w:themeColor="accent1" w:themeShade="BF"/>
          <w:sz w:val="26"/>
          <w:szCs w:val="26"/>
          <w:lang w:val="en-001"/>
        </w:rPr>
      </w:pPr>
      <w:r>
        <w:rPr>
          <w:lang w:val="en-001"/>
        </w:rPr>
        <w:br w:type="page"/>
      </w:r>
    </w:p>
    <w:p w14:paraId="21830646" w14:textId="027AC3C0" w:rsidR="006E3A3D" w:rsidRDefault="00317C53" w:rsidP="00317C53">
      <w:pPr>
        <w:pStyle w:val="Heading2"/>
        <w:rPr>
          <w:lang w:val="en-001"/>
        </w:rPr>
      </w:pPr>
      <w:r>
        <w:rPr>
          <w:lang w:val="en-001"/>
        </w:rPr>
        <w:lastRenderedPageBreak/>
        <w:t>Results</w:t>
      </w:r>
    </w:p>
    <w:p w14:paraId="0093BDA9" w14:textId="5DE6BC0C" w:rsidR="00752E6B" w:rsidRDefault="00752E6B" w:rsidP="00752E6B">
      <w:pPr>
        <w:rPr>
          <w:lang w:val="en-001"/>
        </w:rPr>
      </w:pPr>
      <w:r>
        <w:rPr>
          <w:lang w:val="en-001"/>
        </w:rPr>
        <w:t>The results of the model are described in three steps, reflecting the steps of the model development described in the methods section.</w:t>
      </w:r>
      <w:r w:rsidR="00770E40">
        <w:rPr>
          <w:lang w:val="en-001"/>
        </w:rPr>
        <w:t xml:space="preserve"> </w:t>
      </w:r>
    </w:p>
    <w:p w14:paraId="1FE37968" w14:textId="77777777" w:rsidR="00F9445B" w:rsidRDefault="00F9445B" w:rsidP="00F9445B">
      <w:pPr>
        <w:pStyle w:val="Heading3"/>
        <w:rPr>
          <w:lang w:val="en-001"/>
        </w:rPr>
      </w:pPr>
      <w:r>
        <w:rPr>
          <w:lang w:val="en-001"/>
        </w:rPr>
        <w:t>Part 1: Transport demand modification</w:t>
      </w:r>
    </w:p>
    <w:p w14:paraId="2812C9B1" w14:textId="5C9B3B92" w:rsidR="00950D03" w:rsidRDefault="00F9445B">
      <w:pPr>
        <w:rPr>
          <w:lang w:val="en-001"/>
        </w:rPr>
      </w:pPr>
      <w:r>
        <w:rPr>
          <w:lang w:val="en-001"/>
        </w:rPr>
        <w:t>The original model</w:t>
      </w:r>
      <w:r w:rsidR="00624BD1">
        <w:rPr>
          <w:lang w:val="en-001"/>
        </w:rPr>
        <w:t xml:space="preserve"> has been edited so that the original</w:t>
      </w:r>
      <w:r>
        <w:rPr>
          <w:lang w:val="en-001"/>
        </w:rPr>
        <w:t xml:space="preserve"> transport activity</w:t>
      </w:r>
      <w:r w:rsidR="004C4CF2">
        <w:rPr>
          <w:lang w:val="en-001"/>
        </w:rPr>
        <w:t xml:space="preserve"> given in GWa/a (Figure</w:t>
      </w:r>
      <w:r w:rsidR="00624BD1">
        <w:rPr>
          <w:lang w:val="en-001"/>
        </w:rPr>
        <w:t xml:space="preserve"> 3A) </w:t>
      </w:r>
      <w:r>
        <w:rPr>
          <w:lang w:val="en-001"/>
        </w:rPr>
        <w:t xml:space="preserve">has been </w:t>
      </w:r>
      <w:r w:rsidR="00624BD1">
        <w:rPr>
          <w:lang w:val="en-001"/>
        </w:rPr>
        <w:t>translated into Gpkm/a (Figure 3B).</w:t>
      </w:r>
      <w:r>
        <w:rPr>
          <w:lang w:val="en-001"/>
        </w:rPr>
        <w:t xml:space="preserve"> </w:t>
      </w:r>
      <w:r w:rsidR="00624BD1">
        <w:rPr>
          <w:lang w:val="en-001"/>
        </w:rPr>
        <w:t>The magnitude of the transport activity reflects the demand for passenger car transport (other transport types have been excluded for simplification, as explained in Part 2 of the methods)</w:t>
      </w:r>
      <w:r w:rsidR="005E7B0B">
        <w:rPr>
          <w:lang w:val="en-001"/>
        </w:rPr>
        <w:t>. The model has been translated to the new units without changing any of the model assumptions, which is why the %-contribution of different technologies is the same. However, the technology called “foil_trp”</w:t>
      </w:r>
      <w:r w:rsidR="00624BD1">
        <w:rPr>
          <w:lang w:val="en-001"/>
        </w:rPr>
        <w:t xml:space="preserve"> </w:t>
      </w:r>
      <w:r w:rsidR="005E7B0B">
        <w:rPr>
          <w:lang w:val="en-001"/>
        </w:rPr>
        <w:t xml:space="preserve">reflects transportation based on heavy fuel oil, and such fuel is not used in cars. For this reason, the model was edited such that “foil_trp” technology is excluded and cannot supply transportation demand (Figure 3C), and the historical activity is fully based on “foil_trp” which reflects </w:t>
      </w:r>
      <w:r w:rsidR="006E428D">
        <w:rPr>
          <w:lang w:val="en-001"/>
        </w:rPr>
        <w:t xml:space="preserve">a </w:t>
      </w:r>
      <w:r w:rsidR="005E7B0B">
        <w:rPr>
          <w:lang w:val="en-001"/>
        </w:rPr>
        <w:t xml:space="preserve">technology using light oil products such as gasoline and diesel, which are likely </w:t>
      </w:r>
      <w:r w:rsidR="006E428D">
        <w:rPr>
          <w:lang w:val="en-001"/>
        </w:rPr>
        <w:t>most of</w:t>
      </w:r>
      <w:r w:rsidR="005E7B0B">
        <w:rPr>
          <w:lang w:val="en-001"/>
        </w:rPr>
        <w:t xml:space="preserve"> the South African car </w:t>
      </w:r>
      <w:r w:rsidR="006E428D">
        <w:rPr>
          <w:lang w:val="en-001"/>
        </w:rPr>
        <w:t xml:space="preserve">fuel market. </w:t>
      </w:r>
      <w:r w:rsidR="00D5399C">
        <w:rPr>
          <w:lang w:val="en-001"/>
        </w:rPr>
        <w:t xml:space="preserve">Because in 2020 fuel oil was cheaper than light oil, basing all the transportatin on light oil leads to a decrease in transportation volume (see Figure 3B and 3C). </w:t>
      </w:r>
    </w:p>
    <w:p w14:paraId="6F07D09D" w14:textId="77777777" w:rsidR="004C4CF2" w:rsidRDefault="004C4CF2" w:rsidP="004C4CF2">
      <w:pPr>
        <w:keepNext/>
      </w:pPr>
      <w:r>
        <w:rPr>
          <w:noProof/>
          <w:lang w:val="en-001"/>
        </w:rPr>
        <w:drawing>
          <wp:inline distT="0" distB="0" distL="0" distR="0" wp14:anchorId="413AADD7" wp14:editId="3A50127D">
            <wp:extent cx="5730240" cy="40690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111"/>
                    <a:stretch/>
                  </pic:blipFill>
                  <pic:spPr bwMode="auto">
                    <a:xfrm>
                      <a:off x="0" y="0"/>
                      <a:ext cx="5730240" cy="4069080"/>
                    </a:xfrm>
                    <a:prstGeom prst="rect">
                      <a:avLst/>
                    </a:prstGeom>
                    <a:noFill/>
                    <a:ln>
                      <a:noFill/>
                    </a:ln>
                    <a:extLst>
                      <a:ext uri="{53640926-AAD7-44D8-BBD7-CCE9431645EC}">
                        <a14:shadowObscured xmlns:a14="http://schemas.microsoft.com/office/drawing/2010/main"/>
                      </a:ext>
                    </a:extLst>
                  </pic:spPr>
                </pic:pic>
              </a:graphicData>
            </a:graphic>
          </wp:inline>
        </w:drawing>
      </w:r>
    </w:p>
    <w:p w14:paraId="3785CCDA" w14:textId="1D65EFB0" w:rsidR="00752E6B" w:rsidRDefault="004C4CF2" w:rsidP="004C4CF2">
      <w:pPr>
        <w:pStyle w:val="Caption"/>
        <w:rPr>
          <w:lang w:val="en-001"/>
        </w:rPr>
      </w:pPr>
      <w:r w:rsidRPr="004C4CF2">
        <w:rPr>
          <w:lang w:val="en-US"/>
        </w:rPr>
        <w:t xml:space="preserve">Figure </w:t>
      </w:r>
      <w:r>
        <w:fldChar w:fldCharType="begin"/>
      </w:r>
      <w:r w:rsidRPr="004C4CF2">
        <w:rPr>
          <w:lang w:val="en-US"/>
        </w:rPr>
        <w:instrText xml:space="preserve"> SEQ Figure \* ARABIC </w:instrText>
      </w:r>
      <w:r>
        <w:fldChar w:fldCharType="separate"/>
      </w:r>
      <w:r w:rsidR="00693D70">
        <w:rPr>
          <w:noProof/>
          <w:lang w:val="en-US"/>
        </w:rPr>
        <w:t>3</w:t>
      </w:r>
      <w:r>
        <w:fldChar w:fldCharType="end"/>
      </w:r>
      <w:r>
        <w:rPr>
          <w:lang w:val="en-001"/>
        </w:rPr>
        <w:t xml:space="preserve">: Transport activity in the original MESSAGE-ix South Africa (A), after changing the model to person-km (B), and after </w:t>
      </w:r>
      <w:r w:rsidR="00D5399C">
        <w:rPr>
          <w:lang w:val="en-001"/>
        </w:rPr>
        <w:t xml:space="preserve">additionally </w:t>
      </w:r>
      <w:r>
        <w:rPr>
          <w:lang w:val="en-001"/>
        </w:rPr>
        <w:t>excluding heavy fuel oil (C).</w:t>
      </w:r>
    </w:p>
    <w:p w14:paraId="1B291A91" w14:textId="40A0E8B4" w:rsidR="00950D03" w:rsidRDefault="00950D03" w:rsidP="00950D03">
      <w:pPr>
        <w:rPr>
          <w:lang w:val="en-001"/>
        </w:rPr>
      </w:pPr>
      <w:r>
        <w:rPr>
          <w:lang w:val="en-001"/>
        </w:rPr>
        <w:t xml:space="preserve">The marginal shadow prices of the transportation services (car passenger transport) also reflect the change of the units. Because the nominal value of the transport demand in the original model was lower than the demand of the modified model with p-km, the price per unit transport in the modified model is lower (Figure 4A and 4B). After changing the transportation to light oil-based, the prices increased (Figure 4C). In particular, year 2020 shows a significant marginal price increase, </w:t>
      </w:r>
      <w:r>
        <w:rPr>
          <w:lang w:val="en-001"/>
        </w:rPr>
        <w:lastRenderedPageBreak/>
        <w:t xml:space="preserve">which is caused by a sudden increase in light oil demand, forcing the rest of the system to adjustments </w:t>
      </w:r>
      <w:r w:rsidR="00D90170">
        <w:rPr>
          <w:lang w:val="en-001"/>
        </w:rPr>
        <w:t>to more than double the production of light oil (visible when plotting the activity of loil_t_d technology).</w:t>
      </w:r>
    </w:p>
    <w:p w14:paraId="7681FD32" w14:textId="77777777" w:rsidR="00950D03" w:rsidRDefault="00950D03" w:rsidP="00950D03">
      <w:pPr>
        <w:keepNext/>
      </w:pPr>
      <w:r>
        <w:rPr>
          <w:noProof/>
          <w:lang w:val="en-001"/>
        </w:rPr>
        <w:drawing>
          <wp:inline distT="0" distB="0" distL="0" distR="0" wp14:anchorId="5E9B0FAC" wp14:editId="4A64B225">
            <wp:extent cx="5715000"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14:paraId="74B29191" w14:textId="417AC394" w:rsidR="00950D03" w:rsidRDefault="00950D03" w:rsidP="00950D03">
      <w:pPr>
        <w:pStyle w:val="Caption"/>
        <w:rPr>
          <w:lang w:val="en-001"/>
        </w:rPr>
      </w:pPr>
      <w:r w:rsidRPr="00950D03">
        <w:rPr>
          <w:lang w:val="en-US"/>
        </w:rPr>
        <w:t xml:space="preserve">Figure </w:t>
      </w:r>
      <w:r>
        <w:fldChar w:fldCharType="begin"/>
      </w:r>
      <w:r w:rsidRPr="00950D03">
        <w:rPr>
          <w:lang w:val="en-US"/>
        </w:rPr>
        <w:instrText xml:space="preserve"> SEQ Figure \* ARABIC </w:instrText>
      </w:r>
      <w:r>
        <w:fldChar w:fldCharType="separate"/>
      </w:r>
      <w:r w:rsidR="00693D70">
        <w:rPr>
          <w:noProof/>
          <w:lang w:val="en-US"/>
        </w:rPr>
        <w:t>4</w:t>
      </w:r>
      <w:r>
        <w:fldChar w:fldCharType="end"/>
      </w:r>
      <w:r>
        <w:rPr>
          <w:lang w:val="en-001"/>
        </w:rPr>
        <w:t>: Marginal prices of the transport services</w:t>
      </w:r>
      <w:r w:rsidRPr="00950D03">
        <w:rPr>
          <w:lang w:val="en-001"/>
        </w:rPr>
        <w:t xml:space="preserve"> </w:t>
      </w:r>
      <w:r>
        <w:rPr>
          <w:lang w:val="en-001"/>
        </w:rPr>
        <w:t>in the original MESSAGE-ix South Africa (A), after changing the model to person-km (B), and after additionally excluding heavy fuel oil (C).</w:t>
      </w:r>
    </w:p>
    <w:p w14:paraId="4C29DA73" w14:textId="77777777" w:rsidR="002C1F91" w:rsidRDefault="001B5188" w:rsidP="002C1F91">
      <w:pPr>
        <w:pStyle w:val="Heading3"/>
        <w:rPr>
          <w:lang w:val="en-001"/>
        </w:rPr>
      </w:pPr>
      <w:r>
        <w:rPr>
          <w:lang w:val="en-001"/>
        </w:rPr>
        <w:t xml:space="preserve">Part </w:t>
      </w:r>
      <w:r w:rsidR="002C1F91">
        <w:rPr>
          <w:lang w:val="en-001"/>
        </w:rPr>
        <w:t>2</w:t>
      </w:r>
      <w:r>
        <w:rPr>
          <w:lang w:val="en-001"/>
        </w:rPr>
        <w:t xml:space="preserve">: </w:t>
      </w:r>
      <w:r w:rsidR="002C1F91">
        <w:rPr>
          <w:lang w:val="en-001"/>
        </w:rPr>
        <w:t>Transport capacity</w:t>
      </w:r>
    </w:p>
    <w:p w14:paraId="3014A200" w14:textId="77777777" w:rsidR="002F3D1B" w:rsidRDefault="009F1BEC" w:rsidP="002C1F91">
      <w:pPr>
        <w:rPr>
          <w:lang w:val="en-001"/>
        </w:rPr>
      </w:pPr>
      <w:r>
        <w:rPr>
          <w:lang w:val="en-001"/>
        </w:rPr>
        <w:t>The i</w:t>
      </w:r>
      <w:r w:rsidR="002C1F91">
        <w:rPr>
          <w:lang w:val="en-001"/>
        </w:rPr>
        <w:t>ntroduction of vehicles as transportation capacity was the next step in the model development. Th</w:t>
      </w:r>
      <w:r>
        <w:rPr>
          <w:lang w:val="en-001"/>
        </w:rPr>
        <w:t xml:space="preserve">is step </w:t>
      </w:r>
      <w:r w:rsidR="002C1F91">
        <w:rPr>
          <w:lang w:val="en-001"/>
        </w:rPr>
        <w:t xml:space="preserve">did not change </w:t>
      </w:r>
      <w:r>
        <w:rPr>
          <w:lang w:val="en-001"/>
        </w:rPr>
        <w:t xml:space="preserve">anything in the %-contribution of different technologies to supply the transportation demand (Figure 5A). This could be considered counterintuitive since various vehicles have various investment costs, and these differences should be reflected in the way that people choose vehicles. However, the bounds imposed on the model restrict sudden changes in the technology or capacity composition. In the first years of the simulation, </w:t>
      </w:r>
      <w:r w:rsidR="002F3D1B">
        <w:rPr>
          <w:lang w:val="en-001"/>
        </w:rPr>
        <w:t xml:space="preserve">light-oil (gasoline and diesel) vehicles are the cheapest, so they are used the most. Afterwards, the introduction of electric vehicles starts as they are getting cheaper – however, their growth is still restricted by activity bounds. </w:t>
      </w:r>
    </w:p>
    <w:p w14:paraId="604E6826" w14:textId="01BE168B" w:rsidR="002C1F91" w:rsidRPr="002C1F91" w:rsidRDefault="002F3D1B" w:rsidP="002C1F91">
      <w:pPr>
        <w:rPr>
          <w:lang w:val="en-001"/>
        </w:rPr>
      </w:pPr>
      <w:r>
        <w:rPr>
          <w:lang w:val="en-001"/>
        </w:rPr>
        <w:t xml:space="preserve">The marginal price of transportation increases after the introduction of vehicles (Figure 5B). This is expected, as the transportation cost includes not only the fuel costs, but also investment costs of the purchase of new vehicles. </w:t>
      </w:r>
    </w:p>
    <w:p w14:paraId="63BF6899" w14:textId="77777777" w:rsidR="002F3D1B" w:rsidRDefault="002C1F91" w:rsidP="002F3D1B">
      <w:pPr>
        <w:keepNext/>
      </w:pPr>
      <w:r>
        <w:rPr>
          <w:noProof/>
          <w:lang w:val="en-001"/>
        </w:rPr>
        <w:lastRenderedPageBreak/>
        <w:drawing>
          <wp:inline distT="0" distB="0" distL="0" distR="0" wp14:anchorId="363252A2" wp14:editId="7B875982">
            <wp:extent cx="5730240" cy="15849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584960"/>
                    </a:xfrm>
                    <a:prstGeom prst="rect">
                      <a:avLst/>
                    </a:prstGeom>
                    <a:noFill/>
                    <a:ln>
                      <a:noFill/>
                    </a:ln>
                  </pic:spPr>
                </pic:pic>
              </a:graphicData>
            </a:graphic>
          </wp:inline>
        </w:drawing>
      </w:r>
    </w:p>
    <w:p w14:paraId="4D801471" w14:textId="5749221A" w:rsidR="002C1F91" w:rsidRPr="002C1F91" w:rsidRDefault="002F3D1B" w:rsidP="002F3D1B">
      <w:pPr>
        <w:pStyle w:val="Caption"/>
        <w:rPr>
          <w:lang w:val="en-001"/>
        </w:rPr>
      </w:pPr>
      <w:r w:rsidRPr="002F3D1B">
        <w:rPr>
          <w:lang w:val="en-US"/>
        </w:rPr>
        <w:t xml:space="preserve">Figure </w:t>
      </w:r>
      <w:r>
        <w:fldChar w:fldCharType="begin"/>
      </w:r>
      <w:r w:rsidRPr="002F3D1B">
        <w:rPr>
          <w:lang w:val="en-US"/>
        </w:rPr>
        <w:instrText xml:space="preserve"> SEQ Figure \* ARABIC </w:instrText>
      </w:r>
      <w:r>
        <w:fldChar w:fldCharType="separate"/>
      </w:r>
      <w:r w:rsidR="00693D70">
        <w:rPr>
          <w:noProof/>
          <w:lang w:val="en-US"/>
        </w:rPr>
        <w:t>5</w:t>
      </w:r>
      <w:r>
        <w:fldChar w:fldCharType="end"/>
      </w:r>
      <w:r>
        <w:rPr>
          <w:lang w:val="en-001"/>
        </w:rPr>
        <w:t>: The model with p-km-based transportation and capacity: transport activity (A) and marginal prices (B).</w:t>
      </w:r>
    </w:p>
    <w:p w14:paraId="4B8DBF16" w14:textId="77777777" w:rsidR="002C1F91" w:rsidRDefault="002C1F91" w:rsidP="002C1F91">
      <w:pPr>
        <w:pStyle w:val="Heading3"/>
        <w:rPr>
          <w:lang w:val="en-001"/>
        </w:rPr>
      </w:pPr>
      <w:r>
        <w:rPr>
          <w:lang w:val="en-001"/>
        </w:rPr>
        <w:t>Part 3: Elements of behavioral realism in transport</w:t>
      </w:r>
    </w:p>
    <w:p w14:paraId="516E9763" w14:textId="7F28CFE0" w:rsidR="00752E6B" w:rsidRPr="00693D70" w:rsidRDefault="00693D70" w:rsidP="00752E6B">
      <w:pPr>
        <w:rPr>
          <w:lang w:val="en-001"/>
        </w:rPr>
      </w:pPr>
      <w:r>
        <w:rPr>
          <w:lang w:val="en-001"/>
        </w:rPr>
        <w:t xml:space="preserve">The last stage of the model development included introduction of consumer groups. The demand has been disaggregated by settlement type and group-specific disutility costs were included. Consequently, the commodities (required for specifying the demand) and technologies (required for specifying investment costs) were also disaggregated. The aggregated results show that the importance of electric vehicles decreased in time (Figure 6A) while the marginal price of transport decreased (Figure 6B). </w:t>
      </w:r>
    </w:p>
    <w:p w14:paraId="1F76F849" w14:textId="77777777" w:rsidR="00693D70" w:rsidRDefault="00693D70" w:rsidP="00693D70">
      <w:pPr>
        <w:keepNext/>
      </w:pPr>
      <w:r>
        <w:rPr>
          <w:noProof/>
          <w:lang w:val="en-001"/>
        </w:rPr>
        <w:drawing>
          <wp:inline distT="0" distB="0" distL="0" distR="0" wp14:anchorId="2576B3C0" wp14:editId="2EBAAFD7">
            <wp:extent cx="5730240" cy="16078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b="4091"/>
                    <a:stretch/>
                  </pic:blipFill>
                  <pic:spPr bwMode="auto">
                    <a:xfrm>
                      <a:off x="0" y="0"/>
                      <a:ext cx="573024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718267A0" w14:textId="009BA984" w:rsidR="00693D70" w:rsidRPr="002C1F91" w:rsidRDefault="00693D70" w:rsidP="00693D70">
      <w:pPr>
        <w:pStyle w:val="Caption"/>
        <w:rPr>
          <w:lang w:val="en-001"/>
        </w:rPr>
      </w:pPr>
      <w:r w:rsidRPr="00693D70">
        <w:rPr>
          <w:lang w:val="en-US"/>
        </w:rPr>
        <w:t xml:space="preserve">Figure </w:t>
      </w:r>
      <w:r>
        <w:fldChar w:fldCharType="begin"/>
      </w:r>
      <w:r w:rsidRPr="00693D70">
        <w:rPr>
          <w:lang w:val="en-US"/>
        </w:rPr>
        <w:instrText xml:space="preserve"> SEQ Figure \* ARABIC </w:instrText>
      </w:r>
      <w:r>
        <w:fldChar w:fldCharType="separate"/>
      </w:r>
      <w:r w:rsidRPr="00693D70">
        <w:rPr>
          <w:noProof/>
          <w:lang w:val="en-US"/>
        </w:rPr>
        <w:t>6</w:t>
      </w:r>
      <w:r>
        <w:fldChar w:fldCharType="end"/>
      </w:r>
      <w:r>
        <w:rPr>
          <w:lang w:val="en-001"/>
        </w:rPr>
        <w:t>: The model with p-km-based transportation, capacity, and consumer preferences: transport activity (A) and marginal prices (B). The values are sums (A)/means (B) of group-specific items.</w:t>
      </w:r>
    </w:p>
    <w:p w14:paraId="4FE282BB" w14:textId="68C4EEE0" w:rsidR="00752E6B" w:rsidRDefault="005B2293" w:rsidP="00752E6B">
      <w:pPr>
        <w:rPr>
          <w:lang w:val="en-001"/>
        </w:rPr>
      </w:pPr>
      <w:r>
        <w:rPr>
          <w:lang w:val="en-001"/>
        </w:rPr>
        <w:t xml:space="preserve">The results show that the consumer groups also show some differences. The urban settlement type generally dominates the results, especially at the end of the simulation time. Still, the different consumer groups are characterized by different volumes of demand, so the results should be compared by using relative values. The differences are minor, yet </w:t>
      </w:r>
      <w:r w:rsidR="009D2CCF">
        <w:rPr>
          <w:lang w:val="en-001"/>
        </w:rPr>
        <w:t xml:space="preserve">they exist. Interestingly, rural population shows slighly higher utilization of electric vehicles despite higher disutility costs as compared with the urban population. </w:t>
      </w:r>
    </w:p>
    <w:p w14:paraId="70A0CD89" w14:textId="098F7D6B" w:rsidR="005B2293" w:rsidRPr="005B2293" w:rsidRDefault="005B2293" w:rsidP="005B2293">
      <w:pPr>
        <w:pStyle w:val="Caption"/>
        <w:keepNext/>
        <w:rPr>
          <w:lang w:val="en-US"/>
        </w:rPr>
      </w:pPr>
      <w:r w:rsidRPr="005B2293">
        <w:rPr>
          <w:lang w:val="en-US"/>
        </w:rPr>
        <w:t xml:space="preserve">Table </w:t>
      </w:r>
      <w:r>
        <w:fldChar w:fldCharType="begin"/>
      </w:r>
      <w:r w:rsidRPr="005B2293">
        <w:rPr>
          <w:lang w:val="en-US"/>
        </w:rPr>
        <w:instrText xml:space="preserve"> SEQ Table \* ARABIC </w:instrText>
      </w:r>
      <w:r>
        <w:fldChar w:fldCharType="separate"/>
      </w:r>
      <w:r w:rsidR="00BC112F">
        <w:rPr>
          <w:noProof/>
          <w:lang w:val="en-US"/>
        </w:rPr>
        <w:t>3</w:t>
      </w:r>
      <w:r>
        <w:fldChar w:fldCharType="end"/>
      </w:r>
      <w:r>
        <w:rPr>
          <w:lang w:val="en-001"/>
        </w:rPr>
        <w:t>: The contribution of different technologies to supplying transport demand, by settlement type.</w:t>
      </w:r>
    </w:p>
    <w:tbl>
      <w:tblPr>
        <w:tblW w:w="7034" w:type="dxa"/>
        <w:jc w:val="center"/>
        <w:tblLook w:val="04A0" w:firstRow="1" w:lastRow="0" w:firstColumn="1" w:lastColumn="0" w:noHBand="0" w:noVBand="1"/>
      </w:tblPr>
      <w:tblGrid>
        <w:gridCol w:w="1160"/>
        <w:gridCol w:w="960"/>
        <w:gridCol w:w="1017"/>
        <w:gridCol w:w="960"/>
        <w:gridCol w:w="960"/>
        <w:gridCol w:w="1017"/>
        <w:gridCol w:w="960"/>
      </w:tblGrid>
      <w:tr w:rsidR="005B2293" w:rsidRPr="005B2293" w14:paraId="635719F3" w14:textId="77777777" w:rsidTr="005B2293">
        <w:trPr>
          <w:trHeight w:val="288"/>
          <w:jc w:val="center"/>
        </w:trPr>
        <w:tc>
          <w:tcPr>
            <w:tcW w:w="1160" w:type="dxa"/>
            <w:tcBorders>
              <w:top w:val="nil"/>
              <w:left w:val="nil"/>
              <w:bottom w:val="nil"/>
              <w:right w:val="nil"/>
            </w:tcBorders>
            <w:shd w:val="clear" w:color="auto" w:fill="auto"/>
            <w:noWrap/>
            <w:vAlign w:val="bottom"/>
            <w:hideMark/>
          </w:tcPr>
          <w:p w14:paraId="6894A0F5" w14:textId="77777777" w:rsidR="005B2293" w:rsidRPr="005B2293" w:rsidRDefault="005B2293" w:rsidP="005B2293">
            <w:pPr>
              <w:spacing w:after="0" w:line="240" w:lineRule="auto"/>
              <w:rPr>
                <w:rFonts w:ascii="Times New Roman" w:eastAsia="Times New Roman" w:hAnsi="Times New Roman" w:cs="Times New Roman"/>
                <w:b/>
                <w:bCs/>
                <w:sz w:val="20"/>
                <w:szCs w:val="20"/>
                <w:lang w:val="en-US"/>
              </w:rPr>
            </w:pPr>
          </w:p>
        </w:tc>
        <w:tc>
          <w:tcPr>
            <w:tcW w:w="960" w:type="dxa"/>
            <w:tcBorders>
              <w:top w:val="nil"/>
              <w:left w:val="nil"/>
              <w:bottom w:val="nil"/>
              <w:right w:val="nil"/>
            </w:tcBorders>
            <w:shd w:val="clear" w:color="auto" w:fill="auto"/>
            <w:noWrap/>
            <w:vAlign w:val="bottom"/>
            <w:hideMark/>
          </w:tcPr>
          <w:p w14:paraId="28EFD602" w14:textId="77777777" w:rsidR="005B2293" w:rsidRPr="005B2293" w:rsidRDefault="005B2293" w:rsidP="005B2293">
            <w:pPr>
              <w:spacing w:after="0" w:line="240" w:lineRule="auto"/>
              <w:rPr>
                <w:rFonts w:ascii="Calibri" w:eastAsia="Times New Roman" w:hAnsi="Calibri" w:cs="Calibri"/>
                <w:b/>
                <w:bCs/>
                <w:color w:val="000000"/>
                <w:sz w:val="20"/>
                <w:szCs w:val="20"/>
                <w:lang w:val="en-US"/>
              </w:rPr>
            </w:pPr>
            <w:r w:rsidRPr="005B2293">
              <w:rPr>
                <w:rFonts w:ascii="Calibri" w:eastAsia="Times New Roman" w:hAnsi="Calibri" w:cs="Calibri"/>
                <w:b/>
                <w:bCs/>
                <w:color w:val="000000"/>
                <w:sz w:val="20"/>
                <w:szCs w:val="20"/>
                <w:lang w:val="en-US"/>
              </w:rPr>
              <w:t>elec_trp</w:t>
            </w:r>
          </w:p>
        </w:tc>
        <w:tc>
          <w:tcPr>
            <w:tcW w:w="1017" w:type="dxa"/>
            <w:tcBorders>
              <w:top w:val="nil"/>
              <w:left w:val="nil"/>
              <w:bottom w:val="nil"/>
              <w:right w:val="nil"/>
            </w:tcBorders>
            <w:shd w:val="clear" w:color="auto" w:fill="auto"/>
            <w:noWrap/>
            <w:vAlign w:val="bottom"/>
            <w:hideMark/>
          </w:tcPr>
          <w:p w14:paraId="13F1DFFF" w14:textId="77777777" w:rsidR="005B2293" w:rsidRPr="005B2293" w:rsidRDefault="005B2293" w:rsidP="005B2293">
            <w:pPr>
              <w:spacing w:after="0" w:line="240" w:lineRule="auto"/>
              <w:rPr>
                <w:rFonts w:ascii="Calibri" w:eastAsia="Times New Roman" w:hAnsi="Calibri" w:cs="Calibri"/>
                <w:b/>
                <w:bCs/>
                <w:color w:val="000000"/>
                <w:sz w:val="20"/>
                <w:szCs w:val="20"/>
                <w:lang w:val="en-US"/>
              </w:rPr>
            </w:pPr>
          </w:p>
        </w:tc>
        <w:tc>
          <w:tcPr>
            <w:tcW w:w="960" w:type="dxa"/>
            <w:tcBorders>
              <w:top w:val="nil"/>
              <w:left w:val="nil"/>
              <w:bottom w:val="nil"/>
              <w:right w:val="nil"/>
            </w:tcBorders>
            <w:shd w:val="clear" w:color="auto" w:fill="auto"/>
            <w:noWrap/>
            <w:vAlign w:val="bottom"/>
            <w:hideMark/>
          </w:tcPr>
          <w:p w14:paraId="412B083D" w14:textId="77777777" w:rsidR="005B2293" w:rsidRPr="005B2293" w:rsidRDefault="005B2293" w:rsidP="005B2293">
            <w:pPr>
              <w:spacing w:after="0" w:line="240" w:lineRule="auto"/>
              <w:rPr>
                <w:rFonts w:ascii="Times New Roman" w:eastAsia="Times New Roman" w:hAnsi="Times New Roman" w:cs="Times New Roman"/>
                <w:b/>
                <w:bCs/>
                <w:sz w:val="20"/>
                <w:szCs w:val="20"/>
                <w:lang w:val="en-US"/>
              </w:rPr>
            </w:pPr>
          </w:p>
        </w:tc>
        <w:tc>
          <w:tcPr>
            <w:tcW w:w="960" w:type="dxa"/>
            <w:tcBorders>
              <w:top w:val="nil"/>
              <w:left w:val="nil"/>
              <w:bottom w:val="nil"/>
              <w:right w:val="nil"/>
            </w:tcBorders>
            <w:shd w:val="clear" w:color="auto" w:fill="auto"/>
            <w:noWrap/>
            <w:vAlign w:val="bottom"/>
            <w:hideMark/>
          </w:tcPr>
          <w:p w14:paraId="2AE7D465" w14:textId="77777777" w:rsidR="005B2293" w:rsidRPr="005B2293" w:rsidRDefault="005B2293" w:rsidP="005B2293">
            <w:pPr>
              <w:spacing w:after="0" w:line="240" w:lineRule="auto"/>
              <w:rPr>
                <w:rFonts w:ascii="Calibri" w:eastAsia="Times New Roman" w:hAnsi="Calibri" w:cs="Calibri"/>
                <w:b/>
                <w:bCs/>
                <w:color w:val="000000"/>
                <w:sz w:val="20"/>
                <w:szCs w:val="20"/>
                <w:lang w:val="en-US"/>
              </w:rPr>
            </w:pPr>
            <w:r w:rsidRPr="005B2293">
              <w:rPr>
                <w:rFonts w:ascii="Calibri" w:eastAsia="Times New Roman" w:hAnsi="Calibri" w:cs="Calibri"/>
                <w:b/>
                <w:bCs/>
                <w:color w:val="000000"/>
                <w:sz w:val="20"/>
                <w:szCs w:val="20"/>
                <w:lang w:val="en-US"/>
              </w:rPr>
              <w:t>loil_trp</w:t>
            </w:r>
          </w:p>
        </w:tc>
        <w:tc>
          <w:tcPr>
            <w:tcW w:w="1017" w:type="dxa"/>
            <w:tcBorders>
              <w:top w:val="nil"/>
              <w:left w:val="nil"/>
              <w:bottom w:val="nil"/>
              <w:right w:val="nil"/>
            </w:tcBorders>
            <w:shd w:val="clear" w:color="auto" w:fill="auto"/>
            <w:noWrap/>
            <w:vAlign w:val="bottom"/>
            <w:hideMark/>
          </w:tcPr>
          <w:p w14:paraId="1ACBDE11" w14:textId="77777777" w:rsidR="005B2293" w:rsidRPr="005B2293" w:rsidRDefault="005B2293" w:rsidP="005B2293">
            <w:pPr>
              <w:spacing w:after="0" w:line="240" w:lineRule="auto"/>
              <w:rPr>
                <w:rFonts w:ascii="Calibri" w:eastAsia="Times New Roman" w:hAnsi="Calibri" w:cs="Calibri"/>
                <w:b/>
                <w:bCs/>
                <w:color w:val="000000"/>
                <w:sz w:val="20"/>
                <w:szCs w:val="20"/>
                <w:lang w:val="en-US"/>
              </w:rPr>
            </w:pPr>
          </w:p>
        </w:tc>
        <w:tc>
          <w:tcPr>
            <w:tcW w:w="960" w:type="dxa"/>
            <w:tcBorders>
              <w:top w:val="nil"/>
              <w:left w:val="nil"/>
              <w:bottom w:val="nil"/>
              <w:right w:val="nil"/>
            </w:tcBorders>
            <w:shd w:val="clear" w:color="auto" w:fill="auto"/>
            <w:noWrap/>
            <w:vAlign w:val="bottom"/>
            <w:hideMark/>
          </w:tcPr>
          <w:p w14:paraId="1A12EE92" w14:textId="77777777" w:rsidR="005B2293" w:rsidRPr="005B2293" w:rsidRDefault="005B2293" w:rsidP="005B2293">
            <w:pPr>
              <w:spacing w:after="0" w:line="240" w:lineRule="auto"/>
              <w:rPr>
                <w:rFonts w:ascii="Times New Roman" w:eastAsia="Times New Roman" w:hAnsi="Times New Roman" w:cs="Times New Roman"/>
                <w:b/>
                <w:bCs/>
                <w:sz w:val="20"/>
                <w:szCs w:val="20"/>
                <w:lang w:val="en-US"/>
              </w:rPr>
            </w:pPr>
          </w:p>
        </w:tc>
      </w:tr>
      <w:tr w:rsidR="005B2293" w:rsidRPr="005B2293" w14:paraId="174CABCC" w14:textId="77777777" w:rsidTr="005B2293">
        <w:trPr>
          <w:trHeight w:val="288"/>
          <w:jc w:val="center"/>
        </w:trPr>
        <w:tc>
          <w:tcPr>
            <w:tcW w:w="1160" w:type="dxa"/>
            <w:tcBorders>
              <w:top w:val="nil"/>
              <w:left w:val="nil"/>
              <w:bottom w:val="single" w:sz="4" w:space="0" w:color="auto"/>
              <w:right w:val="nil"/>
            </w:tcBorders>
            <w:shd w:val="clear" w:color="auto" w:fill="auto"/>
            <w:noWrap/>
            <w:vAlign w:val="bottom"/>
            <w:hideMark/>
          </w:tcPr>
          <w:p w14:paraId="1F8B60FC" w14:textId="77777777" w:rsidR="005B2293" w:rsidRPr="005B2293" w:rsidRDefault="005B2293" w:rsidP="005B2293">
            <w:pPr>
              <w:spacing w:after="0" w:line="240" w:lineRule="auto"/>
              <w:rPr>
                <w:rFonts w:ascii="Calibri" w:eastAsia="Times New Roman" w:hAnsi="Calibri" w:cs="Calibri"/>
                <w:b/>
                <w:bCs/>
                <w:color w:val="000000"/>
                <w:sz w:val="20"/>
                <w:szCs w:val="20"/>
                <w:lang w:val="en-US"/>
              </w:rPr>
            </w:pPr>
            <w:r w:rsidRPr="005B2293">
              <w:rPr>
                <w:rFonts w:ascii="Calibri" w:eastAsia="Times New Roman" w:hAnsi="Calibri" w:cs="Calibri"/>
                <w:b/>
                <w:bCs/>
                <w:color w:val="000000"/>
                <w:sz w:val="20"/>
                <w:szCs w:val="20"/>
                <w:lang w:val="en-US"/>
              </w:rPr>
              <w:t>Year</w:t>
            </w:r>
          </w:p>
        </w:tc>
        <w:tc>
          <w:tcPr>
            <w:tcW w:w="960" w:type="dxa"/>
            <w:tcBorders>
              <w:top w:val="nil"/>
              <w:left w:val="nil"/>
              <w:bottom w:val="single" w:sz="4" w:space="0" w:color="auto"/>
              <w:right w:val="nil"/>
            </w:tcBorders>
            <w:shd w:val="clear" w:color="auto" w:fill="auto"/>
            <w:noWrap/>
            <w:vAlign w:val="bottom"/>
            <w:hideMark/>
          </w:tcPr>
          <w:p w14:paraId="411477FE" w14:textId="77777777" w:rsidR="005B2293" w:rsidRPr="005B2293" w:rsidRDefault="005B2293" w:rsidP="005B2293">
            <w:pPr>
              <w:spacing w:after="0" w:line="240" w:lineRule="auto"/>
              <w:rPr>
                <w:rFonts w:ascii="Calibri" w:eastAsia="Times New Roman" w:hAnsi="Calibri" w:cs="Calibri"/>
                <w:b/>
                <w:bCs/>
                <w:color w:val="000000"/>
                <w:sz w:val="20"/>
                <w:szCs w:val="20"/>
                <w:lang w:val="en-US"/>
              </w:rPr>
            </w:pPr>
            <w:r w:rsidRPr="005B2293">
              <w:rPr>
                <w:rFonts w:ascii="Calibri" w:eastAsia="Times New Roman" w:hAnsi="Calibri" w:cs="Calibri"/>
                <w:b/>
                <w:bCs/>
                <w:color w:val="000000"/>
                <w:sz w:val="20"/>
                <w:szCs w:val="20"/>
                <w:lang w:val="en-US"/>
              </w:rPr>
              <w:t>Rural</w:t>
            </w:r>
          </w:p>
        </w:tc>
        <w:tc>
          <w:tcPr>
            <w:tcW w:w="1017" w:type="dxa"/>
            <w:tcBorders>
              <w:top w:val="nil"/>
              <w:left w:val="nil"/>
              <w:bottom w:val="single" w:sz="4" w:space="0" w:color="auto"/>
              <w:right w:val="nil"/>
            </w:tcBorders>
            <w:shd w:val="clear" w:color="auto" w:fill="auto"/>
            <w:noWrap/>
            <w:vAlign w:val="bottom"/>
            <w:hideMark/>
          </w:tcPr>
          <w:p w14:paraId="494C19F3" w14:textId="77777777" w:rsidR="005B2293" w:rsidRPr="005B2293" w:rsidRDefault="005B2293" w:rsidP="005B2293">
            <w:pPr>
              <w:spacing w:after="0" w:line="240" w:lineRule="auto"/>
              <w:rPr>
                <w:rFonts w:ascii="Calibri" w:eastAsia="Times New Roman" w:hAnsi="Calibri" w:cs="Calibri"/>
                <w:b/>
                <w:bCs/>
                <w:color w:val="000000"/>
                <w:sz w:val="20"/>
                <w:szCs w:val="20"/>
                <w:lang w:val="en-US"/>
              </w:rPr>
            </w:pPr>
            <w:r w:rsidRPr="005B2293">
              <w:rPr>
                <w:rFonts w:ascii="Calibri" w:eastAsia="Times New Roman" w:hAnsi="Calibri" w:cs="Calibri"/>
                <w:b/>
                <w:bCs/>
                <w:color w:val="000000"/>
                <w:sz w:val="20"/>
                <w:szCs w:val="20"/>
                <w:lang w:val="en-US"/>
              </w:rPr>
              <w:t>Suburban</w:t>
            </w:r>
          </w:p>
        </w:tc>
        <w:tc>
          <w:tcPr>
            <w:tcW w:w="960" w:type="dxa"/>
            <w:tcBorders>
              <w:top w:val="nil"/>
              <w:left w:val="nil"/>
              <w:bottom w:val="single" w:sz="4" w:space="0" w:color="auto"/>
              <w:right w:val="nil"/>
            </w:tcBorders>
            <w:shd w:val="clear" w:color="auto" w:fill="auto"/>
            <w:noWrap/>
            <w:vAlign w:val="bottom"/>
            <w:hideMark/>
          </w:tcPr>
          <w:p w14:paraId="078C4E7B" w14:textId="77777777" w:rsidR="005B2293" w:rsidRPr="005B2293" w:rsidRDefault="005B2293" w:rsidP="005B2293">
            <w:pPr>
              <w:spacing w:after="0" w:line="240" w:lineRule="auto"/>
              <w:rPr>
                <w:rFonts w:ascii="Calibri" w:eastAsia="Times New Roman" w:hAnsi="Calibri" w:cs="Calibri"/>
                <w:b/>
                <w:bCs/>
                <w:color w:val="000000"/>
                <w:sz w:val="20"/>
                <w:szCs w:val="20"/>
                <w:lang w:val="en-US"/>
              </w:rPr>
            </w:pPr>
            <w:r w:rsidRPr="005B2293">
              <w:rPr>
                <w:rFonts w:ascii="Calibri" w:eastAsia="Times New Roman" w:hAnsi="Calibri" w:cs="Calibri"/>
                <w:b/>
                <w:bCs/>
                <w:color w:val="000000"/>
                <w:sz w:val="20"/>
                <w:szCs w:val="20"/>
                <w:lang w:val="en-US"/>
              </w:rPr>
              <w:t>Urban</w:t>
            </w:r>
          </w:p>
        </w:tc>
        <w:tc>
          <w:tcPr>
            <w:tcW w:w="960" w:type="dxa"/>
            <w:tcBorders>
              <w:top w:val="nil"/>
              <w:left w:val="nil"/>
              <w:bottom w:val="single" w:sz="4" w:space="0" w:color="auto"/>
              <w:right w:val="nil"/>
            </w:tcBorders>
            <w:shd w:val="clear" w:color="auto" w:fill="auto"/>
            <w:noWrap/>
            <w:vAlign w:val="bottom"/>
            <w:hideMark/>
          </w:tcPr>
          <w:p w14:paraId="2CAB77F0" w14:textId="77777777" w:rsidR="005B2293" w:rsidRPr="005B2293" w:rsidRDefault="005B2293" w:rsidP="005B2293">
            <w:pPr>
              <w:spacing w:after="0" w:line="240" w:lineRule="auto"/>
              <w:rPr>
                <w:rFonts w:ascii="Calibri" w:eastAsia="Times New Roman" w:hAnsi="Calibri" w:cs="Calibri"/>
                <w:b/>
                <w:bCs/>
                <w:color w:val="000000"/>
                <w:sz w:val="20"/>
                <w:szCs w:val="20"/>
                <w:lang w:val="en-US"/>
              </w:rPr>
            </w:pPr>
            <w:r w:rsidRPr="005B2293">
              <w:rPr>
                <w:rFonts w:ascii="Calibri" w:eastAsia="Times New Roman" w:hAnsi="Calibri" w:cs="Calibri"/>
                <w:b/>
                <w:bCs/>
                <w:color w:val="000000"/>
                <w:sz w:val="20"/>
                <w:szCs w:val="20"/>
                <w:lang w:val="en-US"/>
              </w:rPr>
              <w:t>Rural</w:t>
            </w:r>
          </w:p>
        </w:tc>
        <w:tc>
          <w:tcPr>
            <w:tcW w:w="1017" w:type="dxa"/>
            <w:tcBorders>
              <w:top w:val="nil"/>
              <w:left w:val="nil"/>
              <w:bottom w:val="single" w:sz="4" w:space="0" w:color="auto"/>
              <w:right w:val="nil"/>
            </w:tcBorders>
            <w:shd w:val="clear" w:color="auto" w:fill="auto"/>
            <w:noWrap/>
            <w:vAlign w:val="bottom"/>
            <w:hideMark/>
          </w:tcPr>
          <w:p w14:paraId="4924EEF4" w14:textId="77777777" w:rsidR="005B2293" w:rsidRPr="005B2293" w:rsidRDefault="005B2293" w:rsidP="005B2293">
            <w:pPr>
              <w:spacing w:after="0" w:line="240" w:lineRule="auto"/>
              <w:rPr>
                <w:rFonts w:ascii="Calibri" w:eastAsia="Times New Roman" w:hAnsi="Calibri" w:cs="Calibri"/>
                <w:b/>
                <w:bCs/>
                <w:color w:val="000000"/>
                <w:sz w:val="20"/>
                <w:szCs w:val="20"/>
                <w:lang w:val="en-US"/>
              </w:rPr>
            </w:pPr>
            <w:r w:rsidRPr="005B2293">
              <w:rPr>
                <w:rFonts w:ascii="Calibri" w:eastAsia="Times New Roman" w:hAnsi="Calibri" w:cs="Calibri"/>
                <w:b/>
                <w:bCs/>
                <w:color w:val="000000"/>
                <w:sz w:val="20"/>
                <w:szCs w:val="20"/>
                <w:lang w:val="en-US"/>
              </w:rPr>
              <w:t>Suburban</w:t>
            </w:r>
          </w:p>
        </w:tc>
        <w:tc>
          <w:tcPr>
            <w:tcW w:w="960" w:type="dxa"/>
            <w:tcBorders>
              <w:top w:val="nil"/>
              <w:left w:val="nil"/>
              <w:bottom w:val="single" w:sz="4" w:space="0" w:color="auto"/>
              <w:right w:val="nil"/>
            </w:tcBorders>
            <w:shd w:val="clear" w:color="auto" w:fill="auto"/>
            <w:noWrap/>
            <w:vAlign w:val="bottom"/>
            <w:hideMark/>
          </w:tcPr>
          <w:p w14:paraId="28EFEC65" w14:textId="77777777" w:rsidR="005B2293" w:rsidRPr="005B2293" w:rsidRDefault="005B2293" w:rsidP="005B2293">
            <w:pPr>
              <w:spacing w:after="0" w:line="240" w:lineRule="auto"/>
              <w:rPr>
                <w:rFonts w:ascii="Calibri" w:eastAsia="Times New Roman" w:hAnsi="Calibri" w:cs="Calibri"/>
                <w:b/>
                <w:bCs/>
                <w:color w:val="000000"/>
                <w:sz w:val="20"/>
                <w:szCs w:val="20"/>
                <w:lang w:val="en-US"/>
              </w:rPr>
            </w:pPr>
            <w:r w:rsidRPr="005B2293">
              <w:rPr>
                <w:rFonts w:ascii="Calibri" w:eastAsia="Times New Roman" w:hAnsi="Calibri" w:cs="Calibri"/>
                <w:b/>
                <w:bCs/>
                <w:color w:val="000000"/>
                <w:sz w:val="20"/>
                <w:szCs w:val="20"/>
                <w:lang w:val="en-US"/>
              </w:rPr>
              <w:t>Urban</w:t>
            </w:r>
          </w:p>
        </w:tc>
      </w:tr>
      <w:tr w:rsidR="005B2293" w:rsidRPr="005B2293" w14:paraId="496C37AA" w14:textId="77777777" w:rsidTr="005B2293">
        <w:trPr>
          <w:trHeight w:val="288"/>
          <w:jc w:val="center"/>
        </w:trPr>
        <w:tc>
          <w:tcPr>
            <w:tcW w:w="1160" w:type="dxa"/>
            <w:tcBorders>
              <w:top w:val="single" w:sz="4" w:space="0" w:color="auto"/>
              <w:left w:val="nil"/>
              <w:bottom w:val="nil"/>
              <w:right w:val="nil"/>
            </w:tcBorders>
            <w:shd w:val="clear" w:color="auto" w:fill="auto"/>
            <w:noWrap/>
            <w:vAlign w:val="bottom"/>
            <w:hideMark/>
          </w:tcPr>
          <w:p w14:paraId="73676110"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2020</w:t>
            </w:r>
          </w:p>
        </w:tc>
        <w:tc>
          <w:tcPr>
            <w:tcW w:w="960" w:type="dxa"/>
            <w:tcBorders>
              <w:top w:val="single" w:sz="4" w:space="0" w:color="auto"/>
              <w:left w:val="nil"/>
              <w:bottom w:val="nil"/>
              <w:right w:val="nil"/>
            </w:tcBorders>
            <w:shd w:val="clear" w:color="auto" w:fill="auto"/>
            <w:noWrap/>
            <w:vAlign w:val="bottom"/>
            <w:hideMark/>
          </w:tcPr>
          <w:p w14:paraId="6003863E"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2.4%</w:t>
            </w:r>
          </w:p>
        </w:tc>
        <w:tc>
          <w:tcPr>
            <w:tcW w:w="1017" w:type="dxa"/>
            <w:tcBorders>
              <w:top w:val="single" w:sz="4" w:space="0" w:color="auto"/>
              <w:left w:val="nil"/>
              <w:bottom w:val="nil"/>
              <w:right w:val="nil"/>
            </w:tcBorders>
            <w:shd w:val="clear" w:color="auto" w:fill="auto"/>
            <w:noWrap/>
            <w:vAlign w:val="bottom"/>
            <w:hideMark/>
          </w:tcPr>
          <w:p w14:paraId="0241D3DD"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2.4%</w:t>
            </w:r>
          </w:p>
        </w:tc>
        <w:tc>
          <w:tcPr>
            <w:tcW w:w="960" w:type="dxa"/>
            <w:tcBorders>
              <w:top w:val="single" w:sz="4" w:space="0" w:color="auto"/>
              <w:left w:val="nil"/>
              <w:bottom w:val="nil"/>
              <w:right w:val="nil"/>
            </w:tcBorders>
            <w:shd w:val="clear" w:color="auto" w:fill="auto"/>
            <w:noWrap/>
            <w:vAlign w:val="bottom"/>
            <w:hideMark/>
          </w:tcPr>
          <w:p w14:paraId="326988DF"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2.4%</w:t>
            </w:r>
          </w:p>
        </w:tc>
        <w:tc>
          <w:tcPr>
            <w:tcW w:w="960" w:type="dxa"/>
            <w:tcBorders>
              <w:top w:val="single" w:sz="4" w:space="0" w:color="auto"/>
              <w:left w:val="nil"/>
              <w:bottom w:val="nil"/>
              <w:right w:val="nil"/>
            </w:tcBorders>
            <w:shd w:val="clear" w:color="auto" w:fill="auto"/>
            <w:noWrap/>
            <w:vAlign w:val="bottom"/>
            <w:hideMark/>
          </w:tcPr>
          <w:p w14:paraId="15B4A6B6"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97.6%</w:t>
            </w:r>
          </w:p>
        </w:tc>
        <w:tc>
          <w:tcPr>
            <w:tcW w:w="1017" w:type="dxa"/>
            <w:tcBorders>
              <w:top w:val="single" w:sz="4" w:space="0" w:color="auto"/>
              <w:left w:val="nil"/>
              <w:bottom w:val="nil"/>
              <w:right w:val="nil"/>
            </w:tcBorders>
            <w:shd w:val="clear" w:color="auto" w:fill="auto"/>
            <w:noWrap/>
            <w:vAlign w:val="bottom"/>
            <w:hideMark/>
          </w:tcPr>
          <w:p w14:paraId="4E6C5A79"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97.6%</w:t>
            </w:r>
          </w:p>
        </w:tc>
        <w:tc>
          <w:tcPr>
            <w:tcW w:w="960" w:type="dxa"/>
            <w:tcBorders>
              <w:top w:val="single" w:sz="4" w:space="0" w:color="auto"/>
              <w:left w:val="nil"/>
              <w:bottom w:val="nil"/>
              <w:right w:val="nil"/>
            </w:tcBorders>
            <w:shd w:val="clear" w:color="auto" w:fill="auto"/>
            <w:noWrap/>
            <w:vAlign w:val="bottom"/>
            <w:hideMark/>
          </w:tcPr>
          <w:p w14:paraId="2DD7C34D"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97.6%</w:t>
            </w:r>
          </w:p>
        </w:tc>
      </w:tr>
      <w:tr w:rsidR="005B2293" w:rsidRPr="005B2293" w14:paraId="4E3E8A29" w14:textId="77777777" w:rsidTr="005B2293">
        <w:trPr>
          <w:trHeight w:val="288"/>
          <w:jc w:val="center"/>
        </w:trPr>
        <w:tc>
          <w:tcPr>
            <w:tcW w:w="1160" w:type="dxa"/>
            <w:tcBorders>
              <w:top w:val="nil"/>
              <w:left w:val="nil"/>
              <w:bottom w:val="nil"/>
              <w:right w:val="nil"/>
            </w:tcBorders>
            <w:shd w:val="clear" w:color="auto" w:fill="auto"/>
            <w:noWrap/>
            <w:vAlign w:val="bottom"/>
            <w:hideMark/>
          </w:tcPr>
          <w:p w14:paraId="57A054AA"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2030</w:t>
            </w:r>
          </w:p>
        </w:tc>
        <w:tc>
          <w:tcPr>
            <w:tcW w:w="960" w:type="dxa"/>
            <w:tcBorders>
              <w:top w:val="nil"/>
              <w:left w:val="nil"/>
              <w:bottom w:val="nil"/>
              <w:right w:val="nil"/>
            </w:tcBorders>
            <w:shd w:val="clear" w:color="auto" w:fill="auto"/>
            <w:noWrap/>
            <w:vAlign w:val="bottom"/>
            <w:hideMark/>
          </w:tcPr>
          <w:p w14:paraId="3CDCEAC7"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5.0%</w:t>
            </w:r>
          </w:p>
        </w:tc>
        <w:tc>
          <w:tcPr>
            <w:tcW w:w="1017" w:type="dxa"/>
            <w:tcBorders>
              <w:top w:val="nil"/>
              <w:left w:val="nil"/>
              <w:bottom w:val="nil"/>
              <w:right w:val="nil"/>
            </w:tcBorders>
            <w:shd w:val="clear" w:color="auto" w:fill="auto"/>
            <w:noWrap/>
            <w:vAlign w:val="bottom"/>
            <w:hideMark/>
          </w:tcPr>
          <w:p w14:paraId="0227B927"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4.4%</w:t>
            </w:r>
          </w:p>
        </w:tc>
        <w:tc>
          <w:tcPr>
            <w:tcW w:w="960" w:type="dxa"/>
            <w:tcBorders>
              <w:top w:val="nil"/>
              <w:left w:val="nil"/>
              <w:bottom w:val="nil"/>
              <w:right w:val="nil"/>
            </w:tcBorders>
            <w:shd w:val="clear" w:color="auto" w:fill="auto"/>
            <w:noWrap/>
            <w:vAlign w:val="bottom"/>
            <w:hideMark/>
          </w:tcPr>
          <w:p w14:paraId="48F6AD03"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4.4%</w:t>
            </w:r>
          </w:p>
        </w:tc>
        <w:tc>
          <w:tcPr>
            <w:tcW w:w="960" w:type="dxa"/>
            <w:tcBorders>
              <w:top w:val="nil"/>
              <w:left w:val="nil"/>
              <w:bottom w:val="nil"/>
              <w:right w:val="nil"/>
            </w:tcBorders>
            <w:shd w:val="clear" w:color="auto" w:fill="auto"/>
            <w:noWrap/>
            <w:vAlign w:val="bottom"/>
            <w:hideMark/>
          </w:tcPr>
          <w:p w14:paraId="3A582D80"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95.0%</w:t>
            </w:r>
          </w:p>
        </w:tc>
        <w:tc>
          <w:tcPr>
            <w:tcW w:w="1017" w:type="dxa"/>
            <w:tcBorders>
              <w:top w:val="nil"/>
              <w:left w:val="nil"/>
              <w:bottom w:val="nil"/>
              <w:right w:val="nil"/>
            </w:tcBorders>
            <w:shd w:val="clear" w:color="auto" w:fill="auto"/>
            <w:noWrap/>
            <w:vAlign w:val="bottom"/>
            <w:hideMark/>
          </w:tcPr>
          <w:p w14:paraId="63D65712"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95.6%</w:t>
            </w:r>
          </w:p>
        </w:tc>
        <w:tc>
          <w:tcPr>
            <w:tcW w:w="960" w:type="dxa"/>
            <w:tcBorders>
              <w:top w:val="nil"/>
              <w:left w:val="nil"/>
              <w:bottom w:val="nil"/>
              <w:right w:val="nil"/>
            </w:tcBorders>
            <w:shd w:val="clear" w:color="auto" w:fill="auto"/>
            <w:noWrap/>
            <w:vAlign w:val="bottom"/>
            <w:hideMark/>
          </w:tcPr>
          <w:p w14:paraId="30D749FF"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95.6%</w:t>
            </w:r>
          </w:p>
        </w:tc>
      </w:tr>
      <w:tr w:rsidR="005B2293" w:rsidRPr="005B2293" w14:paraId="50242AC1" w14:textId="77777777" w:rsidTr="005B2293">
        <w:trPr>
          <w:trHeight w:val="288"/>
          <w:jc w:val="center"/>
        </w:trPr>
        <w:tc>
          <w:tcPr>
            <w:tcW w:w="1160" w:type="dxa"/>
            <w:tcBorders>
              <w:top w:val="nil"/>
              <w:left w:val="nil"/>
              <w:bottom w:val="nil"/>
              <w:right w:val="nil"/>
            </w:tcBorders>
            <w:shd w:val="clear" w:color="auto" w:fill="auto"/>
            <w:noWrap/>
            <w:vAlign w:val="bottom"/>
            <w:hideMark/>
          </w:tcPr>
          <w:p w14:paraId="50472E85"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2040</w:t>
            </w:r>
          </w:p>
        </w:tc>
        <w:tc>
          <w:tcPr>
            <w:tcW w:w="960" w:type="dxa"/>
            <w:tcBorders>
              <w:top w:val="nil"/>
              <w:left w:val="nil"/>
              <w:bottom w:val="nil"/>
              <w:right w:val="nil"/>
            </w:tcBorders>
            <w:shd w:val="clear" w:color="auto" w:fill="auto"/>
            <w:noWrap/>
            <w:vAlign w:val="bottom"/>
            <w:hideMark/>
          </w:tcPr>
          <w:p w14:paraId="55D0862C"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2.6%</w:t>
            </w:r>
          </w:p>
        </w:tc>
        <w:tc>
          <w:tcPr>
            <w:tcW w:w="1017" w:type="dxa"/>
            <w:tcBorders>
              <w:top w:val="nil"/>
              <w:left w:val="nil"/>
              <w:bottom w:val="nil"/>
              <w:right w:val="nil"/>
            </w:tcBorders>
            <w:shd w:val="clear" w:color="auto" w:fill="auto"/>
            <w:noWrap/>
            <w:vAlign w:val="bottom"/>
            <w:hideMark/>
          </w:tcPr>
          <w:p w14:paraId="3BB8285E"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1.9%</w:t>
            </w:r>
          </w:p>
        </w:tc>
        <w:tc>
          <w:tcPr>
            <w:tcW w:w="960" w:type="dxa"/>
            <w:tcBorders>
              <w:top w:val="nil"/>
              <w:left w:val="nil"/>
              <w:bottom w:val="nil"/>
              <w:right w:val="nil"/>
            </w:tcBorders>
            <w:shd w:val="clear" w:color="auto" w:fill="auto"/>
            <w:noWrap/>
            <w:vAlign w:val="bottom"/>
            <w:hideMark/>
          </w:tcPr>
          <w:p w14:paraId="22F16495"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1.9%</w:t>
            </w:r>
          </w:p>
        </w:tc>
        <w:tc>
          <w:tcPr>
            <w:tcW w:w="960" w:type="dxa"/>
            <w:tcBorders>
              <w:top w:val="nil"/>
              <w:left w:val="nil"/>
              <w:bottom w:val="nil"/>
              <w:right w:val="nil"/>
            </w:tcBorders>
            <w:shd w:val="clear" w:color="auto" w:fill="auto"/>
            <w:noWrap/>
            <w:vAlign w:val="bottom"/>
            <w:hideMark/>
          </w:tcPr>
          <w:p w14:paraId="21AC7814"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97.4%</w:t>
            </w:r>
          </w:p>
        </w:tc>
        <w:tc>
          <w:tcPr>
            <w:tcW w:w="1017" w:type="dxa"/>
            <w:tcBorders>
              <w:top w:val="nil"/>
              <w:left w:val="nil"/>
              <w:bottom w:val="nil"/>
              <w:right w:val="nil"/>
            </w:tcBorders>
            <w:shd w:val="clear" w:color="auto" w:fill="auto"/>
            <w:noWrap/>
            <w:vAlign w:val="bottom"/>
            <w:hideMark/>
          </w:tcPr>
          <w:p w14:paraId="708769D5"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98.1%</w:t>
            </w:r>
          </w:p>
        </w:tc>
        <w:tc>
          <w:tcPr>
            <w:tcW w:w="960" w:type="dxa"/>
            <w:tcBorders>
              <w:top w:val="nil"/>
              <w:left w:val="nil"/>
              <w:bottom w:val="nil"/>
              <w:right w:val="nil"/>
            </w:tcBorders>
            <w:shd w:val="clear" w:color="auto" w:fill="auto"/>
            <w:noWrap/>
            <w:vAlign w:val="bottom"/>
            <w:hideMark/>
          </w:tcPr>
          <w:p w14:paraId="15F41707"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98.1%</w:t>
            </w:r>
          </w:p>
        </w:tc>
      </w:tr>
      <w:tr w:rsidR="005B2293" w:rsidRPr="005B2293" w14:paraId="477D7C1D" w14:textId="77777777" w:rsidTr="005B2293">
        <w:trPr>
          <w:trHeight w:val="288"/>
          <w:jc w:val="center"/>
        </w:trPr>
        <w:tc>
          <w:tcPr>
            <w:tcW w:w="1160" w:type="dxa"/>
            <w:tcBorders>
              <w:top w:val="nil"/>
              <w:left w:val="nil"/>
              <w:bottom w:val="nil"/>
              <w:right w:val="nil"/>
            </w:tcBorders>
            <w:shd w:val="clear" w:color="auto" w:fill="auto"/>
            <w:noWrap/>
            <w:vAlign w:val="bottom"/>
            <w:hideMark/>
          </w:tcPr>
          <w:p w14:paraId="16890555"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2050</w:t>
            </w:r>
          </w:p>
        </w:tc>
        <w:tc>
          <w:tcPr>
            <w:tcW w:w="960" w:type="dxa"/>
            <w:tcBorders>
              <w:top w:val="nil"/>
              <w:left w:val="nil"/>
              <w:bottom w:val="nil"/>
              <w:right w:val="nil"/>
            </w:tcBorders>
            <w:shd w:val="clear" w:color="auto" w:fill="auto"/>
            <w:noWrap/>
            <w:vAlign w:val="bottom"/>
            <w:hideMark/>
          </w:tcPr>
          <w:p w14:paraId="219E51D7"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1.4%</w:t>
            </w:r>
          </w:p>
        </w:tc>
        <w:tc>
          <w:tcPr>
            <w:tcW w:w="1017" w:type="dxa"/>
            <w:tcBorders>
              <w:top w:val="nil"/>
              <w:left w:val="nil"/>
              <w:bottom w:val="nil"/>
              <w:right w:val="nil"/>
            </w:tcBorders>
            <w:shd w:val="clear" w:color="auto" w:fill="auto"/>
            <w:noWrap/>
            <w:vAlign w:val="bottom"/>
            <w:hideMark/>
          </w:tcPr>
          <w:p w14:paraId="51B67547"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0.9%</w:t>
            </w:r>
          </w:p>
        </w:tc>
        <w:tc>
          <w:tcPr>
            <w:tcW w:w="960" w:type="dxa"/>
            <w:tcBorders>
              <w:top w:val="nil"/>
              <w:left w:val="nil"/>
              <w:bottom w:val="nil"/>
              <w:right w:val="nil"/>
            </w:tcBorders>
            <w:shd w:val="clear" w:color="auto" w:fill="auto"/>
            <w:noWrap/>
            <w:vAlign w:val="bottom"/>
            <w:hideMark/>
          </w:tcPr>
          <w:p w14:paraId="5FBE0C44"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0.9%</w:t>
            </w:r>
          </w:p>
        </w:tc>
        <w:tc>
          <w:tcPr>
            <w:tcW w:w="960" w:type="dxa"/>
            <w:tcBorders>
              <w:top w:val="nil"/>
              <w:left w:val="nil"/>
              <w:bottom w:val="nil"/>
              <w:right w:val="nil"/>
            </w:tcBorders>
            <w:shd w:val="clear" w:color="auto" w:fill="auto"/>
            <w:noWrap/>
            <w:vAlign w:val="bottom"/>
            <w:hideMark/>
          </w:tcPr>
          <w:p w14:paraId="18E986FD"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98.6%</w:t>
            </w:r>
          </w:p>
        </w:tc>
        <w:tc>
          <w:tcPr>
            <w:tcW w:w="1017" w:type="dxa"/>
            <w:tcBorders>
              <w:top w:val="nil"/>
              <w:left w:val="nil"/>
              <w:bottom w:val="nil"/>
              <w:right w:val="nil"/>
            </w:tcBorders>
            <w:shd w:val="clear" w:color="auto" w:fill="auto"/>
            <w:noWrap/>
            <w:vAlign w:val="bottom"/>
            <w:hideMark/>
          </w:tcPr>
          <w:p w14:paraId="51EC5C2B"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99.1%</w:t>
            </w:r>
          </w:p>
        </w:tc>
        <w:tc>
          <w:tcPr>
            <w:tcW w:w="960" w:type="dxa"/>
            <w:tcBorders>
              <w:top w:val="nil"/>
              <w:left w:val="nil"/>
              <w:bottom w:val="nil"/>
              <w:right w:val="nil"/>
            </w:tcBorders>
            <w:shd w:val="clear" w:color="auto" w:fill="auto"/>
            <w:noWrap/>
            <w:vAlign w:val="bottom"/>
            <w:hideMark/>
          </w:tcPr>
          <w:p w14:paraId="7398C9AA"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99.1%</w:t>
            </w:r>
          </w:p>
        </w:tc>
      </w:tr>
      <w:tr w:rsidR="005B2293" w:rsidRPr="005B2293" w14:paraId="502927A1" w14:textId="77777777" w:rsidTr="005B2293">
        <w:trPr>
          <w:trHeight w:val="288"/>
          <w:jc w:val="center"/>
        </w:trPr>
        <w:tc>
          <w:tcPr>
            <w:tcW w:w="1160" w:type="dxa"/>
            <w:tcBorders>
              <w:top w:val="nil"/>
              <w:left w:val="nil"/>
              <w:bottom w:val="nil"/>
              <w:right w:val="nil"/>
            </w:tcBorders>
            <w:shd w:val="clear" w:color="auto" w:fill="auto"/>
            <w:noWrap/>
            <w:vAlign w:val="bottom"/>
            <w:hideMark/>
          </w:tcPr>
          <w:p w14:paraId="340F3A08"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2060</w:t>
            </w:r>
          </w:p>
        </w:tc>
        <w:tc>
          <w:tcPr>
            <w:tcW w:w="960" w:type="dxa"/>
            <w:tcBorders>
              <w:top w:val="nil"/>
              <w:left w:val="nil"/>
              <w:bottom w:val="nil"/>
              <w:right w:val="nil"/>
            </w:tcBorders>
            <w:shd w:val="clear" w:color="auto" w:fill="auto"/>
            <w:noWrap/>
            <w:vAlign w:val="bottom"/>
            <w:hideMark/>
          </w:tcPr>
          <w:p w14:paraId="4732020C"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0.8%</w:t>
            </w:r>
          </w:p>
        </w:tc>
        <w:tc>
          <w:tcPr>
            <w:tcW w:w="1017" w:type="dxa"/>
            <w:tcBorders>
              <w:top w:val="nil"/>
              <w:left w:val="nil"/>
              <w:bottom w:val="nil"/>
              <w:right w:val="nil"/>
            </w:tcBorders>
            <w:shd w:val="clear" w:color="auto" w:fill="auto"/>
            <w:noWrap/>
            <w:vAlign w:val="bottom"/>
            <w:hideMark/>
          </w:tcPr>
          <w:p w14:paraId="64856897"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0.4%</w:t>
            </w:r>
          </w:p>
        </w:tc>
        <w:tc>
          <w:tcPr>
            <w:tcW w:w="960" w:type="dxa"/>
            <w:tcBorders>
              <w:top w:val="nil"/>
              <w:left w:val="nil"/>
              <w:bottom w:val="nil"/>
              <w:right w:val="nil"/>
            </w:tcBorders>
            <w:shd w:val="clear" w:color="auto" w:fill="auto"/>
            <w:noWrap/>
            <w:vAlign w:val="bottom"/>
            <w:hideMark/>
          </w:tcPr>
          <w:p w14:paraId="6D0A47B6"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0.4%</w:t>
            </w:r>
          </w:p>
        </w:tc>
        <w:tc>
          <w:tcPr>
            <w:tcW w:w="960" w:type="dxa"/>
            <w:tcBorders>
              <w:top w:val="nil"/>
              <w:left w:val="nil"/>
              <w:bottom w:val="nil"/>
              <w:right w:val="nil"/>
            </w:tcBorders>
            <w:shd w:val="clear" w:color="auto" w:fill="auto"/>
            <w:noWrap/>
            <w:vAlign w:val="bottom"/>
            <w:hideMark/>
          </w:tcPr>
          <w:p w14:paraId="3E6E0FAC"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99.2%</w:t>
            </w:r>
          </w:p>
        </w:tc>
        <w:tc>
          <w:tcPr>
            <w:tcW w:w="1017" w:type="dxa"/>
            <w:tcBorders>
              <w:top w:val="nil"/>
              <w:left w:val="nil"/>
              <w:bottom w:val="nil"/>
              <w:right w:val="nil"/>
            </w:tcBorders>
            <w:shd w:val="clear" w:color="auto" w:fill="auto"/>
            <w:noWrap/>
            <w:vAlign w:val="bottom"/>
            <w:hideMark/>
          </w:tcPr>
          <w:p w14:paraId="1F5C0B62"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99.6%</w:t>
            </w:r>
          </w:p>
        </w:tc>
        <w:tc>
          <w:tcPr>
            <w:tcW w:w="960" w:type="dxa"/>
            <w:tcBorders>
              <w:top w:val="nil"/>
              <w:left w:val="nil"/>
              <w:bottom w:val="nil"/>
              <w:right w:val="nil"/>
            </w:tcBorders>
            <w:shd w:val="clear" w:color="auto" w:fill="auto"/>
            <w:noWrap/>
            <w:vAlign w:val="bottom"/>
            <w:hideMark/>
          </w:tcPr>
          <w:p w14:paraId="292D7689"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99.6%</w:t>
            </w:r>
          </w:p>
        </w:tc>
      </w:tr>
      <w:tr w:rsidR="005B2293" w:rsidRPr="005B2293" w14:paraId="32C4263B" w14:textId="77777777" w:rsidTr="005B2293">
        <w:trPr>
          <w:trHeight w:val="288"/>
          <w:jc w:val="center"/>
        </w:trPr>
        <w:tc>
          <w:tcPr>
            <w:tcW w:w="1160" w:type="dxa"/>
            <w:tcBorders>
              <w:top w:val="nil"/>
              <w:left w:val="nil"/>
              <w:bottom w:val="nil"/>
              <w:right w:val="nil"/>
            </w:tcBorders>
            <w:shd w:val="clear" w:color="auto" w:fill="auto"/>
            <w:noWrap/>
            <w:vAlign w:val="bottom"/>
            <w:hideMark/>
          </w:tcPr>
          <w:p w14:paraId="55E23EBA"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2070</w:t>
            </w:r>
          </w:p>
        </w:tc>
        <w:tc>
          <w:tcPr>
            <w:tcW w:w="960" w:type="dxa"/>
            <w:tcBorders>
              <w:top w:val="nil"/>
              <w:left w:val="nil"/>
              <w:bottom w:val="nil"/>
              <w:right w:val="nil"/>
            </w:tcBorders>
            <w:shd w:val="clear" w:color="auto" w:fill="auto"/>
            <w:noWrap/>
            <w:vAlign w:val="bottom"/>
            <w:hideMark/>
          </w:tcPr>
          <w:p w14:paraId="638D4D58"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0.5%</w:t>
            </w:r>
          </w:p>
        </w:tc>
        <w:tc>
          <w:tcPr>
            <w:tcW w:w="1017" w:type="dxa"/>
            <w:tcBorders>
              <w:top w:val="nil"/>
              <w:left w:val="nil"/>
              <w:bottom w:val="nil"/>
              <w:right w:val="nil"/>
            </w:tcBorders>
            <w:shd w:val="clear" w:color="auto" w:fill="auto"/>
            <w:noWrap/>
            <w:vAlign w:val="bottom"/>
            <w:hideMark/>
          </w:tcPr>
          <w:p w14:paraId="3EDD18C3"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0.2%</w:t>
            </w:r>
          </w:p>
        </w:tc>
        <w:tc>
          <w:tcPr>
            <w:tcW w:w="960" w:type="dxa"/>
            <w:tcBorders>
              <w:top w:val="nil"/>
              <w:left w:val="nil"/>
              <w:bottom w:val="nil"/>
              <w:right w:val="nil"/>
            </w:tcBorders>
            <w:shd w:val="clear" w:color="auto" w:fill="auto"/>
            <w:noWrap/>
            <w:vAlign w:val="bottom"/>
            <w:hideMark/>
          </w:tcPr>
          <w:p w14:paraId="430BCAFB"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0.2%</w:t>
            </w:r>
          </w:p>
        </w:tc>
        <w:tc>
          <w:tcPr>
            <w:tcW w:w="960" w:type="dxa"/>
            <w:tcBorders>
              <w:top w:val="nil"/>
              <w:left w:val="nil"/>
              <w:bottom w:val="nil"/>
              <w:right w:val="nil"/>
            </w:tcBorders>
            <w:shd w:val="clear" w:color="auto" w:fill="auto"/>
            <w:noWrap/>
            <w:vAlign w:val="bottom"/>
            <w:hideMark/>
          </w:tcPr>
          <w:p w14:paraId="3676C65E"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99.5%</w:t>
            </w:r>
          </w:p>
        </w:tc>
        <w:tc>
          <w:tcPr>
            <w:tcW w:w="1017" w:type="dxa"/>
            <w:tcBorders>
              <w:top w:val="nil"/>
              <w:left w:val="nil"/>
              <w:bottom w:val="nil"/>
              <w:right w:val="nil"/>
            </w:tcBorders>
            <w:shd w:val="clear" w:color="auto" w:fill="auto"/>
            <w:noWrap/>
            <w:vAlign w:val="bottom"/>
            <w:hideMark/>
          </w:tcPr>
          <w:p w14:paraId="05A4CD0F"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99.8%</w:t>
            </w:r>
          </w:p>
        </w:tc>
        <w:tc>
          <w:tcPr>
            <w:tcW w:w="960" w:type="dxa"/>
            <w:tcBorders>
              <w:top w:val="nil"/>
              <w:left w:val="nil"/>
              <w:bottom w:val="nil"/>
              <w:right w:val="nil"/>
            </w:tcBorders>
            <w:shd w:val="clear" w:color="auto" w:fill="auto"/>
            <w:noWrap/>
            <w:vAlign w:val="bottom"/>
            <w:hideMark/>
          </w:tcPr>
          <w:p w14:paraId="1E5B61D0" w14:textId="77777777" w:rsidR="005B2293" w:rsidRPr="005B2293" w:rsidRDefault="005B2293" w:rsidP="005B2293">
            <w:pPr>
              <w:spacing w:after="0" w:line="240" w:lineRule="auto"/>
              <w:jc w:val="right"/>
              <w:rPr>
                <w:rFonts w:ascii="Calibri" w:eastAsia="Times New Roman" w:hAnsi="Calibri" w:cs="Calibri"/>
                <w:color w:val="000000"/>
                <w:sz w:val="20"/>
                <w:szCs w:val="20"/>
                <w:lang w:val="en-US"/>
              </w:rPr>
            </w:pPr>
            <w:r w:rsidRPr="005B2293">
              <w:rPr>
                <w:rFonts w:ascii="Calibri" w:eastAsia="Times New Roman" w:hAnsi="Calibri" w:cs="Calibri"/>
                <w:color w:val="000000"/>
                <w:sz w:val="20"/>
                <w:szCs w:val="20"/>
                <w:lang w:val="en-US"/>
              </w:rPr>
              <w:t>99.8%</w:t>
            </w:r>
          </w:p>
        </w:tc>
      </w:tr>
    </w:tbl>
    <w:p w14:paraId="7A14D5D0" w14:textId="7E734819" w:rsidR="000C2803" w:rsidRDefault="000C2803" w:rsidP="00752E6B">
      <w:pPr>
        <w:rPr>
          <w:lang w:val="en-001"/>
        </w:rPr>
      </w:pPr>
    </w:p>
    <w:p w14:paraId="27A1DCDF" w14:textId="3E833F95" w:rsidR="00BC112F" w:rsidRDefault="00BC112F" w:rsidP="00752E6B">
      <w:pPr>
        <w:rPr>
          <w:lang w:val="en-001"/>
        </w:rPr>
      </w:pPr>
      <w:r>
        <w:rPr>
          <w:lang w:val="en-001"/>
        </w:rPr>
        <w:lastRenderedPageBreak/>
        <w:t>After including the elements of behavioral realism in this part of the work (referred to as Scenario 3), the importance of electric vehicles dropped as compared to the previous stage of the work (referred to as Scenario 2). This drop in electric vehicle use is reflected in slightly increased greenhouse gas emissions as compared to the scenario with no user behavior (Table 4).</w:t>
      </w:r>
    </w:p>
    <w:p w14:paraId="2AD7F855" w14:textId="05BDD799" w:rsidR="00BC112F" w:rsidRPr="00BC112F" w:rsidRDefault="00BC112F" w:rsidP="00BC112F">
      <w:pPr>
        <w:pStyle w:val="Caption"/>
        <w:keepNext/>
        <w:rPr>
          <w:lang w:val="en-US"/>
        </w:rPr>
      </w:pPr>
      <w:r w:rsidRPr="00BC112F">
        <w:rPr>
          <w:lang w:val="en-US"/>
        </w:rPr>
        <w:t xml:space="preserve">Table </w:t>
      </w:r>
      <w:r>
        <w:fldChar w:fldCharType="begin"/>
      </w:r>
      <w:r w:rsidRPr="00BC112F">
        <w:rPr>
          <w:lang w:val="en-US"/>
        </w:rPr>
        <w:instrText xml:space="preserve"> SEQ Table \* ARABIC </w:instrText>
      </w:r>
      <w:r>
        <w:fldChar w:fldCharType="separate"/>
      </w:r>
      <w:r w:rsidRPr="00BC112F">
        <w:rPr>
          <w:noProof/>
          <w:lang w:val="en-US"/>
        </w:rPr>
        <w:t>4</w:t>
      </w:r>
      <w:r>
        <w:fldChar w:fldCharType="end"/>
      </w:r>
      <w:r>
        <w:rPr>
          <w:lang w:val="en-001"/>
        </w:rPr>
        <w:t>: Greenhouse gas emissions in Scenario 2 and Scenario 3 (with elements of user behavior).</w:t>
      </w:r>
    </w:p>
    <w:tbl>
      <w:tblPr>
        <w:tblW w:w="5670" w:type="dxa"/>
        <w:jc w:val="center"/>
        <w:tblLook w:val="04A0" w:firstRow="1" w:lastRow="0" w:firstColumn="1" w:lastColumn="0" w:noHBand="0" w:noVBand="1"/>
      </w:tblPr>
      <w:tblGrid>
        <w:gridCol w:w="960"/>
        <w:gridCol w:w="2584"/>
        <w:gridCol w:w="2126"/>
      </w:tblGrid>
      <w:tr w:rsidR="00BC112F" w:rsidRPr="00BC112F" w14:paraId="482C97DE" w14:textId="77777777" w:rsidTr="00BC112F">
        <w:trPr>
          <w:trHeight w:val="288"/>
          <w:jc w:val="center"/>
        </w:trPr>
        <w:tc>
          <w:tcPr>
            <w:tcW w:w="960" w:type="dxa"/>
            <w:tcBorders>
              <w:top w:val="nil"/>
              <w:left w:val="nil"/>
              <w:bottom w:val="nil"/>
              <w:right w:val="nil"/>
            </w:tcBorders>
            <w:shd w:val="clear" w:color="auto" w:fill="auto"/>
            <w:noWrap/>
            <w:vAlign w:val="bottom"/>
            <w:hideMark/>
          </w:tcPr>
          <w:p w14:paraId="4ED30A0A" w14:textId="77777777" w:rsidR="00BC112F" w:rsidRPr="00BC112F" w:rsidRDefault="00BC112F" w:rsidP="00BC112F">
            <w:pPr>
              <w:spacing w:after="0" w:line="240" w:lineRule="auto"/>
              <w:rPr>
                <w:rFonts w:ascii="Times New Roman" w:eastAsia="Times New Roman" w:hAnsi="Times New Roman" w:cs="Times New Roman"/>
                <w:sz w:val="24"/>
                <w:szCs w:val="24"/>
                <w:lang w:val="en-US"/>
              </w:rPr>
            </w:pPr>
          </w:p>
        </w:tc>
        <w:tc>
          <w:tcPr>
            <w:tcW w:w="4710" w:type="dxa"/>
            <w:gridSpan w:val="2"/>
            <w:tcBorders>
              <w:top w:val="nil"/>
              <w:left w:val="nil"/>
              <w:bottom w:val="nil"/>
              <w:right w:val="nil"/>
            </w:tcBorders>
            <w:shd w:val="clear" w:color="auto" w:fill="auto"/>
            <w:noWrap/>
            <w:vAlign w:val="bottom"/>
            <w:hideMark/>
          </w:tcPr>
          <w:p w14:paraId="3C23E59D" w14:textId="6EF9BA79" w:rsidR="00BC112F" w:rsidRPr="00BC112F" w:rsidRDefault="00BC112F" w:rsidP="00BC112F">
            <w:pPr>
              <w:spacing w:after="0" w:line="240" w:lineRule="auto"/>
              <w:rPr>
                <w:rFonts w:ascii="Calibri" w:eastAsia="Times New Roman" w:hAnsi="Calibri" w:cs="Calibri"/>
                <w:color w:val="000000"/>
                <w:lang w:val="en-US"/>
              </w:rPr>
            </w:pPr>
            <w:r w:rsidRPr="00BC112F">
              <w:rPr>
                <w:rFonts w:ascii="Calibri" w:eastAsia="Times New Roman" w:hAnsi="Calibri" w:cs="Calibri"/>
                <w:color w:val="000000"/>
                <w:lang w:val="en-US"/>
              </w:rPr>
              <w:t>Emissions (MtCO2-eq)</w:t>
            </w:r>
          </w:p>
        </w:tc>
      </w:tr>
      <w:tr w:rsidR="00BC112F" w:rsidRPr="00BC112F" w14:paraId="39AEB3F7" w14:textId="77777777" w:rsidTr="00BC112F">
        <w:trPr>
          <w:trHeight w:val="288"/>
          <w:jc w:val="center"/>
        </w:trPr>
        <w:tc>
          <w:tcPr>
            <w:tcW w:w="960" w:type="dxa"/>
            <w:tcBorders>
              <w:top w:val="nil"/>
              <w:left w:val="nil"/>
              <w:bottom w:val="single" w:sz="4" w:space="0" w:color="auto"/>
              <w:right w:val="nil"/>
            </w:tcBorders>
            <w:shd w:val="clear" w:color="auto" w:fill="auto"/>
            <w:noWrap/>
            <w:vAlign w:val="bottom"/>
            <w:hideMark/>
          </w:tcPr>
          <w:p w14:paraId="71CB05B3" w14:textId="77777777" w:rsidR="00BC112F" w:rsidRPr="00BC112F" w:rsidRDefault="00BC112F" w:rsidP="00BC112F">
            <w:pPr>
              <w:spacing w:after="0" w:line="240" w:lineRule="auto"/>
              <w:rPr>
                <w:rFonts w:ascii="Times New Roman" w:eastAsia="Times New Roman" w:hAnsi="Times New Roman" w:cs="Times New Roman"/>
                <w:sz w:val="20"/>
                <w:szCs w:val="20"/>
                <w:lang w:val="en-US"/>
              </w:rPr>
            </w:pPr>
          </w:p>
        </w:tc>
        <w:tc>
          <w:tcPr>
            <w:tcW w:w="2584" w:type="dxa"/>
            <w:tcBorders>
              <w:top w:val="nil"/>
              <w:left w:val="nil"/>
              <w:bottom w:val="single" w:sz="4" w:space="0" w:color="auto"/>
              <w:right w:val="nil"/>
            </w:tcBorders>
            <w:shd w:val="clear" w:color="auto" w:fill="auto"/>
            <w:noWrap/>
            <w:vAlign w:val="bottom"/>
            <w:hideMark/>
          </w:tcPr>
          <w:p w14:paraId="14A68D01" w14:textId="7277E179" w:rsidR="00BC112F" w:rsidRPr="00BC112F" w:rsidRDefault="00BC112F" w:rsidP="00BC112F">
            <w:pPr>
              <w:spacing w:after="0" w:line="240" w:lineRule="auto"/>
              <w:rPr>
                <w:rFonts w:ascii="Calibri" w:eastAsia="Times New Roman" w:hAnsi="Calibri" w:cs="Calibri"/>
                <w:color w:val="000000"/>
                <w:lang w:val="en-001"/>
              </w:rPr>
            </w:pPr>
            <w:r>
              <w:rPr>
                <w:rFonts w:ascii="Calibri" w:eastAsia="Times New Roman" w:hAnsi="Calibri" w:cs="Calibri"/>
                <w:color w:val="000000"/>
                <w:lang w:val="en-001"/>
              </w:rPr>
              <w:t>Scenario 2 (</w:t>
            </w:r>
            <w:r w:rsidRPr="00BC112F">
              <w:rPr>
                <w:rFonts w:ascii="Calibri" w:eastAsia="Times New Roman" w:hAnsi="Calibri" w:cs="Calibri"/>
                <w:color w:val="000000"/>
                <w:lang w:val="en-US"/>
              </w:rPr>
              <w:t>no behavior</w:t>
            </w:r>
            <w:r>
              <w:rPr>
                <w:rFonts w:ascii="Calibri" w:eastAsia="Times New Roman" w:hAnsi="Calibri" w:cs="Calibri"/>
                <w:color w:val="000000"/>
                <w:lang w:val="en-001"/>
              </w:rPr>
              <w:t>)</w:t>
            </w:r>
          </w:p>
        </w:tc>
        <w:tc>
          <w:tcPr>
            <w:tcW w:w="2126" w:type="dxa"/>
            <w:tcBorders>
              <w:top w:val="nil"/>
              <w:left w:val="nil"/>
              <w:bottom w:val="single" w:sz="4" w:space="0" w:color="auto"/>
              <w:right w:val="nil"/>
            </w:tcBorders>
            <w:shd w:val="clear" w:color="auto" w:fill="auto"/>
            <w:noWrap/>
            <w:vAlign w:val="bottom"/>
            <w:hideMark/>
          </w:tcPr>
          <w:p w14:paraId="547C2545" w14:textId="7C15B52A" w:rsidR="00BC112F" w:rsidRPr="00BC112F" w:rsidRDefault="00BC112F" w:rsidP="00BC112F">
            <w:pPr>
              <w:spacing w:after="0" w:line="240" w:lineRule="auto"/>
              <w:rPr>
                <w:rFonts w:ascii="Calibri" w:eastAsia="Times New Roman" w:hAnsi="Calibri" w:cs="Calibri"/>
                <w:color w:val="000000"/>
                <w:lang w:val="en-001"/>
              </w:rPr>
            </w:pPr>
            <w:r>
              <w:rPr>
                <w:rFonts w:ascii="Calibri" w:eastAsia="Times New Roman" w:hAnsi="Calibri" w:cs="Calibri"/>
                <w:color w:val="000000"/>
                <w:lang w:val="en-001"/>
              </w:rPr>
              <w:t>Scenario 3 (</w:t>
            </w:r>
            <w:r w:rsidRPr="00BC112F">
              <w:rPr>
                <w:rFonts w:ascii="Calibri" w:eastAsia="Times New Roman" w:hAnsi="Calibri" w:cs="Calibri"/>
                <w:color w:val="000000"/>
                <w:lang w:val="en-US"/>
              </w:rPr>
              <w:t>behavior</w:t>
            </w:r>
            <w:r>
              <w:rPr>
                <w:rFonts w:ascii="Calibri" w:eastAsia="Times New Roman" w:hAnsi="Calibri" w:cs="Calibri"/>
                <w:color w:val="000000"/>
                <w:lang w:val="en-001"/>
              </w:rPr>
              <w:t>)</w:t>
            </w:r>
          </w:p>
        </w:tc>
      </w:tr>
      <w:tr w:rsidR="00BC112F" w:rsidRPr="00BC112F" w14:paraId="297B54C6" w14:textId="77777777" w:rsidTr="00BC112F">
        <w:trPr>
          <w:trHeight w:val="288"/>
          <w:jc w:val="center"/>
        </w:trPr>
        <w:tc>
          <w:tcPr>
            <w:tcW w:w="960" w:type="dxa"/>
            <w:tcBorders>
              <w:top w:val="single" w:sz="4" w:space="0" w:color="auto"/>
              <w:left w:val="nil"/>
              <w:bottom w:val="nil"/>
              <w:right w:val="nil"/>
            </w:tcBorders>
            <w:shd w:val="clear" w:color="auto" w:fill="auto"/>
            <w:noWrap/>
            <w:vAlign w:val="bottom"/>
            <w:hideMark/>
          </w:tcPr>
          <w:p w14:paraId="7E3AD3C8"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2020</w:t>
            </w:r>
          </w:p>
        </w:tc>
        <w:tc>
          <w:tcPr>
            <w:tcW w:w="2584" w:type="dxa"/>
            <w:tcBorders>
              <w:top w:val="single" w:sz="4" w:space="0" w:color="auto"/>
              <w:left w:val="nil"/>
              <w:bottom w:val="nil"/>
              <w:right w:val="nil"/>
            </w:tcBorders>
            <w:shd w:val="clear" w:color="auto" w:fill="auto"/>
            <w:noWrap/>
            <w:vAlign w:val="bottom"/>
            <w:hideMark/>
          </w:tcPr>
          <w:p w14:paraId="31DBA3AE"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521.45</w:t>
            </w:r>
          </w:p>
        </w:tc>
        <w:tc>
          <w:tcPr>
            <w:tcW w:w="2126" w:type="dxa"/>
            <w:tcBorders>
              <w:top w:val="single" w:sz="4" w:space="0" w:color="auto"/>
              <w:left w:val="nil"/>
              <w:bottom w:val="nil"/>
              <w:right w:val="nil"/>
            </w:tcBorders>
            <w:shd w:val="clear" w:color="auto" w:fill="auto"/>
            <w:noWrap/>
            <w:vAlign w:val="bottom"/>
            <w:hideMark/>
          </w:tcPr>
          <w:p w14:paraId="52232626"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521.45</w:t>
            </w:r>
          </w:p>
        </w:tc>
      </w:tr>
      <w:tr w:rsidR="00BC112F" w:rsidRPr="00BC112F" w14:paraId="6F63326B" w14:textId="77777777" w:rsidTr="00BC112F">
        <w:trPr>
          <w:trHeight w:val="288"/>
          <w:jc w:val="center"/>
        </w:trPr>
        <w:tc>
          <w:tcPr>
            <w:tcW w:w="960" w:type="dxa"/>
            <w:tcBorders>
              <w:top w:val="nil"/>
              <w:left w:val="nil"/>
              <w:bottom w:val="nil"/>
              <w:right w:val="nil"/>
            </w:tcBorders>
            <w:shd w:val="clear" w:color="auto" w:fill="auto"/>
            <w:noWrap/>
            <w:vAlign w:val="bottom"/>
            <w:hideMark/>
          </w:tcPr>
          <w:p w14:paraId="7B700904"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2030</w:t>
            </w:r>
          </w:p>
        </w:tc>
        <w:tc>
          <w:tcPr>
            <w:tcW w:w="2584" w:type="dxa"/>
            <w:tcBorders>
              <w:top w:val="nil"/>
              <w:left w:val="nil"/>
              <w:bottom w:val="nil"/>
              <w:right w:val="nil"/>
            </w:tcBorders>
            <w:shd w:val="clear" w:color="auto" w:fill="auto"/>
            <w:noWrap/>
            <w:vAlign w:val="bottom"/>
            <w:hideMark/>
          </w:tcPr>
          <w:p w14:paraId="1416DD89"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615.63</w:t>
            </w:r>
          </w:p>
        </w:tc>
        <w:tc>
          <w:tcPr>
            <w:tcW w:w="2126" w:type="dxa"/>
            <w:tcBorders>
              <w:top w:val="nil"/>
              <w:left w:val="nil"/>
              <w:bottom w:val="nil"/>
              <w:right w:val="nil"/>
            </w:tcBorders>
            <w:shd w:val="clear" w:color="auto" w:fill="auto"/>
            <w:noWrap/>
            <w:vAlign w:val="bottom"/>
            <w:hideMark/>
          </w:tcPr>
          <w:p w14:paraId="4C3D86A4"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615.63</w:t>
            </w:r>
          </w:p>
        </w:tc>
      </w:tr>
      <w:tr w:rsidR="00BC112F" w:rsidRPr="00BC112F" w14:paraId="7C4E6E39" w14:textId="77777777" w:rsidTr="00BC112F">
        <w:trPr>
          <w:trHeight w:val="288"/>
          <w:jc w:val="center"/>
        </w:trPr>
        <w:tc>
          <w:tcPr>
            <w:tcW w:w="960" w:type="dxa"/>
            <w:tcBorders>
              <w:top w:val="nil"/>
              <w:left w:val="nil"/>
              <w:bottom w:val="nil"/>
              <w:right w:val="nil"/>
            </w:tcBorders>
            <w:shd w:val="clear" w:color="auto" w:fill="auto"/>
            <w:noWrap/>
            <w:vAlign w:val="bottom"/>
            <w:hideMark/>
          </w:tcPr>
          <w:p w14:paraId="4B9221D7"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2040</w:t>
            </w:r>
          </w:p>
        </w:tc>
        <w:tc>
          <w:tcPr>
            <w:tcW w:w="2584" w:type="dxa"/>
            <w:tcBorders>
              <w:top w:val="nil"/>
              <w:left w:val="nil"/>
              <w:bottom w:val="nil"/>
              <w:right w:val="nil"/>
            </w:tcBorders>
            <w:shd w:val="clear" w:color="auto" w:fill="auto"/>
            <w:noWrap/>
            <w:vAlign w:val="bottom"/>
            <w:hideMark/>
          </w:tcPr>
          <w:p w14:paraId="40290F65"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699.96</w:t>
            </w:r>
          </w:p>
        </w:tc>
        <w:tc>
          <w:tcPr>
            <w:tcW w:w="2126" w:type="dxa"/>
            <w:tcBorders>
              <w:top w:val="nil"/>
              <w:left w:val="nil"/>
              <w:bottom w:val="nil"/>
              <w:right w:val="nil"/>
            </w:tcBorders>
            <w:shd w:val="clear" w:color="auto" w:fill="auto"/>
            <w:noWrap/>
            <w:vAlign w:val="bottom"/>
            <w:hideMark/>
          </w:tcPr>
          <w:p w14:paraId="02406AD0"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701.97</w:t>
            </w:r>
          </w:p>
        </w:tc>
      </w:tr>
      <w:tr w:rsidR="00BC112F" w:rsidRPr="00BC112F" w14:paraId="76E80520" w14:textId="77777777" w:rsidTr="00BC112F">
        <w:trPr>
          <w:trHeight w:val="288"/>
          <w:jc w:val="center"/>
        </w:trPr>
        <w:tc>
          <w:tcPr>
            <w:tcW w:w="960" w:type="dxa"/>
            <w:tcBorders>
              <w:top w:val="nil"/>
              <w:left w:val="nil"/>
              <w:bottom w:val="nil"/>
              <w:right w:val="nil"/>
            </w:tcBorders>
            <w:shd w:val="clear" w:color="auto" w:fill="auto"/>
            <w:noWrap/>
            <w:vAlign w:val="bottom"/>
            <w:hideMark/>
          </w:tcPr>
          <w:p w14:paraId="67E7778B"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2050</w:t>
            </w:r>
          </w:p>
        </w:tc>
        <w:tc>
          <w:tcPr>
            <w:tcW w:w="2584" w:type="dxa"/>
            <w:tcBorders>
              <w:top w:val="nil"/>
              <w:left w:val="nil"/>
              <w:bottom w:val="nil"/>
              <w:right w:val="nil"/>
            </w:tcBorders>
            <w:shd w:val="clear" w:color="auto" w:fill="auto"/>
            <w:noWrap/>
            <w:vAlign w:val="bottom"/>
            <w:hideMark/>
          </w:tcPr>
          <w:p w14:paraId="35E20390"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849.09</w:t>
            </w:r>
          </w:p>
        </w:tc>
        <w:tc>
          <w:tcPr>
            <w:tcW w:w="2126" w:type="dxa"/>
            <w:tcBorders>
              <w:top w:val="nil"/>
              <w:left w:val="nil"/>
              <w:bottom w:val="nil"/>
              <w:right w:val="nil"/>
            </w:tcBorders>
            <w:shd w:val="clear" w:color="auto" w:fill="auto"/>
            <w:noWrap/>
            <w:vAlign w:val="bottom"/>
            <w:hideMark/>
          </w:tcPr>
          <w:p w14:paraId="3AAF6CA7"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854.18</w:t>
            </w:r>
          </w:p>
        </w:tc>
      </w:tr>
      <w:tr w:rsidR="00BC112F" w:rsidRPr="00BC112F" w14:paraId="61123BA2" w14:textId="77777777" w:rsidTr="00BC112F">
        <w:trPr>
          <w:trHeight w:val="288"/>
          <w:jc w:val="center"/>
        </w:trPr>
        <w:tc>
          <w:tcPr>
            <w:tcW w:w="960" w:type="dxa"/>
            <w:tcBorders>
              <w:top w:val="nil"/>
              <w:left w:val="nil"/>
              <w:bottom w:val="nil"/>
              <w:right w:val="nil"/>
            </w:tcBorders>
            <w:shd w:val="clear" w:color="auto" w:fill="auto"/>
            <w:noWrap/>
            <w:vAlign w:val="bottom"/>
            <w:hideMark/>
          </w:tcPr>
          <w:p w14:paraId="3E19A140"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2060</w:t>
            </w:r>
          </w:p>
        </w:tc>
        <w:tc>
          <w:tcPr>
            <w:tcW w:w="2584" w:type="dxa"/>
            <w:tcBorders>
              <w:top w:val="nil"/>
              <w:left w:val="nil"/>
              <w:bottom w:val="nil"/>
              <w:right w:val="nil"/>
            </w:tcBorders>
            <w:shd w:val="clear" w:color="auto" w:fill="auto"/>
            <w:noWrap/>
            <w:vAlign w:val="bottom"/>
            <w:hideMark/>
          </w:tcPr>
          <w:p w14:paraId="784BDB34"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987.28</w:t>
            </w:r>
          </w:p>
        </w:tc>
        <w:tc>
          <w:tcPr>
            <w:tcW w:w="2126" w:type="dxa"/>
            <w:tcBorders>
              <w:top w:val="nil"/>
              <w:left w:val="nil"/>
              <w:bottom w:val="nil"/>
              <w:right w:val="nil"/>
            </w:tcBorders>
            <w:shd w:val="clear" w:color="auto" w:fill="auto"/>
            <w:noWrap/>
            <w:vAlign w:val="bottom"/>
            <w:hideMark/>
          </w:tcPr>
          <w:p w14:paraId="11255A9F"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1,002.39</w:t>
            </w:r>
          </w:p>
        </w:tc>
      </w:tr>
      <w:tr w:rsidR="00BC112F" w:rsidRPr="00BC112F" w14:paraId="0777804F" w14:textId="77777777" w:rsidTr="00BC112F">
        <w:trPr>
          <w:trHeight w:val="288"/>
          <w:jc w:val="center"/>
        </w:trPr>
        <w:tc>
          <w:tcPr>
            <w:tcW w:w="960" w:type="dxa"/>
            <w:tcBorders>
              <w:top w:val="nil"/>
              <w:left w:val="nil"/>
              <w:bottom w:val="nil"/>
              <w:right w:val="nil"/>
            </w:tcBorders>
            <w:shd w:val="clear" w:color="auto" w:fill="auto"/>
            <w:noWrap/>
            <w:vAlign w:val="bottom"/>
            <w:hideMark/>
          </w:tcPr>
          <w:p w14:paraId="1386A6B2"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2070</w:t>
            </w:r>
          </w:p>
        </w:tc>
        <w:tc>
          <w:tcPr>
            <w:tcW w:w="2584" w:type="dxa"/>
            <w:tcBorders>
              <w:top w:val="nil"/>
              <w:left w:val="nil"/>
              <w:bottom w:val="nil"/>
              <w:right w:val="nil"/>
            </w:tcBorders>
            <w:shd w:val="clear" w:color="auto" w:fill="auto"/>
            <w:noWrap/>
            <w:vAlign w:val="bottom"/>
            <w:hideMark/>
          </w:tcPr>
          <w:p w14:paraId="2FB5C345"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1,161.19</w:t>
            </w:r>
          </w:p>
        </w:tc>
        <w:tc>
          <w:tcPr>
            <w:tcW w:w="2126" w:type="dxa"/>
            <w:tcBorders>
              <w:top w:val="nil"/>
              <w:left w:val="nil"/>
              <w:bottom w:val="nil"/>
              <w:right w:val="nil"/>
            </w:tcBorders>
            <w:shd w:val="clear" w:color="auto" w:fill="auto"/>
            <w:noWrap/>
            <w:vAlign w:val="bottom"/>
            <w:hideMark/>
          </w:tcPr>
          <w:p w14:paraId="6B110847" w14:textId="77777777" w:rsidR="00BC112F" w:rsidRPr="00BC112F" w:rsidRDefault="00BC112F" w:rsidP="00BC112F">
            <w:pPr>
              <w:spacing w:after="0" w:line="240" w:lineRule="auto"/>
              <w:jc w:val="right"/>
              <w:rPr>
                <w:rFonts w:ascii="Calibri" w:eastAsia="Times New Roman" w:hAnsi="Calibri" w:cs="Calibri"/>
                <w:color w:val="000000"/>
                <w:lang w:val="en-US"/>
              </w:rPr>
            </w:pPr>
            <w:r w:rsidRPr="00BC112F">
              <w:rPr>
                <w:rFonts w:ascii="Calibri" w:eastAsia="Times New Roman" w:hAnsi="Calibri" w:cs="Calibri"/>
                <w:color w:val="000000"/>
                <w:lang w:val="en-US"/>
              </w:rPr>
              <w:t>1,188.61</w:t>
            </w:r>
          </w:p>
        </w:tc>
      </w:tr>
    </w:tbl>
    <w:p w14:paraId="21DFFFEF" w14:textId="77777777" w:rsidR="00BC112F" w:rsidRDefault="00BC112F" w:rsidP="00752E6B">
      <w:pPr>
        <w:rPr>
          <w:lang w:val="en-001"/>
        </w:rPr>
      </w:pPr>
    </w:p>
    <w:p w14:paraId="53A8CFA5" w14:textId="0671DA28" w:rsidR="000C2803" w:rsidRDefault="000C2803" w:rsidP="000C2803">
      <w:pPr>
        <w:pStyle w:val="Heading4"/>
        <w:rPr>
          <w:lang w:val="en-001"/>
        </w:rPr>
      </w:pPr>
      <w:r>
        <w:rPr>
          <w:lang w:val="en-001"/>
        </w:rPr>
        <w:t xml:space="preserve">Validation </w:t>
      </w:r>
      <w:r w:rsidR="0022119B">
        <w:rPr>
          <w:lang w:val="en-001"/>
        </w:rPr>
        <w:t xml:space="preserve">by comparison </w:t>
      </w:r>
      <w:r>
        <w:rPr>
          <w:lang w:val="en-001"/>
        </w:rPr>
        <w:t>with the baseline model</w:t>
      </w:r>
    </w:p>
    <w:p w14:paraId="2AB9122D" w14:textId="7943675A" w:rsidR="005B2293" w:rsidRDefault="000C2803" w:rsidP="00752E6B">
      <w:pPr>
        <w:rPr>
          <w:lang w:val="en-001"/>
        </w:rPr>
      </w:pPr>
      <w:r>
        <w:rPr>
          <w:lang w:val="en-001"/>
        </w:rPr>
        <w:t xml:space="preserve">How do the model results correspond to the original MESSAGE-ix South Africa model, where the transport demand is </w:t>
      </w:r>
      <w:r w:rsidR="0022119B">
        <w:rPr>
          <w:lang w:val="en-001"/>
        </w:rPr>
        <w:t xml:space="preserve">expressed in energy units? To answer this question, the results of scenario 3 of the model (shown in Part 3) where summed and converted to energy units, by applying the efficiencies listed in Table 2. In addition, based on the total passenger transport and freight transport demand (Table 1), it was also possible to calculate the energy that would be needed to cover the demand for other modes of transport. The energy demand needed to cover all the transportation demand in Scenario 3 are of the same order of magnitude as in the baseline scenario (see Table </w:t>
      </w:r>
      <w:r w:rsidR="00BC112F">
        <w:rPr>
          <w:lang w:val="en-001"/>
        </w:rPr>
        <w:t>5</w:t>
      </w:r>
      <w:r w:rsidR="0022119B">
        <w:rPr>
          <w:lang w:val="en-001"/>
        </w:rPr>
        <w:t xml:space="preserve">). As the time horizon increases, Scenario 3 seems to overestimate the energy demand as compared to the baseline scenario, but even in 2070 the result is only 26% higher, which can be considered a small difference, considering vastly different methodologies used to derive these numbers. </w:t>
      </w:r>
    </w:p>
    <w:p w14:paraId="256786AD" w14:textId="1E860865" w:rsidR="004A5CD7" w:rsidRPr="004A5CD7" w:rsidRDefault="004A5CD7" w:rsidP="004A5CD7">
      <w:pPr>
        <w:pStyle w:val="Caption"/>
        <w:keepNext/>
        <w:rPr>
          <w:lang w:val="en-US"/>
        </w:rPr>
      </w:pPr>
      <w:r w:rsidRPr="004A5CD7">
        <w:rPr>
          <w:lang w:val="en-US"/>
        </w:rPr>
        <w:t xml:space="preserve">Table </w:t>
      </w:r>
      <w:r>
        <w:fldChar w:fldCharType="begin"/>
      </w:r>
      <w:r w:rsidRPr="004A5CD7">
        <w:rPr>
          <w:lang w:val="en-US"/>
        </w:rPr>
        <w:instrText xml:space="preserve"> SEQ Table \* ARABIC </w:instrText>
      </w:r>
      <w:r>
        <w:fldChar w:fldCharType="separate"/>
      </w:r>
      <w:r w:rsidR="00BC112F">
        <w:rPr>
          <w:noProof/>
          <w:lang w:val="en-US"/>
        </w:rPr>
        <w:t>5</w:t>
      </w:r>
      <w:r>
        <w:fldChar w:fldCharType="end"/>
      </w:r>
      <w:r>
        <w:rPr>
          <w:lang w:val="en-001"/>
        </w:rPr>
        <w:t>: Energy demand for transport in baseline and Scenario 3.</w:t>
      </w:r>
    </w:p>
    <w:tbl>
      <w:tblPr>
        <w:tblW w:w="8080" w:type="dxa"/>
        <w:jc w:val="center"/>
        <w:tblLook w:val="04A0" w:firstRow="1" w:lastRow="0" w:firstColumn="1" w:lastColumn="0" w:noHBand="0" w:noVBand="1"/>
      </w:tblPr>
      <w:tblGrid>
        <w:gridCol w:w="709"/>
        <w:gridCol w:w="1276"/>
        <w:gridCol w:w="850"/>
        <w:gridCol w:w="709"/>
        <w:gridCol w:w="709"/>
        <w:gridCol w:w="709"/>
        <w:gridCol w:w="1275"/>
        <w:gridCol w:w="1134"/>
        <w:gridCol w:w="709"/>
      </w:tblGrid>
      <w:tr w:rsidR="004A5CD7" w:rsidRPr="0022119B" w14:paraId="2AE0C4BF" w14:textId="77777777" w:rsidTr="004A5CD7">
        <w:trPr>
          <w:trHeight w:val="288"/>
          <w:jc w:val="center"/>
        </w:trPr>
        <w:tc>
          <w:tcPr>
            <w:tcW w:w="709" w:type="dxa"/>
            <w:tcBorders>
              <w:top w:val="nil"/>
              <w:left w:val="nil"/>
              <w:right w:val="nil"/>
            </w:tcBorders>
            <w:shd w:val="clear" w:color="auto" w:fill="auto"/>
            <w:noWrap/>
            <w:vAlign w:val="bottom"/>
            <w:hideMark/>
          </w:tcPr>
          <w:p w14:paraId="3F6C063A" w14:textId="0EEBE322" w:rsidR="004A5CD7" w:rsidRPr="0022119B" w:rsidRDefault="004A5CD7" w:rsidP="004A5CD7">
            <w:pPr>
              <w:spacing w:after="0" w:line="240" w:lineRule="auto"/>
              <w:rPr>
                <w:rFonts w:eastAsia="Times New Roman" w:cstheme="minorHAnsi"/>
                <w:b/>
                <w:bCs/>
                <w:sz w:val="20"/>
                <w:szCs w:val="20"/>
                <w:lang w:val="en-001"/>
              </w:rPr>
            </w:pPr>
            <w:r w:rsidRPr="004A5CD7">
              <w:rPr>
                <w:rFonts w:eastAsia="Times New Roman" w:cstheme="minorHAnsi"/>
                <w:b/>
                <w:bCs/>
                <w:sz w:val="20"/>
                <w:szCs w:val="20"/>
                <w:lang w:val="en-001"/>
              </w:rPr>
              <w:t>Year</w:t>
            </w:r>
          </w:p>
        </w:tc>
        <w:tc>
          <w:tcPr>
            <w:tcW w:w="1276" w:type="dxa"/>
            <w:tcBorders>
              <w:top w:val="nil"/>
              <w:left w:val="nil"/>
              <w:right w:val="nil"/>
            </w:tcBorders>
            <w:shd w:val="clear" w:color="auto" w:fill="auto"/>
            <w:noWrap/>
            <w:vAlign w:val="bottom"/>
            <w:hideMark/>
          </w:tcPr>
          <w:p w14:paraId="2E37ABA6" w14:textId="5EC67D53" w:rsidR="004A5CD7" w:rsidRPr="0022119B" w:rsidRDefault="004A5CD7" w:rsidP="004A5CD7">
            <w:pPr>
              <w:spacing w:after="0" w:line="240" w:lineRule="auto"/>
              <w:rPr>
                <w:rFonts w:ascii="Calibri" w:eastAsia="Times New Roman" w:hAnsi="Calibri" w:cs="Calibri"/>
                <w:b/>
                <w:bCs/>
                <w:color w:val="000000"/>
                <w:sz w:val="20"/>
                <w:szCs w:val="20"/>
                <w:lang w:val="en-001"/>
              </w:rPr>
            </w:pPr>
            <w:r w:rsidRPr="0022119B">
              <w:rPr>
                <w:rFonts w:ascii="Calibri" w:eastAsia="Times New Roman" w:hAnsi="Calibri" w:cs="Calibri"/>
                <w:b/>
                <w:bCs/>
                <w:color w:val="000000"/>
                <w:sz w:val="20"/>
                <w:szCs w:val="20"/>
                <w:lang w:val="en-US"/>
              </w:rPr>
              <w:t>Baseline</w:t>
            </w:r>
            <w:r>
              <w:rPr>
                <w:rFonts w:ascii="Calibri" w:eastAsia="Times New Roman" w:hAnsi="Calibri" w:cs="Calibri"/>
                <w:b/>
                <w:bCs/>
                <w:color w:val="000000"/>
                <w:sz w:val="20"/>
                <w:szCs w:val="20"/>
                <w:lang w:val="en-001"/>
              </w:rPr>
              <w:t xml:space="preserve"> (GWa/a)</w:t>
            </w:r>
          </w:p>
        </w:tc>
        <w:tc>
          <w:tcPr>
            <w:tcW w:w="1559" w:type="dxa"/>
            <w:gridSpan w:val="2"/>
            <w:tcBorders>
              <w:top w:val="nil"/>
              <w:left w:val="nil"/>
              <w:right w:val="nil"/>
            </w:tcBorders>
            <w:shd w:val="clear" w:color="auto" w:fill="auto"/>
            <w:noWrap/>
            <w:vAlign w:val="bottom"/>
            <w:hideMark/>
          </w:tcPr>
          <w:p w14:paraId="6E0B6CE8" w14:textId="77777777" w:rsidR="004A5CD7" w:rsidRDefault="004A5CD7" w:rsidP="004A5CD7">
            <w:pPr>
              <w:spacing w:after="0" w:line="240" w:lineRule="auto"/>
              <w:rPr>
                <w:rFonts w:ascii="Calibri" w:eastAsia="Times New Roman" w:hAnsi="Calibri" w:cs="Calibri"/>
                <w:b/>
                <w:bCs/>
                <w:color w:val="000000"/>
                <w:sz w:val="20"/>
                <w:szCs w:val="20"/>
                <w:lang w:val="en-US"/>
              </w:rPr>
            </w:pPr>
            <w:r w:rsidRPr="0022119B">
              <w:rPr>
                <w:rFonts w:ascii="Calibri" w:eastAsia="Times New Roman" w:hAnsi="Calibri" w:cs="Calibri"/>
                <w:b/>
                <w:bCs/>
                <w:color w:val="000000"/>
                <w:sz w:val="20"/>
                <w:szCs w:val="20"/>
                <w:lang w:val="en-US"/>
              </w:rPr>
              <w:t>Scenario 3</w:t>
            </w:r>
          </w:p>
          <w:p w14:paraId="07408A2C" w14:textId="2739E18A" w:rsidR="004A5CD7" w:rsidRPr="0022119B" w:rsidRDefault="004A5CD7" w:rsidP="004A5CD7">
            <w:pPr>
              <w:spacing w:after="0" w:line="240" w:lineRule="auto"/>
              <w:rPr>
                <w:rFonts w:ascii="Calibri" w:eastAsia="Times New Roman" w:hAnsi="Calibri" w:cs="Calibri"/>
                <w:b/>
                <w:bCs/>
                <w:color w:val="000000"/>
                <w:sz w:val="20"/>
                <w:szCs w:val="20"/>
                <w:lang w:val="en-001"/>
              </w:rPr>
            </w:pPr>
            <w:r>
              <w:rPr>
                <w:rFonts w:ascii="Calibri" w:eastAsia="Times New Roman" w:hAnsi="Calibri" w:cs="Calibri"/>
                <w:b/>
                <w:bCs/>
                <w:color w:val="000000"/>
                <w:sz w:val="20"/>
                <w:szCs w:val="20"/>
                <w:lang w:val="en-001"/>
              </w:rPr>
              <w:t>(GWa/a)</w:t>
            </w:r>
          </w:p>
        </w:tc>
        <w:tc>
          <w:tcPr>
            <w:tcW w:w="709" w:type="dxa"/>
            <w:tcBorders>
              <w:top w:val="nil"/>
              <w:left w:val="nil"/>
              <w:right w:val="nil"/>
            </w:tcBorders>
            <w:shd w:val="clear" w:color="auto" w:fill="auto"/>
            <w:noWrap/>
            <w:vAlign w:val="bottom"/>
            <w:hideMark/>
          </w:tcPr>
          <w:p w14:paraId="52016C43" w14:textId="77777777" w:rsidR="004A5CD7" w:rsidRPr="0022119B" w:rsidRDefault="004A5CD7" w:rsidP="004A5CD7">
            <w:pPr>
              <w:spacing w:after="0" w:line="240" w:lineRule="auto"/>
              <w:jc w:val="center"/>
              <w:rPr>
                <w:rFonts w:ascii="Times New Roman" w:eastAsia="Times New Roman" w:hAnsi="Times New Roman" w:cs="Times New Roman"/>
                <w:b/>
                <w:bCs/>
                <w:sz w:val="20"/>
                <w:szCs w:val="20"/>
                <w:lang w:val="en-US"/>
              </w:rPr>
            </w:pPr>
          </w:p>
        </w:tc>
        <w:tc>
          <w:tcPr>
            <w:tcW w:w="709" w:type="dxa"/>
            <w:tcBorders>
              <w:top w:val="nil"/>
              <w:left w:val="nil"/>
              <w:right w:val="nil"/>
            </w:tcBorders>
            <w:shd w:val="clear" w:color="auto" w:fill="auto"/>
            <w:noWrap/>
            <w:vAlign w:val="bottom"/>
            <w:hideMark/>
          </w:tcPr>
          <w:p w14:paraId="1BA31B9C" w14:textId="77777777" w:rsidR="004A5CD7" w:rsidRPr="0022119B" w:rsidRDefault="004A5CD7" w:rsidP="004A5CD7">
            <w:pPr>
              <w:spacing w:after="0" w:line="240" w:lineRule="auto"/>
              <w:jc w:val="center"/>
              <w:rPr>
                <w:rFonts w:ascii="Times New Roman" w:eastAsia="Times New Roman" w:hAnsi="Times New Roman" w:cs="Times New Roman"/>
                <w:b/>
                <w:bCs/>
                <w:sz w:val="20"/>
                <w:szCs w:val="20"/>
                <w:lang w:val="en-US"/>
              </w:rPr>
            </w:pPr>
          </w:p>
        </w:tc>
        <w:tc>
          <w:tcPr>
            <w:tcW w:w="1275" w:type="dxa"/>
            <w:tcBorders>
              <w:top w:val="nil"/>
              <w:left w:val="nil"/>
              <w:right w:val="nil"/>
            </w:tcBorders>
            <w:shd w:val="clear" w:color="auto" w:fill="auto"/>
            <w:noWrap/>
            <w:vAlign w:val="bottom"/>
            <w:hideMark/>
          </w:tcPr>
          <w:p w14:paraId="5B66FE45" w14:textId="77777777" w:rsidR="004A5CD7" w:rsidRPr="0022119B" w:rsidRDefault="004A5CD7" w:rsidP="004A5CD7">
            <w:pPr>
              <w:spacing w:after="0" w:line="240" w:lineRule="auto"/>
              <w:jc w:val="center"/>
              <w:rPr>
                <w:rFonts w:ascii="Times New Roman" w:eastAsia="Times New Roman" w:hAnsi="Times New Roman" w:cs="Times New Roman"/>
                <w:b/>
                <w:bCs/>
                <w:sz w:val="20"/>
                <w:szCs w:val="20"/>
                <w:lang w:val="en-US"/>
              </w:rPr>
            </w:pPr>
          </w:p>
        </w:tc>
        <w:tc>
          <w:tcPr>
            <w:tcW w:w="1134" w:type="dxa"/>
            <w:tcBorders>
              <w:top w:val="nil"/>
              <w:left w:val="nil"/>
              <w:right w:val="nil"/>
            </w:tcBorders>
            <w:shd w:val="clear" w:color="auto" w:fill="auto"/>
            <w:noWrap/>
            <w:vAlign w:val="bottom"/>
            <w:hideMark/>
          </w:tcPr>
          <w:p w14:paraId="19358BAA" w14:textId="77777777" w:rsidR="004A5CD7" w:rsidRPr="0022119B" w:rsidRDefault="004A5CD7" w:rsidP="004A5CD7">
            <w:pPr>
              <w:spacing w:after="0" w:line="240" w:lineRule="auto"/>
              <w:jc w:val="center"/>
              <w:rPr>
                <w:rFonts w:ascii="Times New Roman" w:eastAsia="Times New Roman" w:hAnsi="Times New Roman" w:cs="Times New Roman"/>
                <w:b/>
                <w:bCs/>
                <w:sz w:val="20"/>
                <w:szCs w:val="20"/>
                <w:lang w:val="en-US"/>
              </w:rPr>
            </w:pPr>
          </w:p>
        </w:tc>
        <w:tc>
          <w:tcPr>
            <w:tcW w:w="709" w:type="dxa"/>
            <w:tcBorders>
              <w:top w:val="nil"/>
              <w:left w:val="nil"/>
              <w:right w:val="nil"/>
            </w:tcBorders>
            <w:shd w:val="clear" w:color="auto" w:fill="auto"/>
            <w:noWrap/>
            <w:vAlign w:val="bottom"/>
            <w:hideMark/>
          </w:tcPr>
          <w:p w14:paraId="363BB021" w14:textId="77777777" w:rsidR="004A5CD7" w:rsidRPr="0022119B" w:rsidRDefault="004A5CD7" w:rsidP="004A5CD7">
            <w:pPr>
              <w:spacing w:after="0" w:line="240" w:lineRule="auto"/>
              <w:jc w:val="center"/>
              <w:rPr>
                <w:rFonts w:ascii="Times New Roman" w:eastAsia="Times New Roman" w:hAnsi="Times New Roman" w:cs="Times New Roman"/>
                <w:b/>
                <w:bCs/>
                <w:sz w:val="20"/>
                <w:szCs w:val="20"/>
                <w:lang w:val="en-US"/>
              </w:rPr>
            </w:pPr>
          </w:p>
        </w:tc>
      </w:tr>
      <w:tr w:rsidR="004A5CD7" w:rsidRPr="0022119B" w14:paraId="0AF0908D" w14:textId="77777777" w:rsidTr="004A5CD7">
        <w:trPr>
          <w:trHeight w:val="288"/>
          <w:jc w:val="center"/>
        </w:trPr>
        <w:tc>
          <w:tcPr>
            <w:tcW w:w="709" w:type="dxa"/>
            <w:tcBorders>
              <w:top w:val="nil"/>
              <w:left w:val="nil"/>
              <w:bottom w:val="single" w:sz="4" w:space="0" w:color="auto"/>
              <w:right w:val="nil"/>
            </w:tcBorders>
            <w:shd w:val="clear" w:color="auto" w:fill="auto"/>
            <w:noWrap/>
            <w:vAlign w:val="bottom"/>
            <w:hideMark/>
          </w:tcPr>
          <w:p w14:paraId="0BE8964D" w14:textId="77777777" w:rsidR="0022119B" w:rsidRPr="0022119B" w:rsidRDefault="0022119B" w:rsidP="004A5CD7">
            <w:pPr>
              <w:spacing w:after="0" w:line="240" w:lineRule="auto"/>
              <w:jc w:val="center"/>
              <w:rPr>
                <w:rFonts w:ascii="Times New Roman" w:eastAsia="Times New Roman" w:hAnsi="Times New Roman" w:cs="Times New Roman"/>
                <w:b/>
                <w:bCs/>
                <w:sz w:val="20"/>
                <w:szCs w:val="20"/>
                <w:lang w:val="en-001"/>
              </w:rPr>
            </w:pPr>
          </w:p>
        </w:tc>
        <w:tc>
          <w:tcPr>
            <w:tcW w:w="1276" w:type="dxa"/>
            <w:tcBorders>
              <w:top w:val="nil"/>
              <w:left w:val="nil"/>
              <w:bottom w:val="single" w:sz="4" w:space="0" w:color="auto"/>
              <w:right w:val="nil"/>
            </w:tcBorders>
            <w:shd w:val="clear" w:color="auto" w:fill="auto"/>
            <w:noWrap/>
            <w:vAlign w:val="bottom"/>
            <w:hideMark/>
          </w:tcPr>
          <w:p w14:paraId="74DAC350"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all transport</w:t>
            </w:r>
          </w:p>
        </w:tc>
        <w:tc>
          <w:tcPr>
            <w:tcW w:w="850" w:type="dxa"/>
            <w:tcBorders>
              <w:top w:val="nil"/>
              <w:left w:val="nil"/>
              <w:bottom w:val="single" w:sz="4" w:space="0" w:color="auto"/>
              <w:right w:val="nil"/>
            </w:tcBorders>
            <w:shd w:val="clear" w:color="auto" w:fill="auto"/>
            <w:noWrap/>
            <w:vAlign w:val="bottom"/>
            <w:hideMark/>
          </w:tcPr>
          <w:p w14:paraId="0783CEE0"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car</w:t>
            </w:r>
          </w:p>
        </w:tc>
        <w:tc>
          <w:tcPr>
            <w:tcW w:w="709" w:type="dxa"/>
            <w:tcBorders>
              <w:top w:val="nil"/>
              <w:left w:val="nil"/>
              <w:bottom w:val="single" w:sz="4" w:space="0" w:color="auto"/>
              <w:right w:val="nil"/>
            </w:tcBorders>
            <w:shd w:val="clear" w:color="auto" w:fill="auto"/>
            <w:noWrap/>
            <w:vAlign w:val="bottom"/>
            <w:hideMark/>
          </w:tcPr>
          <w:p w14:paraId="66A40FC2"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bus</w:t>
            </w:r>
          </w:p>
        </w:tc>
        <w:tc>
          <w:tcPr>
            <w:tcW w:w="709" w:type="dxa"/>
            <w:tcBorders>
              <w:top w:val="nil"/>
              <w:left w:val="nil"/>
              <w:bottom w:val="single" w:sz="4" w:space="0" w:color="auto"/>
              <w:right w:val="nil"/>
            </w:tcBorders>
            <w:shd w:val="clear" w:color="auto" w:fill="auto"/>
            <w:noWrap/>
            <w:vAlign w:val="bottom"/>
            <w:hideMark/>
          </w:tcPr>
          <w:p w14:paraId="3EFD8202"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rail</w:t>
            </w:r>
          </w:p>
        </w:tc>
        <w:tc>
          <w:tcPr>
            <w:tcW w:w="709" w:type="dxa"/>
            <w:tcBorders>
              <w:top w:val="nil"/>
              <w:left w:val="nil"/>
              <w:bottom w:val="single" w:sz="4" w:space="0" w:color="auto"/>
              <w:right w:val="nil"/>
            </w:tcBorders>
            <w:shd w:val="clear" w:color="auto" w:fill="auto"/>
            <w:noWrap/>
            <w:vAlign w:val="bottom"/>
            <w:hideMark/>
          </w:tcPr>
          <w:p w14:paraId="1E715C39"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air</w:t>
            </w:r>
          </w:p>
        </w:tc>
        <w:tc>
          <w:tcPr>
            <w:tcW w:w="1275" w:type="dxa"/>
            <w:tcBorders>
              <w:top w:val="nil"/>
              <w:left w:val="nil"/>
              <w:bottom w:val="single" w:sz="4" w:space="0" w:color="auto"/>
              <w:right w:val="nil"/>
            </w:tcBorders>
            <w:shd w:val="clear" w:color="auto" w:fill="auto"/>
            <w:noWrap/>
            <w:vAlign w:val="bottom"/>
            <w:hideMark/>
          </w:tcPr>
          <w:p w14:paraId="7DEBB3D8"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freight road</w:t>
            </w:r>
          </w:p>
        </w:tc>
        <w:tc>
          <w:tcPr>
            <w:tcW w:w="1134" w:type="dxa"/>
            <w:tcBorders>
              <w:top w:val="nil"/>
              <w:left w:val="nil"/>
              <w:bottom w:val="single" w:sz="4" w:space="0" w:color="auto"/>
              <w:right w:val="nil"/>
            </w:tcBorders>
            <w:shd w:val="clear" w:color="auto" w:fill="auto"/>
            <w:noWrap/>
            <w:vAlign w:val="bottom"/>
            <w:hideMark/>
          </w:tcPr>
          <w:p w14:paraId="565F6E10"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freight rail</w:t>
            </w:r>
          </w:p>
        </w:tc>
        <w:tc>
          <w:tcPr>
            <w:tcW w:w="709" w:type="dxa"/>
            <w:tcBorders>
              <w:top w:val="nil"/>
              <w:left w:val="nil"/>
              <w:bottom w:val="single" w:sz="4" w:space="0" w:color="auto"/>
              <w:right w:val="nil"/>
            </w:tcBorders>
            <w:shd w:val="clear" w:color="auto" w:fill="auto"/>
            <w:noWrap/>
            <w:vAlign w:val="bottom"/>
            <w:hideMark/>
          </w:tcPr>
          <w:p w14:paraId="260E3AC0"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Total</w:t>
            </w:r>
          </w:p>
        </w:tc>
      </w:tr>
      <w:tr w:rsidR="004A5CD7" w:rsidRPr="0022119B" w14:paraId="2D222323" w14:textId="77777777" w:rsidTr="004A5CD7">
        <w:trPr>
          <w:trHeight w:val="288"/>
          <w:jc w:val="center"/>
        </w:trPr>
        <w:tc>
          <w:tcPr>
            <w:tcW w:w="709" w:type="dxa"/>
            <w:tcBorders>
              <w:top w:val="single" w:sz="4" w:space="0" w:color="auto"/>
              <w:left w:val="nil"/>
              <w:bottom w:val="nil"/>
              <w:right w:val="nil"/>
            </w:tcBorders>
            <w:shd w:val="clear" w:color="auto" w:fill="auto"/>
            <w:noWrap/>
            <w:vAlign w:val="bottom"/>
            <w:hideMark/>
          </w:tcPr>
          <w:p w14:paraId="49E6188F"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2020</w:t>
            </w:r>
          </w:p>
        </w:tc>
        <w:tc>
          <w:tcPr>
            <w:tcW w:w="1276" w:type="dxa"/>
            <w:tcBorders>
              <w:top w:val="single" w:sz="4" w:space="0" w:color="auto"/>
              <w:left w:val="nil"/>
              <w:bottom w:val="nil"/>
              <w:right w:val="nil"/>
            </w:tcBorders>
            <w:shd w:val="clear" w:color="auto" w:fill="auto"/>
            <w:noWrap/>
            <w:vAlign w:val="bottom"/>
            <w:hideMark/>
          </w:tcPr>
          <w:p w14:paraId="1B490DA7"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26.0</w:t>
            </w:r>
          </w:p>
        </w:tc>
        <w:tc>
          <w:tcPr>
            <w:tcW w:w="850" w:type="dxa"/>
            <w:tcBorders>
              <w:top w:val="single" w:sz="4" w:space="0" w:color="auto"/>
              <w:left w:val="nil"/>
              <w:bottom w:val="nil"/>
              <w:right w:val="nil"/>
            </w:tcBorders>
            <w:shd w:val="clear" w:color="auto" w:fill="auto"/>
            <w:noWrap/>
            <w:vAlign w:val="bottom"/>
            <w:hideMark/>
          </w:tcPr>
          <w:p w14:paraId="5C9D8221"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9.2</w:t>
            </w:r>
          </w:p>
        </w:tc>
        <w:tc>
          <w:tcPr>
            <w:tcW w:w="709" w:type="dxa"/>
            <w:tcBorders>
              <w:top w:val="single" w:sz="4" w:space="0" w:color="auto"/>
              <w:left w:val="nil"/>
              <w:bottom w:val="nil"/>
              <w:right w:val="nil"/>
            </w:tcBorders>
            <w:shd w:val="clear" w:color="auto" w:fill="auto"/>
            <w:noWrap/>
            <w:vAlign w:val="bottom"/>
            <w:hideMark/>
          </w:tcPr>
          <w:p w14:paraId="21960A40"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3.7</w:t>
            </w:r>
          </w:p>
        </w:tc>
        <w:tc>
          <w:tcPr>
            <w:tcW w:w="709" w:type="dxa"/>
            <w:tcBorders>
              <w:top w:val="single" w:sz="4" w:space="0" w:color="auto"/>
              <w:left w:val="nil"/>
              <w:bottom w:val="nil"/>
              <w:right w:val="nil"/>
            </w:tcBorders>
            <w:shd w:val="clear" w:color="auto" w:fill="auto"/>
            <w:noWrap/>
            <w:vAlign w:val="bottom"/>
            <w:hideMark/>
          </w:tcPr>
          <w:p w14:paraId="1414000F"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0.3</w:t>
            </w:r>
          </w:p>
        </w:tc>
        <w:tc>
          <w:tcPr>
            <w:tcW w:w="709" w:type="dxa"/>
            <w:tcBorders>
              <w:top w:val="single" w:sz="4" w:space="0" w:color="auto"/>
              <w:left w:val="nil"/>
              <w:bottom w:val="nil"/>
              <w:right w:val="nil"/>
            </w:tcBorders>
            <w:shd w:val="clear" w:color="auto" w:fill="auto"/>
            <w:noWrap/>
            <w:vAlign w:val="bottom"/>
            <w:hideMark/>
          </w:tcPr>
          <w:p w14:paraId="5E530BE0"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0.9</w:t>
            </w:r>
          </w:p>
        </w:tc>
        <w:tc>
          <w:tcPr>
            <w:tcW w:w="1275" w:type="dxa"/>
            <w:tcBorders>
              <w:top w:val="single" w:sz="4" w:space="0" w:color="auto"/>
              <w:left w:val="nil"/>
              <w:bottom w:val="nil"/>
              <w:right w:val="nil"/>
            </w:tcBorders>
            <w:shd w:val="clear" w:color="auto" w:fill="auto"/>
            <w:noWrap/>
            <w:vAlign w:val="bottom"/>
            <w:hideMark/>
          </w:tcPr>
          <w:p w14:paraId="32FB74B5"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10.9</w:t>
            </w:r>
          </w:p>
        </w:tc>
        <w:tc>
          <w:tcPr>
            <w:tcW w:w="1134" w:type="dxa"/>
            <w:tcBorders>
              <w:top w:val="single" w:sz="4" w:space="0" w:color="auto"/>
              <w:left w:val="nil"/>
              <w:bottom w:val="nil"/>
              <w:right w:val="nil"/>
            </w:tcBorders>
            <w:shd w:val="clear" w:color="auto" w:fill="auto"/>
            <w:noWrap/>
            <w:vAlign w:val="bottom"/>
            <w:hideMark/>
          </w:tcPr>
          <w:p w14:paraId="73B8FF8B"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2.0</w:t>
            </w:r>
          </w:p>
        </w:tc>
        <w:tc>
          <w:tcPr>
            <w:tcW w:w="709" w:type="dxa"/>
            <w:tcBorders>
              <w:top w:val="single" w:sz="4" w:space="0" w:color="auto"/>
              <w:left w:val="nil"/>
              <w:bottom w:val="nil"/>
              <w:right w:val="nil"/>
            </w:tcBorders>
            <w:shd w:val="clear" w:color="auto" w:fill="auto"/>
            <w:noWrap/>
            <w:vAlign w:val="bottom"/>
            <w:hideMark/>
          </w:tcPr>
          <w:p w14:paraId="1B3075C1"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26.9</w:t>
            </w:r>
          </w:p>
        </w:tc>
      </w:tr>
      <w:tr w:rsidR="004A5CD7" w:rsidRPr="0022119B" w14:paraId="440BCFFB" w14:textId="77777777" w:rsidTr="004A5CD7">
        <w:trPr>
          <w:trHeight w:val="288"/>
          <w:jc w:val="center"/>
        </w:trPr>
        <w:tc>
          <w:tcPr>
            <w:tcW w:w="709" w:type="dxa"/>
            <w:tcBorders>
              <w:top w:val="nil"/>
              <w:left w:val="nil"/>
              <w:bottom w:val="nil"/>
              <w:right w:val="nil"/>
            </w:tcBorders>
            <w:shd w:val="clear" w:color="auto" w:fill="auto"/>
            <w:noWrap/>
            <w:vAlign w:val="bottom"/>
            <w:hideMark/>
          </w:tcPr>
          <w:p w14:paraId="11AACE22"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2030</w:t>
            </w:r>
          </w:p>
        </w:tc>
        <w:tc>
          <w:tcPr>
            <w:tcW w:w="1276" w:type="dxa"/>
            <w:tcBorders>
              <w:top w:val="nil"/>
              <w:left w:val="nil"/>
              <w:bottom w:val="nil"/>
              <w:right w:val="nil"/>
            </w:tcBorders>
            <w:shd w:val="clear" w:color="auto" w:fill="auto"/>
            <w:noWrap/>
            <w:vAlign w:val="bottom"/>
            <w:hideMark/>
          </w:tcPr>
          <w:p w14:paraId="60B2AEB7"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34.5</w:t>
            </w:r>
          </w:p>
        </w:tc>
        <w:tc>
          <w:tcPr>
            <w:tcW w:w="850" w:type="dxa"/>
            <w:tcBorders>
              <w:top w:val="nil"/>
              <w:left w:val="nil"/>
              <w:bottom w:val="nil"/>
              <w:right w:val="nil"/>
            </w:tcBorders>
            <w:shd w:val="clear" w:color="auto" w:fill="auto"/>
            <w:noWrap/>
            <w:vAlign w:val="bottom"/>
            <w:hideMark/>
          </w:tcPr>
          <w:p w14:paraId="41E57D72"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12.7</w:t>
            </w:r>
          </w:p>
        </w:tc>
        <w:tc>
          <w:tcPr>
            <w:tcW w:w="709" w:type="dxa"/>
            <w:tcBorders>
              <w:top w:val="nil"/>
              <w:left w:val="nil"/>
              <w:bottom w:val="nil"/>
              <w:right w:val="nil"/>
            </w:tcBorders>
            <w:shd w:val="clear" w:color="auto" w:fill="auto"/>
            <w:noWrap/>
            <w:vAlign w:val="bottom"/>
            <w:hideMark/>
          </w:tcPr>
          <w:p w14:paraId="1C0A4586"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5.1</w:t>
            </w:r>
          </w:p>
        </w:tc>
        <w:tc>
          <w:tcPr>
            <w:tcW w:w="709" w:type="dxa"/>
            <w:tcBorders>
              <w:top w:val="nil"/>
              <w:left w:val="nil"/>
              <w:bottom w:val="nil"/>
              <w:right w:val="nil"/>
            </w:tcBorders>
            <w:shd w:val="clear" w:color="auto" w:fill="auto"/>
            <w:noWrap/>
            <w:vAlign w:val="bottom"/>
            <w:hideMark/>
          </w:tcPr>
          <w:p w14:paraId="5119E79E"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0.4</w:t>
            </w:r>
          </w:p>
        </w:tc>
        <w:tc>
          <w:tcPr>
            <w:tcW w:w="709" w:type="dxa"/>
            <w:tcBorders>
              <w:top w:val="nil"/>
              <w:left w:val="nil"/>
              <w:bottom w:val="nil"/>
              <w:right w:val="nil"/>
            </w:tcBorders>
            <w:shd w:val="clear" w:color="auto" w:fill="auto"/>
            <w:noWrap/>
            <w:vAlign w:val="bottom"/>
            <w:hideMark/>
          </w:tcPr>
          <w:p w14:paraId="69D76C3E"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1.2</w:t>
            </w:r>
          </w:p>
        </w:tc>
        <w:tc>
          <w:tcPr>
            <w:tcW w:w="1275" w:type="dxa"/>
            <w:tcBorders>
              <w:top w:val="nil"/>
              <w:left w:val="nil"/>
              <w:bottom w:val="nil"/>
              <w:right w:val="nil"/>
            </w:tcBorders>
            <w:shd w:val="clear" w:color="auto" w:fill="auto"/>
            <w:noWrap/>
            <w:vAlign w:val="bottom"/>
            <w:hideMark/>
          </w:tcPr>
          <w:p w14:paraId="08606A2F"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15.7</w:t>
            </w:r>
          </w:p>
        </w:tc>
        <w:tc>
          <w:tcPr>
            <w:tcW w:w="1134" w:type="dxa"/>
            <w:tcBorders>
              <w:top w:val="nil"/>
              <w:left w:val="nil"/>
              <w:bottom w:val="nil"/>
              <w:right w:val="nil"/>
            </w:tcBorders>
            <w:shd w:val="clear" w:color="auto" w:fill="auto"/>
            <w:noWrap/>
            <w:vAlign w:val="bottom"/>
            <w:hideMark/>
          </w:tcPr>
          <w:p w14:paraId="75D63083"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2.9</w:t>
            </w:r>
          </w:p>
        </w:tc>
        <w:tc>
          <w:tcPr>
            <w:tcW w:w="709" w:type="dxa"/>
            <w:tcBorders>
              <w:top w:val="nil"/>
              <w:left w:val="nil"/>
              <w:bottom w:val="nil"/>
              <w:right w:val="nil"/>
            </w:tcBorders>
            <w:shd w:val="clear" w:color="auto" w:fill="auto"/>
            <w:noWrap/>
            <w:vAlign w:val="bottom"/>
            <w:hideMark/>
          </w:tcPr>
          <w:p w14:paraId="35100E92"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38.0</w:t>
            </w:r>
          </w:p>
        </w:tc>
      </w:tr>
      <w:tr w:rsidR="004A5CD7" w:rsidRPr="0022119B" w14:paraId="39A0EACB" w14:textId="77777777" w:rsidTr="004A5CD7">
        <w:trPr>
          <w:trHeight w:val="288"/>
          <w:jc w:val="center"/>
        </w:trPr>
        <w:tc>
          <w:tcPr>
            <w:tcW w:w="709" w:type="dxa"/>
            <w:tcBorders>
              <w:top w:val="nil"/>
              <w:left w:val="nil"/>
              <w:bottom w:val="nil"/>
              <w:right w:val="nil"/>
            </w:tcBorders>
            <w:shd w:val="clear" w:color="auto" w:fill="auto"/>
            <w:noWrap/>
            <w:vAlign w:val="bottom"/>
            <w:hideMark/>
          </w:tcPr>
          <w:p w14:paraId="14369AF7"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2040</w:t>
            </w:r>
          </w:p>
        </w:tc>
        <w:tc>
          <w:tcPr>
            <w:tcW w:w="1276" w:type="dxa"/>
            <w:tcBorders>
              <w:top w:val="nil"/>
              <w:left w:val="nil"/>
              <w:bottom w:val="nil"/>
              <w:right w:val="nil"/>
            </w:tcBorders>
            <w:shd w:val="clear" w:color="auto" w:fill="auto"/>
            <w:noWrap/>
            <w:vAlign w:val="bottom"/>
            <w:hideMark/>
          </w:tcPr>
          <w:p w14:paraId="0DE3B3D9"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43.9</w:t>
            </w:r>
          </w:p>
        </w:tc>
        <w:tc>
          <w:tcPr>
            <w:tcW w:w="850" w:type="dxa"/>
            <w:tcBorders>
              <w:top w:val="nil"/>
              <w:left w:val="nil"/>
              <w:bottom w:val="nil"/>
              <w:right w:val="nil"/>
            </w:tcBorders>
            <w:shd w:val="clear" w:color="auto" w:fill="auto"/>
            <w:noWrap/>
            <w:vAlign w:val="bottom"/>
            <w:hideMark/>
          </w:tcPr>
          <w:p w14:paraId="7377558F"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16.8</w:t>
            </w:r>
          </w:p>
        </w:tc>
        <w:tc>
          <w:tcPr>
            <w:tcW w:w="709" w:type="dxa"/>
            <w:tcBorders>
              <w:top w:val="nil"/>
              <w:left w:val="nil"/>
              <w:bottom w:val="nil"/>
              <w:right w:val="nil"/>
            </w:tcBorders>
            <w:shd w:val="clear" w:color="auto" w:fill="auto"/>
            <w:noWrap/>
            <w:vAlign w:val="bottom"/>
            <w:hideMark/>
          </w:tcPr>
          <w:p w14:paraId="441A44F6"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6.7</w:t>
            </w:r>
          </w:p>
        </w:tc>
        <w:tc>
          <w:tcPr>
            <w:tcW w:w="709" w:type="dxa"/>
            <w:tcBorders>
              <w:top w:val="nil"/>
              <w:left w:val="nil"/>
              <w:bottom w:val="nil"/>
              <w:right w:val="nil"/>
            </w:tcBorders>
            <w:shd w:val="clear" w:color="auto" w:fill="auto"/>
            <w:noWrap/>
            <w:vAlign w:val="bottom"/>
            <w:hideMark/>
          </w:tcPr>
          <w:p w14:paraId="3ED46E81"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0.6</w:t>
            </w:r>
          </w:p>
        </w:tc>
        <w:tc>
          <w:tcPr>
            <w:tcW w:w="709" w:type="dxa"/>
            <w:tcBorders>
              <w:top w:val="nil"/>
              <w:left w:val="nil"/>
              <w:bottom w:val="nil"/>
              <w:right w:val="nil"/>
            </w:tcBorders>
            <w:shd w:val="clear" w:color="auto" w:fill="auto"/>
            <w:noWrap/>
            <w:vAlign w:val="bottom"/>
            <w:hideMark/>
          </w:tcPr>
          <w:p w14:paraId="76A01C3B"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1.6</w:t>
            </w:r>
          </w:p>
        </w:tc>
        <w:tc>
          <w:tcPr>
            <w:tcW w:w="1275" w:type="dxa"/>
            <w:tcBorders>
              <w:top w:val="nil"/>
              <w:left w:val="nil"/>
              <w:bottom w:val="nil"/>
              <w:right w:val="nil"/>
            </w:tcBorders>
            <w:shd w:val="clear" w:color="auto" w:fill="auto"/>
            <w:noWrap/>
            <w:vAlign w:val="bottom"/>
            <w:hideMark/>
          </w:tcPr>
          <w:p w14:paraId="77680DAC"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21.0</w:t>
            </w:r>
          </w:p>
        </w:tc>
        <w:tc>
          <w:tcPr>
            <w:tcW w:w="1134" w:type="dxa"/>
            <w:tcBorders>
              <w:top w:val="nil"/>
              <w:left w:val="nil"/>
              <w:bottom w:val="nil"/>
              <w:right w:val="nil"/>
            </w:tcBorders>
            <w:shd w:val="clear" w:color="auto" w:fill="auto"/>
            <w:noWrap/>
            <w:vAlign w:val="bottom"/>
            <w:hideMark/>
          </w:tcPr>
          <w:p w14:paraId="6DE184A1"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3.8</w:t>
            </w:r>
          </w:p>
        </w:tc>
        <w:tc>
          <w:tcPr>
            <w:tcW w:w="709" w:type="dxa"/>
            <w:tcBorders>
              <w:top w:val="nil"/>
              <w:left w:val="nil"/>
              <w:bottom w:val="nil"/>
              <w:right w:val="nil"/>
            </w:tcBorders>
            <w:shd w:val="clear" w:color="auto" w:fill="auto"/>
            <w:noWrap/>
            <w:vAlign w:val="bottom"/>
            <w:hideMark/>
          </w:tcPr>
          <w:p w14:paraId="7FAA0C25"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50.4</w:t>
            </w:r>
          </w:p>
        </w:tc>
      </w:tr>
      <w:tr w:rsidR="004A5CD7" w:rsidRPr="0022119B" w14:paraId="4AC4533F" w14:textId="77777777" w:rsidTr="004A5CD7">
        <w:trPr>
          <w:trHeight w:val="288"/>
          <w:jc w:val="center"/>
        </w:trPr>
        <w:tc>
          <w:tcPr>
            <w:tcW w:w="709" w:type="dxa"/>
            <w:tcBorders>
              <w:top w:val="nil"/>
              <w:left w:val="nil"/>
              <w:bottom w:val="nil"/>
              <w:right w:val="nil"/>
            </w:tcBorders>
            <w:shd w:val="clear" w:color="auto" w:fill="auto"/>
            <w:noWrap/>
            <w:vAlign w:val="bottom"/>
            <w:hideMark/>
          </w:tcPr>
          <w:p w14:paraId="6D5C3141"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2050</w:t>
            </w:r>
          </w:p>
        </w:tc>
        <w:tc>
          <w:tcPr>
            <w:tcW w:w="1276" w:type="dxa"/>
            <w:tcBorders>
              <w:top w:val="nil"/>
              <w:left w:val="nil"/>
              <w:bottom w:val="nil"/>
              <w:right w:val="nil"/>
            </w:tcBorders>
            <w:shd w:val="clear" w:color="auto" w:fill="auto"/>
            <w:noWrap/>
            <w:vAlign w:val="bottom"/>
            <w:hideMark/>
          </w:tcPr>
          <w:p w14:paraId="04DA7DB5"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53.4</w:t>
            </w:r>
          </w:p>
        </w:tc>
        <w:tc>
          <w:tcPr>
            <w:tcW w:w="850" w:type="dxa"/>
            <w:tcBorders>
              <w:top w:val="nil"/>
              <w:left w:val="nil"/>
              <w:bottom w:val="nil"/>
              <w:right w:val="nil"/>
            </w:tcBorders>
            <w:shd w:val="clear" w:color="auto" w:fill="auto"/>
            <w:noWrap/>
            <w:vAlign w:val="bottom"/>
            <w:hideMark/>
          </w:tcPr>
          <w:p w14:paraId="4D153C3B"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20.9</w:t>
            </w:r>
          </w:p>
        </w:tc>
        <w:tc>
          <w:tcPr>
            <w:tcW w:w="709" w:type="dxa"/>
            <w:tcBorders>
              <w:top w:val="nil"/>
              <w:left w:val="nil"/>
              <w:bottom w:val="nil"/>
              <w:right w:val="nil"/>
            </w:tcBorders>
            <w:shd w:val="clear" w:color="auto" w:fill="auto"/>
            <w:noWrap/>
            <w:vAlign w:val="bottom"/>
            <w:hideMark/>
          </w:tcPr>
          <w:p w14:paraId="42B4751B"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8.2</w:t>
            </w:r>
          </w:p>
        </w:tc>
        <w:tc>
          <w:tcPr>
            <w:tcW w:w="709" w:type="dxa"/>
            <w:tcBorders>
              <w:top w:val="nil"/>
              <w:left w:val="nil"/>
              <w:bottom w:val="nil"/>
              <w:right w:val="nil"/>
            </w:tcBorders>
            <w:shd w:val="clear" w:color="auto" w:fill="auto"/>
            <w:noWrap/>
            <w:vAlign w:val="bottom"/>
            <w:hideMark/>
          </w:tcPr>
          <w:p w14:paraId="1FFD6633"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0.7</w:t>
            </w:r>
          </w:p>
        </w:tc>
        <w:tc>
          <w:tcPr>
            <w:tcW w:w="709" w:type="dxa"/>
            <w:tcBorders>
              <w:top w:val="nil"/>
              <w:left w:val="nil"/>
              <w:bottom w:val="nil"/>
              <w:right w:val="nil"/>
            </w:tcBorders>
            <w:shd w:val="clear" w:color="auto" w:fill="auto"/>
            <w:noWrap/>
            <w:vAlign w:val="bottom"/>
            <w:hideMark/>
          </w:tcPr>
          <w:p w14:paraId="574680C0"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2.0</w:t>
            </w:r>
          </w:p>
        </w:tc>
        <w:tc>
          <w:tcPr>
            <w:tcW w:w="1275" w:type="dxa"/>
            <w:tcBorders>
              <w:top w:val="nil"/>
              <w:left w:val="nil"/>
              <w:bottom w:val="nil"/>
              <w:right w:val="nil"/>
            </w:tcBorders>
            <w:shd w:val="clear" w:color="auto" w:fill="auto"/>
            <w:noWrap/>
            <w:vAlign w:val="bottom"/>
            <w:hideMark/>
          </w:tcPr>
          <w:p w14:paraId="46C637DE"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26.6</w:t>
            </w:r>
          </w:p>
        </w:tc>
        <w:tc>
          <w:tcPr>
            <w:tcW w:w="1134" w:type="dxa"/>
            <w:tcBorders>
              <w:top w:val="nil"/>
              <w:left w:val="nil"/>
              <w:bottom w:val="nil"/>
              <w:right w:val="nil"/>
            </w:tcBorders>
            <w:shd w:val="clear" w:color="auto" w:fill="auto"/>
            <w:noWrap/>
            <w:vAlign w:val="bottom"/>
            <w:hideMark/>
          </w:tcPr>
          <w:p w14:paraId="3D5A0BA0"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4.8</w:t>
            </w:r>
          </w:p>
        </w:tc>
        <w:tc>
          <w:tcPr>
            <w:tcW w:w="709" w:type="dxa"/>
            <w:tcBorders>
              <w:top w:val="nil"/>
              <w:left w:val="nil"/>
              <w:bottom w:val="nil"/>
              <w:right w:val="nil"/>
            </w:tcBorders>
            <w:shd w:val="clear" w:color="auto" w:fill="auto"/>
            <w:noWrap/>
            <w:vAlign w:val="bottom"/>
            <w:hideMark/>
          </w:tcPr>
          <w:p w14:paraId="427CDA02"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63.3</w:t>
            </w:r>
          </w:p>
        </w:tc>
      </w:tr>
      <w:tr w:rsidR="004A5CD7" w:rsidRPr="0022119B" w14:paraId="335DFBC4" w14:textId="77777777" w:rsidTr="004A5CD7">
        <w:trPr>
          <w:trHeight w:val="288"/>
          <w:jc w:val="center"/>
        </w:trPr>
        <w:tc>
          <w:tcPr>
            <w:tcW w:w="709" w:type="dxa"/>
            <w:tcBorders>
              <w:top w:val="nil"/>
              <w:left w:val="nil"/>
              <w:bottom w:val="nil"/>
              <w:right w:val="nil"/>
            </w:tcBorders>
            <w:shd w:val="clear" w:color="auto" w:fill="auto"/>
            <w:noWrap/>
            <w:vAlign w:val="bottom"/>
            <w:hideMark/>
          </w:tcPr>
          <w:p w14:paraId="68BA6D87"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2060</w:t>
            </w:r>
          </w:p>
        </w:tc>
        <w:tc>
          <w:tcPr>
            <w:tcW w:w="1276" w:type="dxa"/>
            <w:tcBorders>
              <w:top w:val="nil"/>
              <w:left w:val="nil"/>
              <w:bottom w:val="nil"/>
              <w:right w:val="nil"/>
            </w:tcBorders>
            <w:shd w:val="clear" w:color="auto" w:fill="auto"/>
            <w:noWrap/>
            <w:vAlign w:val="bottom"/>
            <w:hideMark/>
          </w:tcPr>
          <w:p w14:paraId="5308C57C"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62.9</w:t>
            </w:r>
          </w:p>
        </w:tc>
        <w:tc>
          <w:tcPr>
            <w:tcW w:w="850" w:type="dxa"/>
            <w:tcBorders>
              <w:top w:val="nil"/>
              <w:left w:val="nil"/>
              <w:bottom w:val="nil"/>
              <w:right w:val="nil"/>
            </w:tcBorders>
            <w:shd w:val="clear" w:color="auto" w:fill="auto"/>
            <w:noWrap/>
            <w:vAlign w:val="bottom"/>
            <w:hideMark/>
          </w:tcPr>
          <w:p w14:paraId="128D000A"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25.2</w:t>
            </w:r>
          </w:p>
        </w:tc>
        <w:tc>
          <w:tcPr>
            <w:tcW w:w="709" w:type="dxa"/>
            <w:tcBorders>
              <w:top w:val="nil"/>
              <w:left w:val="nil"/>
              <w:bottom w:val="nil"/>
              <w:right w:val="nil"/>
            </w:tcBorders>
            <w:shd w:val="clear" w:color="auto" w:fill="auto"/>
            <w:noWrap/>
            <w:vAlign w:val="bottom"/>
            <w:hideMark/>
          </w:tcPr>
          <w:p w14:paraId="464738E1"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9.9</w:t>
            </w:r>
          </w:p>
        </w:tc>
        <w:tc>
          <w:tcPr>
            <w:tcW w:w="709" w:type="dxa"/>
            <w:tcBorders>
              <w:top w:val="nil"/>
              <w:left w:val="nil"/>
              <w:bottom w:val="nil"/>
              <w:right w:val="nil"/>
            </w:tcBorders>
            <w:shd w:val="clear" w:color="auto" w:fill="auto"/>
            <w:noWrap/>
            <w:vAlign w:val="bottom"/>
            <w:hideMark/>
          </w:tcPr>
          <w:p w14:paraId="355DE0E3"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0.8</w:t>
            </w:r>
          </w:p>
        </w:tc>
        <w:tc>
          <w:tcPr>
            <w:tcW w:w="709" w:type="dxa"/>
            <w:tcBorders>
              <w:top w:val="nil"/>
              <w:left w:val="nil"/>
              <w:bottom w:val="nil"/>
              <w:right w:val="nil"/>
            </w:tcBorders>
            <w:shd w:val="clear" w:color="auto" w:fill="auto"/>
            <w:noWrap/>
            <w:vAlign w:val="bottom"/>
            <w:hideMark/>
          </w:tcPr>
          <w:p w14:paraId="6D893370"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2.4</w:t>
            </w:r>
          </w:p>
        </w:tc>
        <w:tc>
          <w:tcPr>
            <w:tcW w:w="1275" w:type="dxa"/>
            <w:tcBorders>
              <w:top w:val="nil"/>
              <w:left w:val="nil"/>
              <w:bottom w:val="nil"/>
              <w:right w:val="nil"/>
            </w:tcBorders>
            <w:shd w:val="clear" w:color="auto" w:fill="auto"/>
            <w:noWrap/>
            <w:vAlign w:val="bottom"/>
            <w:hideMark/>
          </w:tcPr>
          <w:p w14:paraId="43873AC3"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32.6</w:t>
            </w:r>
          </w:p>
        </w:tc>
        <w:tc>
          <w:tcPr>
            <w:tcW w:w="1134" w:type="dxa"/>
            <w:tcBorders>
              <w:top w:val="nil"/>
              <w:left w:val="nil"/>
              <w:bottom w:val="nil"/>
              <w:right w:val="nil"/>
            </w:tcBorders>
            <w:shd w:val="clear" w:color="auto" w:fill="auto"/>
            <w:noWrap/>
            <w:vAlign w:val="bottom"/>
            <w:hideMark/>
          </w:tcPr>
          <w:p w14:paraId="35E6140C"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5.9</w:t>
            </w:r>
          </w:p>
        </w:tc>
        <w:tc>
          <w:tcPr>
            <w:tcW w:w="709" w:type="dxa"/>
            <w:tcBorders>
              <w:top w:val="nil"/>
              <w:left w:val="nil"/>
              <w:bottom w:val="nil"/>
              <w:right w:val="nil"/>
            </w:tcBorders>
            <w:shd w:val="clear" w:color="auto" w:fill="auto"/>
            <w:noWrap/>
            <w:vAlign w:val="bottom"/>
            <w:hideMark/>
          </w:tcPr>
          <w:p w14:paraId="569BD598"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77.0</w:t>
            </w:r>
          </w:p>
        </w:tc>
      </w:tr>
      <w:tr w:rsidR="004A5CD7" w:rsidRPr="0022119B" w14:paraId="3F352B79" w14:textId="77777777" w:rsidTr="004A5CD7">
        <w:trPr>
          <w:trHeight w:val="288"/>
          <w:jc w:val="center"/>
        </w:trPr>
        <w:tc>
          <w:tcPr>
            <w:tcW w:w="709" w:type="dxa"/>
            <w:tcBorders>
              <w:top w:val="nil"/>
              <w:left w:val="nil"/>
              <w:bottom w:val="nil"/>
              <w:right w:val="nil"/>
            </w:tcBorders>
            <w:shd w:val="clear" w:color="auto" w:fill="auto"/>
            <w:noWrap/>
            <w:vAlign w:val="bottom"/>
            <w:hideMark/>
          </w:tcPr>
          <w:p w14:paraId="379055FC"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2070</w:t>
            </w:r>
          </w:p>
        </w:tc>
        <w:tc>
          <w:tcPr>
            <w:tcW w:w="1276" w:type="dxa"/>
            <w:tcBorders>
              <w:top w:val="nil"/>
              <w:left w:val="nil"/>
              <w:bottom w:val="nil"/>
              <w:right w:val="nil"/>
            </w:tcBorders>
            <w:shd w:val="clear" w:color="auto" w:fill="auto"/>
            <w:noWrap/>
            <w:vAlign w:val="bottom"/>
            <w:hideMark/>
          </w:tcPr>
          <w:p w14:paraId="373F7ED6"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72.4</w:t>
            </w:r>
          </w:p>
        </w:tc>
        <w:tc>
          <w:tcPr>
            <w:tcW w:w="850" w:type="dxa"/>
            <w:tcBorders>
              <w:top w:val="nil"/>
              <w:left w:val="nil"/>
              <w:bottom w:val="nil"/>
              <w:right w:val="nil"/>
            </w:tcBorders>
            <w:shd w:val="clear" w:color="auto" w:fill="auto"/>
            <w:noWrap/>
            <w:vAlign w:val="bottom"/>
            <w:hideMark/>
          </w:tcPr>
          <w:p w14:paraId="19F1ACDD"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29.6</w:t>
            </w:r>
          </w:p>
        </w:tc>
        <w:tc>
          <w:tcPr>
            <w:tcW w:w="709" w:type="dxa"/>
            <w:tcBorders>
              <w:top w:val="nil"/>
              <w:left w:val="nil"/>
              <w:bottom w:val="nil"/>
              <w:right w:val="nil"/>
            </w:tcBorders>
            <w:shd w:val="clear" w:color="auto" w:fill="auto"/>
            <w:noWrap/>
            <w:vAlign w:val="bottom"/>
            <w:hideMark/>
          </w:tcPr>
          <w:p w14:paraId="67815AF2"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11.6</w:t>
            </w:r>
          </w:p>
        </w:tc>
        <w:tc>
          <w:tcPr>
            <w:tcW w:w="709" w:type="dxa"/>
            <w:tcBorders>
              <w:top w:val="nil"/>
              <w:left w:val="nil"/>
              <w:bottom w:val="nil"/>
              <w:right w:val="nil"/>
            </w:tcBorders>
            <w:shd w:val="clear" w:color="auto" w:fill="auto"/>
            <w:noWrap/>
            <w:vAlign w:val="bottom"/>
            <w:hideMark/>
          </w:tcPr>
          <w:p w14:paraId="688AECC0"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1.0</w:t>
            </w:r>
          </w:p>
        </w:tc>
        <w:tc>
          <w:tcPr>
            <w:tcW w:w="709" w:type="dxa"/>
            <w:tcBorders>
              <w:top w:val="nil"/>
              <w:left w:val="nil"/>
              <w:bottom w:val="nil"/>
              <w:right w:val="nil"/>
            </w:tcBorders>
            <w:shd w:val="clear" w:color="auto" w:fill="auto"/>
            <w:noWrap/>
            <w:vAlign w:val="bottom"/>
            <w:hideMark/>
          </w:tcPr>
          <w:p w14:paraId="34A95EBD"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2.8</w:t>
            </w:r>
          </w:p>
        </w:tc>
        <w:tc>
          <w:tcPr>
            <w:tcW w:w="1275" w:type="dxa"/>
            <w:tcBorders>
              <w:top w:val="nil"/>
              <w:left w:val="nil"/>
              <w:bottom w:val="nil"/>
              <w:right w:val="nil"/>
            </w:tcBorders>
            <w:shd w:val="clear" w:color="auto" w:fill="auto"/>
            <w:noWrap/>
            <w:vAlign w:val="bottom"/>
            <w:hideMark/>
          </w:tcPr>
          <w:p w14:paraId="60A43C18"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39.0</w:t>
            </w:r>
          </w:p>
        </w:tc>
        <w:tc>
          <w:tcPr>
            <w:tcW w:w="1134" w:type="dxa"/>
            <w:tcBorders>
              <w:top w:val="nil"/>
              <w:left w:val="nil"/>
              <w:bottom w:val="nil"/>
              <w:right w:val="nil"/>
            </w:tcBorders>
            <w:shd w:val="clear" w:color="auto" w:fill="auto"/>
            <w:noWrap/>
            <w:vAlign w:val="bottom"/>
            <w:hideMark/>
          </w:tcPr>
          <w:p w14:paraId="17A250D8"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7.1</w:t>
            </w:r>
          </w:p>
        </w:tc>
        <w:tc>
          <w:tcPr>
            <w:tcW w:w="709" w:type="dxa"/>
            <w:tcBorders>
              <w:top w:val="nil"/>
              <w:left w:val="nil"/>
              <w:bottom w:val="nil"/>
              <w:right w:val="nil"/>
            </w:tcBorders>
            <w:shd w:val="clear" w:color="auto" w:fill="auto"/>
            <w:noWrap/>
            <w:vAlign w:val="bottom"/>
            <w:hideMark/>
          </w:tcPr>
          <w:p w14:paraId="49042611" w14:textId="77777777" w:rsidR="0022119B" w:rsidRPr="0022119B" w:rsidRDefault="0022119B" w:rsidP="004A5CD7">
            <w:pPr>
              <w:spacing w:after="0" w:line="240" w:lineRule="auto"/>
              <w:jc w:val="center"/>
              <w:rPr>
                <w:rFonts w:ascii="Calibri" w:eastAsia="Times New Roman" w:hAnsi="Calibri" w:cs="Calibri"/>
                <w:color w:val="000000"/>
                <w:sz w:val="20"/>
                <w:szCs w:val="20"/>
                <w:lang w:val="en-US"/>
              </w:rPr>
            </w:pPr>
            <w:r w:rsidRPr="0022119B">
              <w:rPr>
                <w:rFonts w:ascii="Calibri" w:eastAsia="Times New Roman" w:hAnsi="Calibri" w:cs="Calibri"/>
                <w:color w:val="000000"/>
                <w:sz w:val="20"/>
                <w:szCs w:val="20"/>
                <w:lang w:val="en-US"/>
              </w:rPr>
              <w:t>91.1</w:t>
            </w:r>
          </w:p>
        </w:tc>
      </w:tr>
    </w:tbl>
    <w:p w14:paraId="1FB39E78" w14:textId="77777777" w:rsidR="0022119B" w:rsidRDefault="0022119B" w:rsidP="00752E6B">
      <w:pPr>
        <w:rPr>
          <w:lang w:val="en-001"/>
        </w:rPr>
      </w:pPr>
    </w:p>
    <w:p w14:paraId="1A4C2A40" w14:textId="09F22C43" w:rsidR="005F40A8" w:rsidRDefault="005F40A8" w:rsidP="005F40A8">
      <w:pPr>
        <w:pStyle w:val="Heading2"/>
        <w:rPr>
          <w:lang w:val="en-001"/>
        </w:rPr>
      </w:pPr>
      <w:r>
        <w:rPr>
          <w:lang w:val="en-001"/>
        </w:rPr>
        <w:t>References</w:t>
      </w:r>
    </w:p>
    <w:p w14:paraId="2596BE7E" w14:textId="77777777" w:rsidR="00E97661" w:rsidRPr="00E97661" w:rsidRDefault="00E97661" w:rsidP="00E97661">
      <w:pPr>
        <w:pStyle w:val="Bibliography"/>
        <w:spacing w:line="276" w:lineRule="auto"/>
        <w:ind w:left="142" w:hanging="142"/>
        <w:rPr>
          <w:rFonts w:ascii="Calibri" w:hAnsi="Calibri" w:cs="Calibri"/>
          <w:lang w:val="en-US"/>
        </w:rPr>
      </w:pPr>
      <w:r>
        <w:rPr>
          <w:lang w:val="en-001"/>
        </w:rPr>
        <w:fldChar w:fldCharType="begin"/>
      </w:r>
      <w:r>
        <w:rPr>
          <w:lang w:val="en-001"/>
        </w:rPr>
        <w:instrText xml:space="preserve"> ADDIN ZOTERO_BIBL {"uncited":[],"omitted":[],"custom":[]} CSL_BIBLIOGRAPHY </w:instrText>
      </w:r>
      <w:r>
        <w:rPr>
          <w:lang w:val="en-001"/>
        </w:rPr>
        <w:fldChar w:fldCharType="separate"/>
      </w:r>
      <w:r w:rsidRPr="00E97661">
        <w:rPr>
          <w:rFonts w:ascii="Calibri" w:hAnsi="Calibri" w:cs="Calibri"/>
          <w:lang w:val="en-US"/>
        </w:rPr>
        <w:t xml:space="preserve">Deutsche Bahn. (2018). </w:t>
      </w:r>
      <w:r w:rsidRPr="00E97661">
        <w:rPr>
          <w:rFonts w:ascii="Calibri" w:hAnsi="Calibri" w:cs="Calibri"/>
          <w:i/>
          <w:iCs/>
          <w:lang w:val="en-US"/>
        </w:rPr>
        <w:t>Energy efficiency increased</w:t>
      </w:r>
      <w:r w:rsidRPr="00E97661">
        <w:rPr>
          <w:rFonts w:ascii="Calibri" w:hAnsi="Calibri" w:cs="Calibri"/>
          <w:lang w:val="en-US"/>
        </w:rPr>
        <w:t>. https://ibir.deutschebahn.com/ib2018/ib2018/en/group-management-report/environmental/progress-in-climate-protection/energy-efficiency-increased/</w:t>
      </w:r>
    </w:p>
    <w:p w14:paraId="2316A48B" w14:textId="77777777" w:rsidR="00E97661" w:rsidRPr="00E97661" w:rsidRDefault="00E97661" w:rsidP="00E97661">
      <w:pPr>
        <w:pStyle w:val="Bibliography"/>
        <w:spacing w:line="276" w:lineRule="auto"/>
        <w:ind w:left="142" w:hanging="142"/>
        <w:rPr>
          <w:rFonts w:ascii="Calibri" w:hAnsi="Calibri" w:cs="Calibri"/>
          <w:lang w:val="en-US"/>
        </w:rPr>
      </w:pPr>
      <w:r w:rsidRPr="00E97661">
        <w:rPr>
          <w:rFonts w:ascii="Calibri" w:hAnsi="Calibri" w:cs="Calibri"/>
        </w:rPr>
        <w:t xml:space="preserve">Eeden, J., Havenga, J., &amp; Za, J. (2010). </w:t>
      </w:r>
      <w:r w:rsidRPr="00E97661">
        <w:rPr>
          <w:rFonts w:ascii="Calibri" w:hAnsi="Calibri" w:cs="Calibri"/>
          <w:lang w:val="en-US"/>
        </w:rPr>
        <w:t xml:space="preserve">Identification of key target markets for intermodal freight transport solutions in South Africa. </w:t>
      </w:r>
      <w:r w:rsidRPr="00E97661">
        <w:rPr>
          <w:rFonts w:ascii="Calibri" w:hAnsi="Calibri" w:cs="Calibri"/>
          <w:i/>
          <w:iCs/>
          <w:lang w:val="en-US"/>
        </w:rPr>
        <w:t>Journal of Transport and Supply Chain Management</w:t>
      </w:r>
      <w:r w:rsidRPr="00E97661">
        <w:rPr>
          <w:rFonts w:ascii="Calibri" w:hAnsi="Calibri" w:cs="Calibri"/>
          <w:lang w:val="en-US"/>
        </w:rPr>
        <w:t xml:space="preserve">, </w:t>
      </w:r>
      <w:r w:rsidRPr="00E97661">
        <w:rPr>
          <w:rFonts w:ascii="Calibri" w:hAnsi="Calibri" w:cs="Calibri"/>
          <w:i/>
          <w:iCs/>
          <w:lang w:val="en-US"/>
        </w:rPr>
        <w:t>4</w:t>
      </w:r>
      <w:r w:rsidRPr="00E97661">
        <w:rPr>
          <w:rFonts w:ascii="Calibri" w:hAnsi="Calibri" w:cs="Calibri"/>
          <w:lang w:val="en-US"/>
        </w:rPr>
        <w:t>. https://doi.org/10.4102/jtscm.v4i1.71</w:t>
      </w:r>
    </w:p>
    <w:p w14:paraId="36B327E3" w14:textId="77777777" w:rsidR="00E97661" w:rsidRPr="00E97661" w:rsidRDefault="00E97661" w:rsidP="00E97661">
      <w:pPr>
        <w:pStyle w:val="Bibliography"/>
        <w:spacing w:line="276" w:lineRule="auto"/>
        <w:ind w:left="142" w:hanging="142"/>
        <w:rPr>
          <w:rFonts w:ascii="Calibri" w:hAnsi="Calibri" w:cs="Calibri"/>
          <w:lang w:val="en-US"/>
        </w:rPr>
      </w:pPr>
      <w:r w:rsidRPr="00E97661">
        <w:rPr>
          <w:rFonts w:ascii="Calibri" w:hAnsi="Calibri" w:cs="Calibri"/>
          <w:lang w:val="en-US"/>
        </w:rPr>
        <w:lastRenderedPageBreak/>
        <w:t xml:space="preserve">European Environment Agency. (2013). </w:t>
      </w:r>
      <w:r w:rsidRPr="00E97661">
        <w:rPr>
          <w:rFonts w:ascii="Calibri" w:hAnsi="Calibri" w:cs="Calibri"/>
          <w:i/>
          <w:iCs/>
          <w:lang w:val="en-US"/>
        </w:rPr>
        <w:t>Freight transport volumes and GDP — European Environment Agency</w:t>
      </w:r>
      <w:r w:rsidRPr="00E97661">
        <w:rPr>
          <w:rFonts w:ascii="Calibri" w:hAnsi="Calibri" w:cs="Calibri"/>
          <w:lang w:val="en-US"/>
        </w:rPr>
        <w:t>. https://www.eea.europa.eu/data-and-maps/daviz/freight-transport-volumes-and-gdp</w:t>
      </w:r>
    </w:p>
    <w:p w14:paraId="120DFC92" w14:textId="77777777" w:rsidR="00E97661" w:rsidRPr="00E97661" w:rsidRDefault="00E97661" w:rsidP="00E97661">
      <w:pPr>
        <w:pStyle w:val="Bibliography"/>
        <w:spacing w:line="276" w:lineRule="auto"/>
        <w:ind w:left="142" w:hanging="142"/>
        <w:rPr>
          <w:rFonts w:ascii="Calibri" w:hAnsi="Calibri" w:cs="Calibri"/>
          <w:lang w:val="es-ES"/>
        </w:rPr>
      </w:pPr>
      <w:r w:rsidRPr="00E97661">
        <w:rPr>
          <w:rFonts w:ascii="Calibri" w:hAnsi="Calibri" w:cs="Calibri"/>
          <w:lang w:val="en-US"/>
        </w:rPr>
        <w:t xml:space="preserve">IEA. (2021). </w:t>
      </w:r>
      <w:r w:rsidRPr="00E97661">
        <w:rPr>
          <w:rFonts w:ascii="Calibri" w:hAnsi="Calibri" w:cs="Calibri"/>
          <w:i/>
          <w:iCs/>
          <w:lang w:val="en-US"/>
        </w:rPr>
        <w:t>Fuel economy in South Africa – Analysis</w:t>
      </w:r>
      <w:r w:rsidRPr="00E97661">
        <w:rPr>
          <w:rFonts w:ascii="Calibri" w:hAnsi="Calibri" w:cs="Calibri"/>
          <w:lang w:val="en-US"/>
        </w:rPr>
        <w:t xml:space="preserve">. </w:t>
      </w:r>
      <w:r w:rsidRPr="00E97661">
        <w:rPr>
          <w:rFonts w:ascii="Calibri" w:hAnsi="Calibri" w:cs="Calibri"/>
          <w:lang w:val="es-ES"/>
        </w:rPr>
        <w:t>IEA. https://www.iea.org/articles/fuel-economy-in-south-africa</w:t>
      </w:r>
    </w:p>
    <w:p w14:paraId="3D9F1CFE" w14:textId="77777777" w:rsidR="00E97661" w:rsidRPr="00E97661" w:rsidRDefault="00E97661" w:rsidP="00E97661">
      <w:pPr>
        <w:pStyle w:val="Bibliography"/>
        <w:spacing w:line="276" w:lineRule="auto"/>
        <w:ind w:left="142" w:hanging="142"/>
        <w:rPr>
          <w:rFonts w:ascii="Calibri" w:hAnsi="Calibri" w:cs="Calibri"/>
          <w:lang w:val="en-US"/>
        </w:rPr>
      </w:pPr>
      <w:r w:rsidRPr="00E97661">
        <w:rPr>
          <w:rFonts w:ascii="Calibri" w:hAnsi="Calibri" w:cs="Calibri"/>
          <w:lang w:val="en-US"/>
        </w:rPr>
        <w:t xml:space="preserve">IIASA Energy Program. (2018). </w:t>
      </w:r>
      <w:r w:rsidRPr="00E97661">
        <w:rPr>
          <w:rFonts w:ascii="Calibri" w:hAnsi="Calibri" w:cs="Calibri"/>
          <w:i/>
          <w:iCs/>
          <w:lang w:val="en-US"/>
        </w:rPr>
        <w:t>SSP Public Database (Version 1.1)</w:t>
      </w:r>
      <w:r w:rsidRPr="00E97661">
        <w:rPr>
          <w:rFonts w:ascii="Calibri" w:hAnsi="Calibri" w:cs="Calibri"/>
          <w:lang w:val="en-US"/>
        </w:rPr>
        <w:t>. https://tntcat.iiasa.ac.at/SspDb/</w:t>
      </w:r>
    </w:p>
    <w:p w14:paraId="1C281FB5" w14:textId="77777777" w:rsidR="00E97661" w:rsidRPr="00E97661" w:rsidRDefault="00E97661" w:rsidP="00E97661">
      <w:pPr>
        <w:pStyle w:val="Bibliography"/>
        <w:spacing w:line="276" w:lineRule="auto"/>
        <w:ind w:left="142" w:hanging="142"/>
        <w:rPr>
          <w:rFonts w:ascii="Calibri" w:hAnsi="Calibri" w:cs="Calibri"/>
          <w:lang w:val="en-US"/>
        </w:rPr>
      </w:pPr>
      <w:r w:rsidRPr="00E97661">
        <w:rPr>
          <w:rFonts w:ascii="Calibri" w:hAnsi="Calibri" w:cs="Calibri"/>
          <w:lang w:val="en-US"/>
        </w:rPr>
        <w:t xml:space="preserve">Kyle, P., &amp; Kim, S. H. (2011). Long-term implications of alternative light-duty vehicle technologies for global greenhouse gas emissions and primary energy demands. </w:t>
      </w:r>
      <w:r w:rsidRPr="00E97661">
        <w:rPr>
          <w:rFonts w:ascii="Calibri" w:hAnsi="Calibri" w:cs="Calibri"/>
          <w:i/>
          <w:iCs/>
          <w:lang w:val="en-US"/>
        </w:rPr>
        <w:t>Energy Policy</w:t>
      </w:r>
      <w:r w:rsidRPr="00E97661">
        <w:rPr>
          <w:rFonts w:ascii="Calibri" w:hAnsi="Calibri" w:cs="Calibri"/>
          <w:lang w:val="en-US"/>
        </w:rPr>
        <w:t xml:space="preserve">, </w:t>
      </w:r>
      <w:r w:rsidRPr="00E97661">
        <w:rPr>
          <w:rFonts w:ascii="Calibri" w:hAnsi="Calibri" w:cs="Calibri"/>
          <w:i/>
          <w:iCs/>
          <w:lang w:val="en-US"/>
        </w:rPr>
        <w:t>39</w:t>
      </w:r>
      <w:r w:rsidRPr="00E97661">
        <w:rPr>
          <w:rFonts w:ascii="Calibri" w:hAnsi="Calibri" w:cs="Calibri"/>
          <w:lang w:val="en-US"/>
        </w:rPr>
        <w:t>(5), 3012–3024. https://doi.org/10.1016/j.enpol.2011.03.016</w:t>
      </w:r>
    </w:p>
    <w:p w14:paraId="4A5517A7" w14:textId="77777777" w:rsidR="00E97661" w:rsidRPr="00E97661" w:rsidRDefault="00E97661" w:rsidP="00E97661">
      <w:pPr>
        <w:pStyle w:val="Bibliography"/>
        <w:spacing w:line="276" w:lineRule="auto"/>
        <w:ind w:left="142" w:hanging="142"/>
        <w:rPr>
          <w:rFonts w:ascii="Calibri" w:hAnsi="Calibri" w:cs="Calibri"/>
          <w:lang w:val="en-US"/>
        </w:rPr>
      </w:pPr>
      <w:r w:rsidRPr="00E97661">
        <w:rPr>
          <w:rFonts w:ascii="Calibri" w:hAnsi="Calibri" w:cs="Calibri"/>
          <w:lang w:val="en-US"/>
        </w:rPr>
        <w:t xml:space="preserve">Mathiesen, B., Connolly, D., Lund, H., Nielsen, M., Schaltz, E., Wenzel, H., Bentsen, N., Felby, C., Kaspersen, P., Skov, I., &amp; Hansen, K. (2014). </w:t>
      </w:r>
      <w:r w:rsidRPr="00E97661">
        <w:rPr>
          <w:rFonts w:ascii="Calibri" w:hAnsi="Calibri" w:cs="Calibri"/>
          <w:i/>
          <w:iCs/>
          <w:lang w:val="en-US"/>
        </w:rPr>
        <w:t>CEESA 100% Renewable Energy Transport Scenarios towards 2050</w:t>
      </w:r>
      <w:r w:rsidRPr="00E97661">
        <w:rPr>
          <w:rFonts w:ascii="Calibri" w:hAnsi="Calibri" w:cs="Calibri"/>
          <w:lang w:val="en-US"/>
        </w:rPr>
        <w:t>. https://doi.org/10.13140/RG.2.1.3217.2886</w:t>
      </w:r>
    </w:p>
    <w:p w14:paraId="3D7944A6" w14:textId="77777777" w:rsidR="00E97661" w:rsidRPr="00E97661" w:rsidRDefault="00E97661" w:rsidP="00E97661">
      <w:pPr>
        <w:pStyle w:val="Bibliography"/>
        <w:spacing w:line="276" w:lineRule="auto"/>
        <w:ind w:left="142" w:hanging="142"/>
        <w:rPr>
          <w:rFonts w:ascii="Calibri" w:hAnsi="Calibri" w:cs="Calibri"/>
          <w:lang w:val="en-US"/>
        </w:rPr>
      </w:pPr>
      <w:r w:rsidRPr="00E97661">
        <w:rPr>
          <w:rFonts w:ascii="Calibri" w:hAnsi="Calibri" w:cs="Calibri"/>
          <w:lang w:val="en-US"/>
        </w:rPr>
        <w:t xml:space="preserve">McCollum, D. L., Wilson, C., Pettifor, H., Ramea, K., Krey, V., Riahi, K., Bertram, C., Lin, Z., Edelenbosch, O. Y., &amp; Fujisawa, S. (2017). Improving the behavioral realism of global integrated assessment models: An application to consumers’ vehicle choices. </w:t>
      </w:r>
      <w:r w:rsidRPr="00E97661">
        <w:rPr>
          <w:rFonts w:ascii="Calibri" w:hAnsi="Calibri" w:cs="Calibri"/>
          <w:i/>
          <w:iCs/>
          <w:lang w:val="en-US"/>
        </w:rPr>
        <w:t>Transportation Research Part D: Transport and Environment</w:t>
      </w:r>
      <w:r w:rsidRPr="00E97661">
        <w:rPr>
          <w:rFonts w:ascii="Calibri" w:hAnsi="Calibri" w:cs="Calibri"/>
          <w:lang w:val="en-US"/>
        </w:rPr>
        <w:t xml:space="preserve">, </w:t>
      </w:r>
      <w:r w:rsidRPr="00E97661">
        <w:rPr>
          <w:rFonts w:ascii="Calibri" w:hAnsi="Calibri" w:cs="Calibri"/>
          <w:i/>
          <w:iCs/>
          <w:lang w:val="en-US"/>
        </w:rPr>
        <w:t>55</w:t>
      </w:r>
      <w:r w:rsidRPr="00E97661">
        <w:rPr>
          <w:rFonts w:ascii="Calibri" w:hAnsi="Calibri" w:cs="Calibri"/>
          <w:lang w:val="en-US"/>
        </w:rPr>
        <w:t>, 322–342. https://doi.org/10.1016/j.trd.2016.04.003</w:t>
      </w:r>
    </w:p>
    <w:p w14:paraId="704B6C1E" w14:textId="77777777" w:rsidR="00E97661" w:rsidRPr="00E97661" w:rsidRDefault="00E97661" w:rsidP="00E97661">
      <w:pPr>
        <w:pStyle w:val="Bibliography"/>
        <w:spacing w:line="276" w:lineRule="auto"/>
        <w:ind w:left="142" w:hanging="142"/>
        <w:rPr>
          <w:rFonts w:ascii="Calibri" w:hAnsi="Calibri" w:cs="Calibri"/>
          <w:lang w:val="en-US"/>
        </w:rPr>
      </w:pPr>
      <w:r w:rsidRPr="00E97661">
        <w:rPr>
          <w:rFonts w:ascii="Calibri" w:hAnsi="Calibri" w:cs="Calibri"/>
          <w:lang w:val="en-US"/>
        </w:rPr>
        <w:t xml:space="preserve">Merven, B., Stone, A., Hughes, A., &amp; Cohen, B. (2012). </w:t>
      </w:r>
      <w:r w:rsidRPr="00E97661">
        <w:rPr>
          <w:rFonts w:ascii="Calibri" w:hAnsi="Calibri" w:cs="Calibri"/>
          <w:i/>
          <w:iCs/>
          <w:lang w:val="en-US"/>
        </w:rPr>
        <w:t>Quantifying the energy needs of the transport sector for South Africa: A bottom‐up model</w:t>
      </w:r>
      <w:r w:rsidRPr="00E97661">
        <w:rPr>
          <w:rFonts w:ascii="Calibri" w:hAnsi="Calibri" w:cs="Calibri"/>
          <w:lang w:val="en-US"/>
        </w:rPr>
        <w:t>. 78.</w:t>
      </w:r>
    </w:p>
    <w:p w14:paraId="187FB69C" w14:textId="77777777" w:rsidR="00E97661" w:rsidRPr="00E97661" w:rsidRDefault="00E97661" w:rsidP="00E97661">
      <w:pPr>
        <w:pStyle w:val="Bibliography"/>
        <w:spacing w:line="276" w:lineRule="auto"/>
        <w:ind w:left="142" w:hanging="142"/>
        <w:rPr>
          <w:rFonts w:ascii="Calibri" w:hAnsi="Calibri" w:cs="Calibri"/>
          <w:lang w:val="en-US"/>
        </w:rPr>
      </w:pPr>
      <w:r w:rsidRPr="00E97661">
        <w:rPr>
          <w:rFonts w:ascii="Calibri" w:hAnsi="Calibri" w:cs="Calibri"/>
          <w:lang w:val="en-US"/>
        </w:rPr>
        <w:t xml:space="preserve">Orthofer, C. L., Huppmann, D., &amp; Krey, V. (2019). South Africa After Paris—Fracking Its Way to the NDCs? </w:t>
      </w:r>
      <w:r w:rsidRPr="00E97661">
        <w:rPr>
          <w:rFonts w:ascii="Calibri" w:hAnsi="Calibri" w:cs="Calibri"/>
          <w:i/>
          <w:iCs/>
          <w:lang w:val="en-US"/>
        </w:rPr>
        <w:t>Frontiers in Energy Research</w:t>
      </w:r>
      <w:r w:rsidRPr="00E97661">
        <w:rPr>
          <w:rFonts w:ascii="Calibri" w:hAnsi="Calibri" w:cs="Calibri"/>
          <w:lang w:val="en-US"/>
        </w:rPr>
        <w:t xml:space="preserve">, </w:t>
      </w:r>
      <w:r w:rsidRPr="00E97661">
        <w:rPr>
          <w:rFonts w:ascii="Calibri" w:hAnsi="Calibri" w:cs="Calibri"/>
          <w:i/>
          <w:iCs/>
          <w:lang w:val="en-US"/>
        </w:rPr>
        <w:t>7</w:t>
      </w:r>
      <w:r w:rsidRPr="00E97661">
        <w:rPr>
          <w:rFonts w:ascii="Calibri" w:hAnsi="Calibri" w:cs="Calibri"/>
          <w:lang w:val="en-US"/>
        </w:rPr>
        <w:t>. https://www.frontiersin.org/article/10.3389/fenrg.2019.00020</w:t>
      </w:r>
    </w:p>
    <w:p w14:paraId="768D2DF3" w14:textId="77777777" w:rsidR="00E97661" w:rsidRPr="00E97661" w:rsidRDefault="00E97661" w:rsidP="00E97661">
      <w:pPr>
        <w:pStyle w:val="Bibliography"/>
        <w:spacing w:line="276" w:lineRule="auto"/>
        <w:ind w:left="142" w:hanging="142"/>
        <w:rPr>
          <w:rFonts w:ascii="Calibri" w:hAnsi="Calibri" w:cs="Calibri"/>
          <w:lang w:val="en-US"/>
        </w:rPr>
      </w:pPr>
      <w:r w:rsidRPr="00E97661">
        <w:rPr>
          <w:rFonts w:ascii="Calibri" w:hAnsi="Calibri" w:cs="Calibri"/>
          <w:lang w:val="en-US"/>
        </w:rPr>
        <w:t xml:space="preserve">Schafer, A., &amp; Victor, D. G. (2000). The future mobility of the world population. </w:t>
      </w:r>
      <w:r w:rsidRPr="00E97661">
        <w:rPr>
          <w:rFonts w:ascii="Calibri" w:hAnsi="Calibri" w:cs="Calibri"/>
          <w:i/>
          <w:iCs/>
          <w:lang w:val="en-US"/>
        </w:rPr>
        <w:t>Transportation Research Part A: Policy and Practice</w:t>
      </w:r>
      <w:r w:rsidRPr="00E97661">
        <w:rPr>
          <w:rFonts w:ascii="Calibri" w:hAnsi="Calibri" w:cs="Calibri"/>
          <w:lang w:val="en-US"/>
        </w:rPr>
        <w:t xml:space="preserve">, </w:t>
      </w:r>
      <w:r w:rsidRPr="00E97661">
        <w:rPr>
          <w:rFonts w:ascii="Calibri" w:hAnsi="Calibri" w:cs="Calibri"/>
          <w:i/>
          <w:iCs/>
          <w:lang w:val="en-US"/>
        </w:rPr>
        <w:t>34</w:t>
      </w:r>
      <w:r w:rsidRPr="00E97661">
        <w:rPr>
          <w:rFonts w:ascii="Calibri" w:hAnsi="Calibri" w:cs="Calibri"/>
          <w:lang w:val="en-US"/>
        </w:rPr>
        <w:t>(3), 171–205. https://doi.org/10.1016/S0965-8564(98)00071-8</w:t>
      </w:r>
    </w:p>
    <w:p w14:paraId="2128B4B9" w14:textId="77777777" w:rsidR="00E97661" w:rsidRPr="00E97661" w:rsidRDefault="00E97661" w:rsidP="00E97661">
      <w:pPr>
        <w:pStyle w:val="Bibliography"/>
        <w:spacing w:line="276" w:lineRule="auto"/>
        <w:ind w:left="142" w:hanging="142"/>
        <w:rPr>
          <w:rFonts w:ascii="Calibri" w:hAnsi="Calibri" w:cs="Calibri"/>
          <w:lang w:val="en-US"/>
        </w:rPr>
      </w:pPr>
      <w:r w:rsidRPr="00E97661">
        <w:rPr>
          <w:rFonts w:ascii="Calibri" w:hAnsi="Calibri" w:cs="Calibri"/>
          <w:lang w:val="en-US"/>
        </w:rPr>
        <w:t xml:space="preserve">Verny, J. (2007). The importance of decoupling between freight transport and economic growth. </w:t>
      </w:r>
      <w:r w:rsidRPr="00E97661">
        <w:rPr>
          <w:rFonts w:ascii="Calibri" w:hAnsi="Calibri" w:cs="Calibri"/>
          <w:i/>
          <w:iCs/>
          <w:lang w:val="en-US"/>
        </w:rPr>
        <w:t>European Journal of Transport and Infrastructure Research</w:t>
      </w:r>
      <w:r w:rsidRPr="00E97661">
        <w:rPr>
          <w:rFonts w:ascii="Calibri" w:hAnsi="Calibri" w:cs="Calibri"/>
          <w:lang w:val="en-US"/>
        </w:rPr>
        <w:t xml:space="preserve">, </w:t>
      </w:r>
      <w:r w:rsidRPr="00E97661">
        <w:rPr>
          <w:rFonts w:ascii="Calibri" w:hAnsi="Calibri" w:cs="Calibri"/>
          <w:i/>
          <w:iCs/>
          <w:lang w:val="en-US"/>
        </w:rPr>
        <w:t>7</w:t>
      </w:r>
      <w:r w:rsidRPr="00E97661">
        <w:rPr>
          <w:rFonts w:ascii="Calibri" w:hAnsi="Calibri" w:cs="Calibri"/>
          <w:lang w:val="en-US"/>
        </w:rPr>
        <w:t>, 105–120. https://doi.org/10.18757/ejtir.2007.7.2.3380</w:t>
      </w:r>
    </w:p>
    <w:p w14:paraId="2A98C116" w14:textId="09E540D8" w:rsidR="005F40A8" w:rsidRPr="005F40A8" w:rsidRDefault="00E97661" w:rsidP="00E97661">
      <w:pPr>
        <w:spacing w:line="276" w:lineRule="auto"/>
        <w:ind w:left="142" w:hanging="142"/>
        <w:rPr>
          <w:lang w:val="en-001"/>
        </w:rPr>
      </w:pPr>
      <w:r>
        <w:rPr>
          <w:lang w:val="en-001"/>
        </w:rPr>
        <w:fldChar w:fldCharType="end"/>
      </w:r>
    </w:p>
    <w:sectPr w:rsidR="005F40A8" w:rsidRPr="005F40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55ADC" w14:textId="77777777" w:rsidR="00F10C9F" w:rsidRDefault="00F10C9F" w:rsidP="007200A7">
      <w:pPr>
        <w:spacing w:after="0" w:line="240" w:lineRule="auto"/>
      </w:pPr>
      <w:r>
        <w:separator/>
      </w:r>
    </w:p>
  </w:endnote>
  <w:endnote w:type="continuationSeparator" w:id="0">
    <w:p w14:paraId="236E2D86" w14:textId="77777777" w:rsidR="00F10C9F" w:rsidRDefault="00F10C9F" w:rsidP="00720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018C5" w14:textId="77777777" w:rsidR="00F10C9F" w:rsidRDefault="00F10C9F" w:rsidP="007200A7">
      <w:pPr>
        <w:spacing w:after="0" w:line="240" w:lineRule="auto"/>
      </w:pPr>
      <w:r>
        <w:separator/>
      </w:r>
    </w:p>
  </w:footnote>
  <w:footnote w:type="continuationSeparator" w:id="0">
    <w:p w14:paraId="2534E8E8" w14:textId="77777777" w:rsidR="00F10C9F" w:rsidRDefault="00F10C9F" w:rsidP="00720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E7941"/>
    <w:multiLevelType w:val="hybridMultilevel"/>
    <w:tmpl w:val="A7D4E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42926"/>
    <w:multiLevelType w:val="hybridMultilevel"/>
    <w:tmpl w:val="70B09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81FA1"/>
    <w:multiLevelType w:val="hybridMultilevel"/>
    <w:tmpl w:val="B638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ztTAxMTO2NDM3sbBU0lEKTi0uzszPAykwqwUAbFqW3CwAAAA="/>
  </w:docVars>
  <w:rsids>
    <w:rsidRoot w:val="00362290"/>
    <w:rsid w:val="000430A4"/>
    <w:rsid w:val="00082579"/>
    <w:rsid w:val="00082CBF"/>
    <w:rsid w:val="000C2803"/>
    <w:rsid w:val="00105745"/>
    <w:rsid w:val="0014189D"/>
    <w:rsid w:val="0019489C"/>
    <w:rsid w:val="001A75AA"/>
    <w:rsid w:val="001B5188"/>
    <w:rsid w:val="002151DF"/>
    <w:rsid w:val="0022119B"/>
    <w:rsid w:val="002535C3"/>
    <w:rsid w:val="002608E9"/>
    <w:rsid w:val="00262965"/>
    <w:rsid w:val="0026468A"/>
    <w:rsid w:val="00266C86"/>
    <w:rsid w:val="002B685C"/>
    <w:rsid w:val="002C1F91"/>
    <w:rsid w:val="002C7E44"/>
    <w:rsid w:val="002D3B60"/>
    <w:rsid w:val="002F3D1B"/>
    <w:rsid w:val="00317C53"/>
    <w:rsid w:val="00337A33"/>
    <w:rsid w:val="00344038"/>
    <w:rsid w:val="00344119"/>
    <w:rsid w:val="00362290"/>
    <w:rsid w:val="00393444"/>
    <w:rsid w:val="003D03B5"/>
    <w:rsid w:val="004008A7"/>
    <w:rsid w:val="004158CF"/>
    <w:rsid w:val="004A5CD7"/>
    <w:rsid w:val="004B57EE"/>
    <w:rsid w:val="004C4CF2"/>
    <w:rsid w:val="004F6B94"/>
    <w:rsid w:val="005221AC"/>
    <w:rsid w:val="00542667"/>
    <w:rsid w:val="00547639"/>
    <w:rsid w:val="00554557"/>
    <w:rsid w:val="00582384"/>
    <w:rsid w:val="005A2B44"/>
    <w:rsid w:val="005B2293"/>
    <w:rsid w:val="005E7B0B"/>
    <w:rsid w:val="005F40A8"/>
    <w:rsid w:val="00624BD1"/>
    <w:rsid w:val="00645470"/>
    <w:rsid w:val="006529D8"/>
    <w:rsid w:val="006667C6"/>
    <w:rsid w:val="006938ED"/>
    <w:rsid w:val="00693D70"/>
    <w:rsid w:val="006E3A3D"/>
    <w:rsid w:val="006E428D"/>
    <w:rsid w:val="007031B2"/>
    <w:rsid w:val="007200A7"/>
    <w:rsid w:val="00752E6B"/>
    <w:rsid w:val="00767821"/>
    <w:rsid w:val="00770E40"/>
    <w:rsid w:val="007E11BB"/>
    <w:rsid w:val="007E220E"/>
    <w:rsid w:val="007E44CF"/>
    <w:rsid w:val="007F610D"/>
    <w:rsid w:val="00802193"/>
    <w:rsid w:val="00807EA3"/>
    <w:rsid w:val="0085758B"/>
    <w:rsid w:val="008A67AE"/>
    <w:rsid w:val="008C1E33"/>
    <w:rsid w:val="008F6AE3"/>
    <w:rsid w:val="00916FD9"/>
    <w:rsid w:val="0094547A"/>
    <w:rsid w:val="00950D03"/>
    <w:rsid w:val="00984400"/>
    <w:rsid w:val="009A6671"/>
    <w:rsid w:val="009B7ACD"/>
    <w:rsid w:val="009C079B"/>
    <w:rsid w:val="009D2CCF"/>
    <w:rsid w:val="009F1BEC"/>
    <w:rsid w:val="00A03ED7"/>
    <w:rsid w:val="00A5496F"/>
    <w:rsid w:val="00A85A43"/>
    <w:rsid w:val="00AA77B6"/>
    <w:rsid w:val="00B03BB6"/>
    <w:rsid w:val="00B22D37"/>
    <w:rsid w:val="00B52CAF"/>
    <w:rsid w:val="00B904C1"/>
    <w:rsid w:val="00BC112F"/>
    <w:rsid w:val="00BF0BD2"/>
    <w:rsid w:val="00BF18FB"/>
    <w:rsid w:val="00C16AB1"/>
    <w:rsid w:val="00C35903"/>
    <w:rsid w:val="00C37F58"/>
    <w:rsid w:val="00C502A8"/>
    <w:rsid w:val="00C84468"/>
    <w:rsid w:val="00CC092A"/>
    <w:rsid w:val="00CC3F2A"/>
    <w:rsid w:val="00D129E1"/>
    <w:rsid w:val="00D5399C"/>
    <w:rsid w:val="00D54865"/>
    <w:rsid w:val="00D90170"/>
    <w:rsid w:val="00D90FD4"/>
    <w:rsid w:val="00DA41FD"/>
    <w:rsid w:val="00E36A03"/>
    <w:rsid w:val="00E46A70"/>
    <w:rsid w:val="00E97661"/>
    <w:rsid w:val="00EF131B"/>
    <w:rsid w:val="00F01839"/>
    <w:rsid w:val="00F10C9F"/>
    <w:rsid w:val="00F2439B"/>
    <w:rsid w:val="00F917CC"/>
    <w:rsid w:val="00F9445B"/>
    <w:rsid w:val="00FA348C"/>
    <w:rsid w:val="00FA6A9A"/>
    <w:rsid w:val="00FD45BD"/>
    <w:rsid w:val="00FF3BC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E8EA6"/>
  <w15:chartTrackingRefBased/>
  <w15:docId w15:val="{EF7ADE5C-D93A-4393-A426-59F1B669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0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38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5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40A8"/>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44038"/>
    <w:rPr>
      <w:color w:val="808080"/>
    </w:rPr>
  </w:style>
  <w:style w:type="paragraph" w:styleId="ListParagraph">
    <w:name w:val="List Paragraph"/>
    <w:basedOn w:val="Normal"/>
    <w:uiPriority w:val="34"/>
    <w:qFormat/>
    <w:rsid w:val="00DA41FD"/>
    <w:pPr>
      <w:ind w:left="720"/>
      <w:contextualSpacing/>
    </w:pPr>
  </w:style>
  <w:style w:type="character" w:styleId="CommentReference">
    <w:name w:val="annotation reference"/>
    <w:basedOn w:val="DefaultParagraphFont"/>
    <w:uiPriority w:val="99"/>
    <w:semiHidden/>
    <w:unhideWhenUsed/>
    <w:rsid w:val="00A5496F"/>
    <w:rPr>
      <w:sz w:val="16"/>
      <w:szCs w:val="16"/>
    </w:rPr>
  </w:style>
  <w:style w:type="paragraph" w:styleId="CommentText">
    <w:name w:val="annotation text"/>
    <w:basedOn w:val="Normal"/>
    <w:link w:val="CommentTextChar"/>
    <w:uiPriority w:val="99"/>
    <w:semiHidden/>
    <w:unhideWhenUsed/>
    <w:rsid w:val="00A5496F"/>
    <w:pPr>
      <w:spacing w:line="240" w:lineRule="auto"/>
    </w:pPr>
    <w:rPr>
      <w:sz w:val="20"/>
      <w:szCs w:val="20"/>
    </w:rPr>
  </w:style>
  <w:style w:type="character" w:customStyle="1" w:styleId="CommentTextChar">
    <w:name w:val="Comment Text Char"/>
    <w:basedOn w:val="DefaultParagraphFont"/>
    <w:link w:val="CommentText"/>
    <w:uiPriority w:val="99"/>
    <w:semiHidden/>
    <w:rsid w:val="00A5496F"/>
    <w:rPr>
      <w:sz w:val="20"/>
      <w:szCs w:val="20"/>
    </w:rPr>
  </w:style>
  <w:style w:type="paragraph" w:styleId="CommentSubject">
    <w:name w:val="annotation subject"/>
    <w:basedOn w:val="CommentText"/>
    <w:next w:val="CommentText"/>
    <w:link w:val="CommentSubjectChar"/>
    <w:uiPriority w:val="99"/>
    <w:semiHidden/>
    <w:unhideWhenUsed/>
    <w:rsid w:val="00A5496F"/>
    <w:rPr>
      <w:b/>
      <w:bCs/>
    </w:rPr>
  </w:style>
  <w:style w:type="character" w:customStyle="1" w:styleId="CommentSubjectChar">
    <w:name w:val="Comment Subject Char"/>
    <w:basedOn w:val="CommentTextChar"/>
    <w:link w:val="CommentSubject"/>
    <w:uiPriority w:val="99"/>
    <w:semiHidden/>
    <w:rsid w:val="00A5496F"/>
    <w:rPr>
      <w:b/>
      <w:bCs/>
      <w:sz w:val="20"/>
      <w:szCs w:val="20"/>
    </w:rPr>
  </w:style>
  <w:style w:type="paragraph" w:styleId="Caption">
    <w:name w:val="caption"/>
    <w:basedOn w:val="Normal"/>
    <w:next w:val="Normal"/>
    <w:uiPriority w:val="35"/>
    <w:unhideWhenUsed/>
    <w:qFormat/>
    <w:rsid w:val="008A67AE"/>
    <w:pPr>
      <w:spacing w:after="200" w:line="240" w:lineRule="auto"/>
    </w:pPr>
    <w:rPr>
      <w:i/>
      <w:iCs/>
      <w:color w:val="44546A" w:themeColor="text2"/>
      <w:sz w:val="18"/>
      <w:szCs w:val="18"/>
    </w:rPr>
  </w:style>
  <w:style w:type="table" w:styleId="TableGrid">
    <w:name w:val="Table Grid"/>
    <w:basedOn w:val="TableNormal"/>
    <w:uiPriority w:val="39"/>
    <w:rsid w:val="008A6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938ED"/>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E9766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8231">
      <w:bodyDiv w:val="1"/>
      <w:marLeft w:val="0"/>
      <w:marRight w:val="0"/>
      <w:marTop w:val="0"/>
      <w:marBottom w:val="0"/>
      <w:divBdr>
        <w:top w:val="none" w:sz="0" w:space="0" w:color="auto"/>
        <w:left w:val="none" w:sz="0" w:space="0" w:color="auto"/>
        <w:bottom w:val="none" w:sz="0" w:space="0" w:color="auto"/>
        <w:right w:val="none" w:sz="0" w:space="0" w:color="auto"/>
      </w:divBdr>
    </w:div>
    <w:div w:id="152643589">
      <w:bodyDiv w:val="1"/>
      <w:marLeft w:val="0"/>
      <w:marRight w:val="0"/>
      <w:marTop w:val="0"/>
      <w:marBottom w:val="0"/>
      <w:divBdr>
        <w:top w:val="none" w:sz="0" w:space="0" w:color="auto"/>
        <w:left w:val="none" w:sz="0" w:space="0" w:color="auto"/>
        <w:bottom w:val="none" w:sz="0" w:space="0" w:color="auto"/>
        <w:right w:val="none" w:sz="0" w:space="0" w:color="auto"/>
      </w:divBdr>
    </w:div>
    <w:div w:id="260723112">
      <w:bodyDiv w:val="1"/>
      <w:marLeft w:val="0"/>
      <w:marRight w:val="0"/>
      <w:marTop w:val="0"/>
      <w:marBottom w:val="0"/>
      <w:divBdr>
        <w:top w:val="none" w:sz="0" w:space="0" w:color="auto"/>
        <w:left w:val="none" w:sz="0" w:space="0" w:color="auto"/>
        <w:bottom w:val="none" w:sz="0" w:space="0" w:color="auto"/>
        <w:right w:val="none" w:sz="0" w:space="0" w:color="auto"/>
      </w:divBdr>
    </w:div>
    <w:div w:id="329915586">
      <w:bodyDiv w:val="1"/>
      <w:marLeft w:val="0"/>
      <w:marRight w:val="0"/>
      <w:marTop w:val="0"/>
      <w:marBottom w:val="0"/>
      <w:divBdr>
        <w:top w:val="none" w:sz="0" w:space="0" w:color="auto"/>
        <w:left w:val="none" w:sz="0" w:space="0" w:color="auto"/>
        <w:bottom w:val="none" w:sz="0" w:space="0" w:color="auto"/>
        <w:right w:val="none" w:sz="0" w:space="0" w:color="auto"/>
      </w:divBdr>
    </w:div>
    <w:div w:id="1179153169">
      <w:bodyDiv w:val="1"/>
      <w:marLeft w:val="0"/>
      <w:marRight w:val="0"/>
      <w:marTop w:val="0"/>
      <w:marBottom w:val="0"/>
      <w:divBdr>
        <w:top w:val="none" w:sz="0" w:space="0" w:color="auto"/>
        <w:left w:val="none" w:sz="0" w:space="0" w:color="auto"/>
        <w:bottom w:val="none" w:sz="0" w:space="0" w:color="auto"/>
        <w:right w:val="none" w:sz="0" w:space="0" w:color="auto"/>
      </w:divBdr>
    </w:div>
    <w:div w:id="1847164899">
      <w:bodyDiv w:val="1"/>
      <w:marLeft w:val="0"/>
      <w:marRight w:val="0"/>
      <w:marTop w:val="0"/>
      <w:marBottom w:val="0"/>
      <w:divBdr>
        <w:top w:val="none" w:sz="0" w:space="0" w:color="auto"/>
        <w:left w:val="none" w:sz="0" w:space="0" w:color="auto"/>
        <w:bottom w:val="none" w:sz="0" w:space="0" w:color="auto"/>
        <w:right w:val="none" w:sz="0" w:space="0" w:color="auto"/>
      </w:divBdr>
    </w:div>
    <w:div w:id="197035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ami\all\PhD\course%20work\IAM\my%20project\supplementary%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5328504417497"/>
          <c:y val="7.8731762065095398E-2"/>
          <c:w val="0.71408523877307095"/>
          <c:h val="0.7311427738199392"/>
        </c:manualLayout>
      </c:layout>
      <c:lineChart>
        <c:grouping val="standard"/>
        <c:varyColors val="0"/>
        <c:ser>
          <c:idx val="22"/>
          <c:order val="0"/>
          <c:tx>
            <c:strRef>
              <c:f>'Inv costs'!$S$64</c:f>
              <c:strCache>
                <c:ptCount val="1"/>
                <c:pt idx="0">
                  <c:v>gas_ppl</c:v>
                </c:pt>
              </c:strCache>
            </c:strRef>
          </c:tx>
          <c:spPr>
            <a:ln w="28575" cap="rnd">
              <a:solidFill>
                <a:schemeClr val="accent5">
                  <a:lumMod val="80000"/>
                </a:schemeClr>
              </a:solidFill>
              <a:round/>
            </a:ln>
            <a:effectLst/>
          </c:spPr>
          <c:marker>
            <c:symbol val="none"/>
          </c:marker>
          <c:cat>
            <c:numRef>
              <c:f>'Inv costs'!$T$41:$Z$41</c:f>
              <c:numCache>
                <c:formatCode>General</c:formatCode>
                <c:ptCount val="7"/>
                <c:pt idx="0">
                  <c:v>2010</c:v>
                </c:pt>
                <c:pt idx="1">
                  <c:v>2020</c:v>
                </c:pt>
                <c:pt idx="2">
                  <c:v>2030</c:v>
                </c:pt>
                <c:pt idx="3">
                  <c:v>2040</c:v>
                </c:pt>
                <c:pt idx="4">
                  <c:v>2050</c:v>
                </c:pt>
                <c:pt idx="5">
                  <c:v>2060</c:v>
                </c:pt>
                <c:pt idx="6">
                  <c:v>2070</c:v>
                </c:pt>
              </c:numCache>
            </c:numRef>
          </c:cat>
          <c:val>
            <c:numRef>
              <c:f>'Inv costs'!$T$64:$Z$64</c:f>
              <c:numCache>
                <c:formatCode>#,##0.00</c:formatCode>
                <c:ptCount val="7"/>
                <c:pt idx="0">
                  <c:v>1</c:v>
                </c:pt>
                <c:pt idx="1">
                  <c:v>0.93129770992366412</c:v>
                </c:pt>
                <c:pt idx="2">
                  <c:v>0.89312977099236646</c:v>
                </c:pt>
                <c:pt idx="3">
                  <c:v>0.87531806615776087</c:v>
                </c:pt>
                <c:pt idx="4">
                  <c:v>0.87531806615776087</c:v>
                </c:pt>
                <c:pt idx="5">
                  <c:v>0.87531806615776087</c:v>
                </c:pt>
                <c:pt idx="6">
                  <c:v>0.87531806615776087</c:v>
                </c:pt>
              </c:numCache>
            </c:numRef>
          </c:val>
          <c:smooth val="0"/>
          <c:extLst>
            <c:ext xmlns:c16="http://schemas.microsoft.com/office/drawing/2014/chart" uri="{C3380CC4-5D6E-409C-BE32-E72D297353CC}">
              <c16:uniqueId val="{00000000-2FCC-4E6A-AC15-61236BC64732}"/>
            </c:ext>
          </c:extLst>
        </c:ser>
        <c:ser>
          <c:idx val="29"/>
          <c:order val="1"/>
          <c:tx>
            <c:strRef>
              <c:f>'Inv costs'!$S$71</c:f>
              <c:strCache>
                <c:ptCount val="1"/>
                <c:pt idx="0">
                  <c:v>loil_ppl</c:v>
                </c:pt>
              </c:strCache>
            </c:strRef>
          </c:tx>
          <c:spPr>
            <a:ln w="28575" cap="rnd">
              <a:solidFill>
                <a:schemeClr val="accent6">
                  <a:lumMod val="60000"/>
                  <a:lumOff val="40000"/>
                </a:schemeClr>
              </a:solidFill>
              <a:round/>
            </a:ln>
            <a:effectLst/>
          </c:spPr>
          <c:marker>
            <c:symbol val="none"/>
          </c:marker>
          <c:cat>
            <c:numRef>
              <c:f>'Inv costs'!$T$41:$Z$41</c:f>
              <c:numCache>
                <c:formatCode>General</c:formatCode>
                <c:ptCount val="7"/>
                <c:pt idx="0">
                  <c:v>2010</c:v>
                </c:pt>
                <c:pt idx="1">
                  <c:v>2020</c:v>
                </c:pt>
                <c:pt idx="2">
                  <c:v>2030</c:v>
                </c:pt>
                <c:pt idx="3">
                  <c:v>2040</c:v>
                </c:pt>
                <c:pt idx="4">
                  <c:v>2050</c:v>
                </c:pt>
                <c:pt idx="5">
                  <c:v>2060</c:v>
                </c:pt>
                <c:pt idx="6">
                  <c:v>2070</c:v>
                </c:pt>
              </c:numCache>
            </c:numRef>
          </c:cat>
          <c:val>
            <c:numRef>
              <c:f>'Inv costs'!$T$71:$Z$71</c:f>
              <c:numCache>
                <c:formatCode>#,##0.00</c:formatCode>
                <c:ptCount val="7"/>
                <c:pt idx="0">
                  <c:v>1</c:v>
                </c:pt>
                <c:pt idx="1">
                  <c:v>1</c:v>
                </c:pt>
                <c:pt idx="2">
                  <c:v>1</c:v>
                </c:pt>
                <c:pt idx="3">
                  <c:v>1</c:v>
                </c:pt>
                <c:pt idx="4">
                  <c:v>1</c:v>
                </c:pt>
                <c:pt idx="5">
                  <c:v>1</c:v>
                </c:pt>
                <c:pt idx="6">
                  <c:v>1</c:v>
                </c:pt>
              </c:numCache>
            </c:numRef>
          </c:val>
          <c:smooth val="0"/>
          <c:extLst>
            <c:ext xmlns:c16="http://schemas.microsoft.com/office/drawing/2014/chart" uri="{C3380CC4-5D6E-409C-BE32-E72D297353CC}">
              <c16:uniqueId val="{00000001-2FCC-4E6A-AC15-61236BC64732}"/>
            </c:ext>
          </c:extLst>
        </c:ser>
        <c:ser>
          <c:idx val="40"/>
          <c:order val="2"/>
          <c:tx>
            <c:strRef>
              <c:f>'Inv costs'!$S$82</c:f>
              <c:strCache>
                <c:ptCount val="1"/>
                <c:pt idx="0">
                  <c:v>solar_pv_ppl</c:v>
                </c:pt>
              </c:strCache>
            </c:strRef>
          </c:tx>
          <c:spPr>
            <a:ln w="28575" cap="rnd">
              <a:solidFill>
                <a:schemeClr val="accent5">
                  <a:lumMod val="70000"/>
                  <a:lumOff val="30000"/>
                </a:schemeClr>
              </a:solidFill>
              <a:round/>
            </a:ln>
            <a:effectLst/>
          </c:spPr>
          <c:marker>
            <c:symbol val="none"/>
          </c:marker>
          <c:cat>
            <c:numRef>
              <c:f>'Inv costs'!$T$41:$Z$41</c:f>
              <c:numCache>
                <c:formatCode>General</c:formatCode>
                <c:ptCount val="7"/>
                <c:pt idx="0">
                  <c:v>2010</c:v>
                </c:pt>
                <c:pt idx="1">
                  <c:v>2020</c:v>
                </c:pt>
                <c:pt idx="2">
                  <c:v>2030</c:v>
                </c:pt>
                <c:pt idx="3">
                  <c:v>2040</c:v>
                </c:pt>
                <c:pt idx="4">
                  <c:v>2050</c:v>
                </c:pt>
                <c:pt idx="5">
                  <c:v>2060</c:v>
                </c:pt>
                <c:pt idx="6">
                  <c:v>2070</c:v>
                </c:pt>
              </c:numCache>
            </c:numRef>
          </c:cat>
          <c:val>
            <c:numRef>
              <c:f>'Inv costs'!$T$82:$Z$82</c:f>
              <c:numCache>
                <c:formatCode>#,##0.00</c:formatCode>
                <c:ptCount val="7"/>
                <c:pt idx="0">
                  <c:v>1</c:v>
                </c:pt>
                <c:pt idx="1">
                  <c:v>0.74610591900311529</c:v>
                </c:pt>
                <c:pt idx="2">
                  <c:v>0.58359293873312568</c:v>
                </c:pt>
                <c:pt idx="3">
                  <c:v>0.49325025960539981</c:v>
                </c:pt>
                <c:pt idx="4">
                  <c:v>0.45742471443406024</c:v>
                </c:pt>
                <c:pt idx="5">
                  <c:v>0.42159916926272067</c:v>
                </c:pt>
                <c:pt idx="6">
                  <c:v>0.38577362409138111</c:v>
                </c:pt>
              </c:numCache>
            </c:numRef>
          </c:val>
          <c:smooth val="0"/>
          <c:extLst>
            <c:ext xmlns:c16="http://schemas.microsoft.com/office/drawing/2014/chart" uri="{C3380CC4-5D6E-409C-BE32-E72D297353CC}">
              <c16:uniqueId val="{00000002-2FCC-4E6A-AC15-61236BC64732}"/>
            </c:ext>
          </c:extLst>
        </c:ser>
        <c:dLbls>
          <c:showLegendKey val="0"/>
          <c:showVal val="0"/>
          <c:showCatName val="0"/>
          <c:showSerName val="0"/>
          <c:showPercent val="0"/>
          <c:showBubbleSize val="0"/>
        </c:dLbls>
        <c:smooth val="0"/>
        <c:axId val="832375600"/>
        <c:axId val="250363664"/>
      </c:lineChart>
      <c:catAx>
        <c:axId val="832375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001"/>
                  <a:t>Year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363664"/>
        <c:crosses val="autoZero"/>
        <c:auto val="1"/>
        <c:lblAlgn val="ctr"/>
        <c:lblOffset val="100"/>
        <c:noMultiLvlLbl val="0"/>
      </c:catAx>
      <c:valAx>
        <c:axId val="250363664"/>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001"/>
                  <a:t>Relative</a:t>
                </a:r>
                <a:r>
                  <a:rPr lang="en-001" baseline="0"/>
                  <a:t> investment cost (2010=1)</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375600"/>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436C8-36CB-4787-9241-AE15FE148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12429</Words>
  <Characters>70847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Krych</dc:creator>
  <cp:keywords/>
  <dc:description/>
  <cp:lastModifiedBy>Kamila Krych</cp:lastModifiedBy>
  <cp:revision>43</cp:revision>
  <dcterms:created xsi:type="dcterms:W3CDTF">2022-04-05T18:54:00Z</dcterms:created>
  <dcterms:modified xsi:type="dcterms:W3CDTF">2022-04-23T15:19:00Z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id="g3hyWmmk"/&gt;&lt;style id="http://www.zotero.org/styles/apa" locale="en-US" hasBibliography="1" bibliographyStyleHasBeenSet="1"/&gt;&lt;prefs&gt;&lt;pref name="fieldType" value="Field"/&gt;&lt;/prefs&gt;&lt;/data&gt;</vt:lpwstr>
  </property>
</Properties>
</file>