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CCED126">
      <w:pPr>
        <w:pStyle w:val="2"/>
        <w:keepNext w:val="0"/>
        <w:keepLines w:val="0"/>
        <w:widowControl/>
        <w:suppressLineNumbers w:val="0"/>
        <w:spacing w:line="24" w:lineRule="atLeast"/>
      </w:pPr>
      <w:r>
        <w:t xml:space="preserve">Submission plan: </w:t>
      </w:r>
      <w:r>
        <w:rPr>
          <w:i/>
          <w:iCs/>
        </w:rPr>
        <w:t>Science</w:t>
      </w:r>
      <w:r>
        <w:t xml:space="preserve"> first, then a cascade</w:t>
      </w:r>
    </w:p>
    <w:p w14:paraId="11C6F9F6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hint="default" w:ascii="Times New Roman" w:hAnsi="Times New Roman" w:cs="Times New Roman"/>
          <w:sz w:val="24"/>
          <w:szCs w:val="24"/>
        </w:rPr>
        <w:t>**One rule governs everything below: these journals do not consider a manuscript that is under</w:t>
      </w:r>
    </w:p>
    <w:p w14:paraId="594A4039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hint="default" w:ascii="Times New Roman" w:hAnsi="Times New Roman" w:cs="Times New Roman"/>
          <w:sz w:val="24"/>
          <w:szCs w:val="24"/>
        </w:rPr>
        <w:t>consideration elsewhere.** Submitting to many journals at once is not a faster route — it is the</w:t>
      </w:r>
    </w:p>
    <w:p w14:paraId="6B957767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hint="default" w:ascii="Times New Roman" w:hAnsi="Times New Roman" w:cs="Times New Roman"/>
          <w:sz w:val="24"/>
          <w:szCs w:val="24"/>
        </w:rPr>
        <w:t xml:space="preserve">one thing that gets a paper administratively rejected (and, at 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Science</w:t>
      </w:r>
      <w:r>
        <w:rPr>
          <w:rFonts w:hint="default" w:ascii="Times New Roman" w:hAnsi="Times New Roman" w:cs="Times New Roman"/>
          <w:sz w:val="24"/>
          <w:szCs w:val="24"/>
        </w:rPr>
        <w:t>, can bar the authors). The</w:t>
      </w:r>
    </w:p>
    <w:p w14:paraId="6D47D133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hint="default" w:ascii="Times New Roman" w:hAnsi="Times New Roman" w:cs="Times New Roman"/>
          <w:sz w:val="24"/>
          <w:szCs w:val="24"/>
        </w:rPr>
        <w:t xml:space="preserve">compliant way to "submit widely" is a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cascade</w:t>
      </w:r>
      <w:r>
        <w:rPr>
          <w:rFonts w:hint="default" w:ascii="Times New Roman" w:hAnsi="Times New Roman" w:cs="Times New Roman"/>
          <w:sz w:val="24"/>
          <w:szCs w:val="24"/>
        </w:rPr>
        <w:t>: submit to one, and the moment it is declined,</w:t>
      </w:r>
    </w:p>
    <w:p w14:paraId="125EB242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hint="default" w:ascii="Times New Roman" w:hAnsi="Times New Roman" w:cs="Times New Roman"/>
          <w:sz w:val="24"/>
          <w:szCs w:val="24"/>
        </w:rPr>
        <w:t>send the same paper to the next, with the venue-specific adaptations already prepared here.</w:t>
      </w:r>
    </w:p>
    <w:p w14:paraId="2B44E65C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hint="default" w:ascii="Times New Roman" w:hAnsi="Times New Roman" w:cs="Times New Roman"/>
          <w:sz w:val="24"/>
          <w:szCs w:val="24"/>
        </w:rPr>
        <w:t>Preprint servers (bioRxiv) are the exception: posting a preprint before or during submission is</w:t>
      </w:r>
    </w:p>
    <w:p w14:paraId="00A156B6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hint="default" w:ascii="Times New Roman" w:hAnsi="Times New Roman" w:cs="Times New Roman"/>
          <w:sz w:val="24"/>
          <w:szCs w:val="24"/>
        </w:rPr>
        <w:t xml:space="preserve">allowed by 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Science</w:t>
      </w:r>
      <w:r>
        <w:rPr>
          <w:rFonts w:hint="default" w:ascii="Times New Roman" w:hAnsi="Times New Roman" w:cs="Times New Roman"/>
          <w:sz w:val="24"/>
          <w:szCs w:val="24"/>
        </w:rPr>
        <w:t>, Nature Portfolio, eLife, PLoS and Cell Press, and it does not count as</w:t>
      </w:r>
    </w:p>
    <w:p w14:paraId="5504C542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hint="default" w:ascii="Times New Roman" w:hAnsi="Times New Roman" w:cs="Times New Roman"/>
          <w:sz w:val="24"/>
          <w:szCs w:val="24"/>
        </w:rPr>
        <w:t>prior publication. That is the legitimate way to have the work publicly visible while the cascade</w:t>
      </w:r>
    </w:p>
    <w:p w14:paraId="66F7FC1A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hint="default" w:ascii="Times New Roman" w:hAnsi="Times New Roman" w:cs="Times New Roman"/>
          <w:sz w:val="24"/>
          <w:szCs w:val="24"/>
        </w:rPr>
        <w:t>runs.</w:t>
      </w:r>
    </w:p>
    <w:p w14:paraId="56C1DB3C">
      <w:pPr>
        <w:pStyle w:val="3"/>
        <w:keepNext w:val="0"/>
        <w:keepLines w:val="0"/>
        <w:widowControl/>
        <w:suppressLineNumbers w:val="0"/>
        <w:spacing w:line="24" w:lineRule="atLeast"/>
      </w:pPr>
      <w:r>
        <w:t xml:space="preserve">Target 1 — </w:t>
      </w:r>
      <w:r>
        <w:rPr>
          <w:i/>
          <w:iCs/>
        </w:rPr>
        <w:t>Science</w:t>
      </w:r>
      <w:r>
        <w:t xml:space="preserve"> (Research Article or Report)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9"/>
        <w:gridCol w:w="3990"/>
        <w:gridCol w:w="3397"/>
      </w:tblGrid>
      <w:tr w14:paraId="6EF323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6D06E81">
            <w:pPr>
              <w:keepNext w:val="0"/>
              <w:keepLines w:val="0"/>
              <w:widowControl/>
              <w:suppressLineNumbers w:val="0"/>
              <w:spacing w:line="14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bdr w:val="none" w:color="auto" w:sz="0" w:space="0"/>
              </w:rPr>
              <w:t>item</w:t>
            </w:r>
          </w:p>
        </w:tc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4BE502E">
            <w:pPr>
              <w:keepNext w:val="0"/>
              <w:keepLines w:val="0"/>
              <w:widowControl/>
              <w:suppressLineNumbers w:val="0"/>
              <w:spacing w:line="14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bdr w:val="none" w:color="auto" w:sz="0" w:space="0"/>
              </w:rPr>
              <w:t>what it needs</w:t>
            </w:r>
          </w:p>
        </w:tc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6F23389">
            <w:pPr>
              <w:keepNext w:val="0"/>
              <w:keepLines w:val="0"/>
              <w:widowControl/>
              <w:suppressLineNumbers w:val="0"/>
              <w:spacing w:line="14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bdr w:val="none" w:color="auto" w:sz="0" w:space="0"/>
              </w:rPr>
              <w:t>status</w:t>
            </w:r>
          </w:p>
        </w:tc>
      </w:tr>
      <w:tr w14:paraId="59E6FF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65BD1F5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Cover letter</w:t>
            </w:r>
          </w:p>
        </w:tc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5AED98E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Style w:val="12"/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paper/cover-letter.md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 xml:space="preserve"> — already addressed to the Editors of </w:t>
            </w:r>
            <w:r>
              <w:rPr>
                <w:rFonts w:hint="default" w:ascii="Times New Roman" w:hAnsi="Times New Roman" w:eastAsia="宋体" w:cs="Times New Roman"/>
                <w:i/>
                <w:iCs/>
                <w:sz w:val="18"/>
                <w:szCs w:val="18"/>
                <w:bdr w:val="none" w:color="auto" w:sz="0" w:space="0"/>
              </w:rPr>
              <w:t>Science</w:t>
            </w:r>
          </w:p>
        </w:tc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140AF18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✅ ready</w:t>
            </w:r>
          </w:p>
        </w:tc>
      </w:tr>
      <w:tr w14:paraId="798D3B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81A03A1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Format</w:t>
            </w:r>
          </w:p>
        </w:tc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FBDDCE1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Research Article ~15,000 words / 4-6 display items, or Report ~2,500 words / 4 display items</w:t>
            </w:r>
          </w:p>
        </w:tc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9BB01E1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 xml:space="preserve">✅ the manuscript fits; </w:t>
            </w:r>
            <w:r>
              <w:rPr>
                <w:rStyle w:val="12"/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main4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 xml:space="preserve"> + </w:t>
            </w:r>
            <w:r>
              <w:rPr>
                <w:rStyle w:val="12"/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main4b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 xml:space="preserve"> can merge for a 4-figure Report</w:t>
            </w:r>
          </w:p>
        </w:tc>
      </w:tr>
      <w:tr w14:paraId="35C541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4D54660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Reporting Summary</w:t>
            </w:r>
          </w:p>
        </w:tc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868236E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Style w:val="12"/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paper/reporting-summary.md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 xml:space="preserve"> — every item answered</w:t>
            </w:r>
          </w:p>
        </w:tc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ED71479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✅ ready</w:t>
            </w:r>
          </w:p>
        </w:tc>
      </w:tr>
      <w:tr w14:paraId="686C08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6E3D959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AI disclosure</w:t>
            </w:r>
          </w:p>
        </w:tc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8B611A6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Methods + Acknowledgments + cover letter + Supplementary Note S2 with the prompt log</w:t>
            </w:r>
          </w:p>
        </w:tc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2049F60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 xml:space="preserve">✅ in place (option A, </w:t>
            </w:r>
            <w:r>
              <w:rPr>
                <w:rStyle w:val="12"/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paper/DECISIONS.md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)</w:t>
            </w:r>
          </w:p>
        </w:tc>
      </w:tr>
      <w:tr w14:paraId="4A3F37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8673372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Data/code</w:t>
            </w:r>
          </w:p>
        </w:tc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D24024D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DataSeer audits the repository: public, with README, one-command reproduction, per-trial data</w:t>
            </w:r>
          </w:p>
        </w:tc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191ED50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✅ published at https://github.com/iice662/flymind-selfview</w:t>
            </w:r>
          </w:p>
        </w:tc>
      </w:tr>
      <w:tr w14:paraId="4D8F30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4F2F916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Author fields</w:t>
            </w:r>
          </w:p>
        </w:tc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C30A45B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authors, affiliation, correspondence, funding, competing interests, contributions</w:t>
            </w:r>
          </w:p>
        </w:tc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1DF203F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✅ filled</w:t>
            </w:r>
          </w:p>
        </w:tc>
      </w:tr>
      <w:tr w14:paraId="511AEF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8DFB650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bdr w:val="none" w:color="auto" w:sz="0" w:space="0"/>
              </w:rPr>
              <w:t>Only open item</w:t>
            </w:r>
          </w:p>
        </w:tc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DB47F86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 xml:space="preserve">the two verbatim prompts in </w:t>
            </w:r>
            <w:r>
              <w:rPr>
                <w:rStyle w:val="12"/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paper/supplementary-note-S2.md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 xml:space="preserve"> (S2.3.1, S2.4.3)</w:t>
            </w:r>
          </w:p>
        </w:tc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105F577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⬜ author</w:t>
            </w:r>
          </w:p>
        </w:tc>
      </w:tr>
      <w:tr w14:paraId="361B68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733AC55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Suggested reviewers</w:t>
            </w:r>
          </w:p>
        </w:tc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5ED5E77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three names: one CX/heading physiologist, one connectome-constrained modeller, one on equivalence/Bayes methods</w:t>
            </w:r>
          </w:p>
        </w:tc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DB93968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⬜ author</w:t>
            </w:r>
          </w:p>
        </w:tc>
      </w:tr>
    </w:tbl>
    <w:p w14:paraId="773084D2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If </w:t>
      </w: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</w:rPr>
        <w:t>Science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declines</w:t>
      </w:r>
      <w:r>
        <w:rPr>
          <w:rFonts w:hint="default" w:ascii="Times New Roman" w:hAnsi="Times New Roman" w:cs="Times New Roman"/>
          <w:sz w:val="24"/>
          <w:szCs w:val="24"/>
        </w:rPr>
        <w:t xml:space="preserve"> (likely at the editor's desk, since the paper is a model study), the</w:t>
      </w:r>
    </w:p>
    <w:p w14:paraId="2A0C209B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hint="default" w:ascii="Times New Roman" w:hAnsi="Times New Roman" w:cs="Times New Roman"/>
          <w:sz w:val="24"/>
          <w:szCs w:val="24"/>
        </w:rPr>
        <w:t>rejection is usually fast (days to ~2 weeks) and does not prejudice the next venue.</w:t>
      </w:r>
    </w:p>
    <w:p w14:paraId="5D1A6186">
      <w:pPr>
        <w:pStyle w:val="3"/>
        <w:keepNext w:val="0"/>
        <w:keepLines w:val="0"/>
        <w:widowControl/>
        <w:suppressLineNumbers w:val="0"/>
        <w:spacing w:line="24" w:lineRule="atLeast"/>
      </w:pPr>
      <w:r>
        <w:t xml:space="preserve">Target 2 — </w:t>
      </w:r>
      <w:r>
        <w:rPr>
          <w:i/>
          <w:iCs/>
        </w:rPr>
        <w:t>Nature Communications</w:t>
      </w:r>
    </w:p>
    <w:p w14:paraId="056FDC69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hint="default" w:ascii="Times New Roman" w:hAnsi="Times New Roman" w:cs="Times New Roman"/>
          <w:sz w:val="24"/>
          <w:szCs w:val="24"/>
        </w:rPr>
        <w:t xml:space="preserve">Adaptations: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Reporting Summary</w:t>
      </w:r>
      <w:r>
        <w:rPr>
          <w:rFonts w:hint="default" w:ascii="Times New Roman" w:hAnsi="Times New Roman" w:cs="Times New Roman"/>
          <w:sz w:val="24"/>
          <w:szCs w:val="24"/>
        </w:rPr>
        <w:t xml:space="preserve"> (Nature's own form; </w:t>
      </w:r>
      <w:r>
        <w:rPr>
          <w:rStyle w:val="12"/>
        </w:rPr>
        <w:t>paper/reporting-summary.md</w:t>
      </w:r>
      <w:r>
        <w:rPr>
          <w:rFonts w:hint="default" w:ascii="Times New Roman" w:hAnsi="Times New Roman" w:cs="Times New Roman"/>
          <w:sz w:val="24"/>
          <w:szCs w:val="24"/>
        </w:rPr>
        <w:t xml:space="preserve"> covers the</w:t>
      </w:r>
    </w:p>
    <w:p w14:paraId="19ACFB83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hint="default" w:ascii="Times New Roman" w:hAnsi="Times New Roman" w:cs="Times New Roman"/>
          <w:sz w:val="24"/>
          <w:szCs w:val="24"/>
        </w:rPr>
        <w:t xml:space="preserve">content), ORCID for the corresponding author, a 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Data availability</w:t>
      </w:r>
      <w:r>
        <w:rPr>
          <w:rFonts w:hint="default" w:ascii="Times New Roman" w:hAnsi="Times New Roman" w:cs="Times New Roman"/>
          <w:sz w:val="24"/>
          <w:szCs w:val="24"/>
        </w:rPr>
        <w:t xml:space="preserve"> statement naming the repository</w:t>
      </w:r>
    </w:p>
    <w:p w14:paraId="0D9D50EF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hint="default" w:ascii="Times New Roman" w:hAnsi="Times New Roman" w:cs="Times New Roman"/>
          <w:sz w:val="24"/>
          <w:szCs w:val="24"/>
        </w:rPr>
        <w:t xml:space="preserve">and a 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Code availability</w:t>
      </w:r>
      <w:r>
        <w:rPr>
          <w:rFonts w:hint="default" w:ascii="Times New Roman" w:hAnsi="Times New Roman" w:cs="Times New Roman"/>
          <w:sz w:val="24"/>
          <w:szCs w:val="24"/>
        </w:rPr>
        <w:t xml:space="preserve"> statement, and the manuscript split so the Methods come after the</w:t>
      </w:r>
    </w:p>
    <w:p w14:paraId="046FAFC8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hint="default" w:ascii="Times New Roman" w:hAnsi="Times New Roman" w:cs="Times New Roman"/>
          <w:sz w:val="24"/>
          <w:szCs w:val="24"/>
        </w:rPr>
        <w:t xml:space="preserve">discussion. Figures stay at 4-6 main. Transfer service: if 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Science</w:t>
      </w:r>
      <w:r>
        <w:rPr>
          <w:rFonts w:hint="default" w:ascii="Times New Roman" w:hAnsi="Times New Roman" w:cs="Times New Roman"/>
          <w:sz w:val="24"/>
          <w:szCs w:val="24"/>
        </w:rPr>
        <w:t xml:space="preserve"> declines, Nature's</w:t>
      </w:r>
    </w:p>
    <w:p w14:paraId="3DBB8DB2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hint="default" w:ascii="Times New Roman" w:hAnsi="Times New Roman" w:cs="Times New Roman"/>
          <w:sz w:val="24"/>
          <w:szCs w:val="24"/>
        </w:rPr>
        <w:t xml:space="preserve">manuscript-transfer service can move the file to 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Nature Communications</w:t>
      </w:r>
      <w:r>
        <w:rPr>
          <w:rFonts w:hint="default" w:ascii="Times New Roman" w:hAnsi="Times New Roman" w:cs="Times New Roman"/>
          <w:sz w:val="24"/>
          <w:szCs w:val="24"/>
        </w:rPr>
        <w:t xml:space="preserve"> with the referee reports</w:t>
      </w:r>
    </w:p>
    <w:p w14:paraId="19B9AF77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hint="default" w:ascii="Times New Roman" w:hAnsi="Times New Roman" w:cs="Times New Roman"/>
          <w:sz w:val="24"/>
          <w:szCs w:val="24"/>
        </w:rPr>
        <w:t>intact, which is the fastest legitimate path.</w:t>
      </w:r>
    </w:p>
    <w:p w14:paraId="09819583">
      <w:pPr>
        <w:pStyle w:val="3"/>
        <w:keepNext w:val="0"/>
        <w:keepLines w:val="0"/>
        <w:widowControl/>
        <w:suppressLineNumbers w:val="0"/>
        <w:spacing w:line="24" w:lineRule="atLeast"/>
      </w:pPr>
      <w:r>
        <w:t xml:space="preserve">Target 3 — </w:t>
      </w:r>
      <w:r>
        <w:rPr>
          <w:i/>
          <w:iCs/>
        </w:rPr>
        <w:t>eLife</w:t>
      </w:r>
    </w:p>
    <w:p w14:paraId="274A1308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hint="default" w:ascii="Times New Roman" w:hAnsi="Times New Roman" w:cs="Times New Roman"/>
          <w:sz w:val="24"/>
          <w:szCs w:val="24"/>
        </w:rPr>
        <w:t>Adaptations: eLife's model is "reviewed preprint" — the paper is posted as a preprint and reviewed</w:t>
      </w:r>
    </w:p>
    <w:p w14:paraId="1203A42B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hint="default" w:ascii="Times New Roman" w:hAnsi="Times New Roman" w:cs="Times New Roman"/>
          <w:sz w:val="24"/>
          <w:szCs w:val="24"/>
        </w:rPr>
        <w:t xml:space="preserve">publicly; no reformatting is needed beyond a short 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eLife</w:t>
      </w:r>
      <w:r>
        <w:rPr>
          <w:rFonts w:hint="default" w:ascii="Times New Roman" w:hAnsi="Times New Roman" w:cs="Times New Roman"/>
          <w:sz w:val="24"/>
          <w:szCs w:val="24"/>
        </w:rPr>
        <w:t xml:space="preserve"> summary paragraph. This venue is the</w:t>
      </w:r>
    </w:p>
    <w:p w14:paraId="6E288E96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hint="default" w:ascii="Times New Roman" w:hAnsi="Times New Roman" w:cs="Times New Roman"/>
          <w:sz w:val="24"/>
          <w:szCs w:val="24"/>
        </w:rPr>
        <w:t>best fit for the paper's methodological half (the drive-matching and body-lock traps) and it is</w:t>
      </w:r>
    </w:p>
    <w:p w14:paraId="26D2DBC2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hint="default" w:ascii="Times New Roman" w:hAnsi="Times New Roman" w:cs="Times New Roman"/>
          <w:sz w:val="24"/>
          <w:szCs w:val="24"/>
        </w:rPr>
        <w:t>where the equivalence-testing argument will be appreciated most.</w:t>
      </w:r>
    </w:p>
    <w:p w14:paraId="07660F64">
      <w:pPr>
        <w:pStyle w:val="3"/>
        <w:keepNext w:val="0"/>
        <w:keepLines w:val="0"/>
        <w:widowControl/>
        <w:suppressLineNumbers w:val="0"/>
        <w:spacing w:line="24" w:lineRule="atLeast"/>
      </w:pPr>
      <w:r>
        <w:t xml:space="preserve">Target 4 — </w:t>
      </w:r>
      <w:r>
        <w:rPr>
          <w:i/>
          <w:iCs/>
        </w:rPr>
        <w:t>PLoS Computational Biology</w:t>
      </w:r>
    </w:p>
    <w:p w14:paraId="2B5B48E2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hint="default" w:ascii="Times New Roman" w:hAnsi="Times New Roman" w:cs="Times New Roman"/>
          <w:sz w:val="24"/>
          <w:szCs w:val="24"/>
        </w:rPr>
        <w:t>Adaptations: PLOS's own submission checklist (similar to the reporting summary), a *Data</w:t>
      </w:r>
    </w:p>
    <w:p w14:paraId="026A0633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hint="default" w:ascii="Times New Roman" w:hAnsi="Times New Roman" w:cs="Times New Roman"/>
          <w:sz w:val="24"/>
          <w:szCs w:val="24"/>
        </w:rPr>
        <w:t>Availability* statement with the repository URL, and author contributions in CRediT taxonomy</w:t>
      </w:r>
    </w:p>
    <w:p w14:paraId="560D037C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hint="default" w:ascii="Times New Roman" w:hAnsi="Times New Roman" w:cs="Times New Roman"/>
          <w:sz w:val="24"/>
          <w:szCs w:val="24"/>
        </w:rPr>
        <w:t>(already drafted in the Acknowledgments). The journal explicitly welcomes negative and</w:t>
      </w:r>
    </w:p>
    <w:p w14:paraId="2B7DC674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hint="default" w:ascii="Times New Roman" w:hAnsi="Times New Roman" w:cs="Times New Roman"/>
          <w:sz w:val="24"/>
          <w:szCs w:val="24"/>
        </w:rPr>
        <w:t>methodological results, which is what half of this paper is.</w:t>
      </w:r>
    </w:p>
    <w:p w14:paraId="735B4907">
      <w:pPr>
        <w:pStyle w:val="3"/>
        <w:keepNext w:val="0"/>
        <w:keepLines w:val="0"/>
        <w:widowControl/>
        <w:suppressLineNumbers w:val="0"/>
        <w:spacing w:line="24" w:lineRule="atLeast"/>
      </w:pPr>
      <w:r>
        <w:t xml:space="preserve">Target 5 — </w:t>
      </w:r>
      <w:r>
        <w:rPr>
          <w:i/>
          <w:iCs/>
        </w:rPr>
        <w:t>PNAS</w:t>
      </w:r>
      <w:r>
        <w:t xml:space="preserve"> (Direct Submission) or </w:t>
      </w:r>
      <w:r>
        <w:rPr>
          <w:i/>
          <w:iCs/>
        </w:rPr>
        <w:t>Current Biology</w:t>
      </w:r>
    </w:p>
    <w:p w14:paraId="5EF3CB53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>PNAS</w:t>
      </w:r>
      <w:r>
        <w:rPr>
          <w:rFonts w:hint="default" w:ascii="Times New Roman" w:hAnsi="Times New Roman" w:cs="Times New Roman"/>
          <w:sz w:val="24"/>
          <w:szCs w:val="24"/>
        </w:rPr>
        <w:t xml:space="preserve"> needs an NAS member sponsor for Direct Submission (or a Contributed submission through a</w:t>
      </w:r>
    </w:p>
    <w:p w14:paraId="74C9B9EF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hint="default" w:ascii="Times New Roman" w:hAnsi="Times New Roman" w:cs="Times New Roman"/>
          <w:sz w:val="24"/>
          <w:szCs w:val="24"/>
        </w:rPr>
        <w:t xml:space="preserve">member); 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Current Biology</w:t>
      </w:r>
      <w:r>
        <w:rPr>
          <w:rFonts w:hint="default" w:ascii="Times New Roman" w:hAnsi="Times New Roman" w:cs="Times New Roman"/>
          <w:sz w:val="24"/>
          <w:szCs w:val="24"/>
        </w:rPr>
        <w:t xml:space="preserve"> is a good fit for the 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Report</w:t>
      </w:r>
      <w:r>
        <w:rPr>
          <w:rFonts w:hint="default" w:ascii="Times New Roman" w:hAnsi="Times New Roman" w:cs="Times New Roman"/>
          <w:sz w:val="24"/>
          <w:szCs w:val="24"/>
        </w:rPr>
        <w:t xml:space="preserve"> format if the closed-loop behaviour</w:t>
      </w:r>
    </w:p>
    <w:p w14:paraId="67C178F0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hint="default" w:ascii="Times New Roman" w:hAnsi="Times New Roman" w:cs="Times New Roman"/>
          <w:sz w:val="24"/>
          <w:szCs w:val="24"/>
        </w:rPr>
        <w:t>result lands. Both would need the paper cut to ~4 display items.</w:t>
      </w:r>
    </w:p>
    <w:p w14:paraId="278CCA62">
      <w:pPr>
        <w:pStyle w:val="3"/>
        <w:keepNext w:val="0"/>
        <w:keepLines w:val="0"/>
        <w:widowControl/>
        <w:suppressLineNumbers w:val="0"/>
        <w:spacing w:line="24" w:lineRule="atLeast"/>
      </w:pPr>
      <w:r>
        <w:t>What is already true for every venue (no rework needed)</w:t>
      </w:r>
    </w:p>
    <w:p w14:paraId="2A8F239C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hint="default" w:ascii="Times New Roman" w:hAnsi="Times New Roman" w:cs="Times New Roman"/>
          <w:sz w:val="24"/>
          <w:szCs w:val="24"/>
        </w:rPr>
        <w:t>- the repository and its bundle are public, citable and complete;</w:t>
      </w:r>
    </w:p>
    <w:p w14:paraId="639AF9C4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hint="default" w:ascii="Times New Roman" w:hAnsi="Times New Roman" w:cs="Times New Roman"/>
          <w:sz w:val="24"/>
          <w:szCs w:val="24"/>
        </w:rPr>
        <w:t>- every number in the manuscript is regenerated from the deposited per-trial CSVs and checked by</w:t>
      </w:r>
    </w:p>
    <w:p w14:paraId="35AC5812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Style w:val="12"/>
        </w:rPr>
        <w:t>tools/verify_headline_numbers.py</w:t>
      </w:r>
      <w:r>
        <w:rPr>
          <w:rFonts w:hint="default" w:ascii="Times New Roman" w:hAnsi="Times New Roman" w:cs="Times New Roman"/>
          <w:sz w:val="24"/>
          <w:szCs w:val="24"/>
        </w:rPr>
        <w:t xml:space="preserve"> (25/25);</w:t>
      </w:r>
    </w:p>
    <w:p w14:paraId="40FF6CFF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hint="default" w:ascii="Times New Roman" w:hAnsi="Times New Roman" w:cs="Times New Roman"/>
          <w:sz w:val="24"/>
          <w:szCs w:val="24"/>
        </w:rPr>
        <w:t>- the AI disclosure follows the strictest of the five policies (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Science</w:t>
      </w:r>
      <w:r>
        <w:rPr>
          <w:rFonts w:hint="default" w:ascii="Times New Roman" w:hAnsi="Times New Roman" w:cs="Times New Roman"/>
          <w:sz w:val="24"/>
          <w:szCs w:val="24"/>
        </w:rPr>
        <w:t>'s), so it satisfies the</w:t>
      </w:r>
    </w:p>
    <w:p w14:paraId="5FB2294B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hint="default" w:ascii="Times New Roman" w:hAnsi="Times New Roman" w:cs="Times New Roman"/>
          <w:sz w:val="24"/>
          <w:szCs w:val="24"/>
        </w:rPr>
        <w:t>others by construction;</w:t>
      </w:r>
    </w:p>
    <w:p w14:paraId="7EB9D859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hint="default" w:ascii="Times New Roman" w:hAnsi="Times New Roman" w:cs="Times New Roman"/>
          <w:sz w:val="24"/>
          <w:szCs w:val="24"/>
        </w:rPr>
        <w:t>- the figures are already single-column 3.5 in / double-column 7.0 in at 300 dpi with embedded</w:t>
      </w:r>
    </w:p>
    <w:p w14:paraId="467EADAC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hint="default" w:ascii="Times New Roman" w:hAnsi="Times New Roman" w:cs="Times New Roman"/>
          <w:sz w:val="24"/>
          <w:szCs w:val="24"/>
        </w:rPr>
        <w:t>TrueType fonts, which every one of these venues accepts.</w:t>
      </w:r>
    </w:p>
    <w:p w14:paraId="1DDF2C2A">
      <w:pPr>
        <w:pStyle w:val="3"/>
        <w:keepNext w:val="0"/>
        <w:keepLines w:val="0"/>
        <w:widowControl/>
        <w:suppressLineNumbers w:val="0"/>
        <w:spacing w:line="24" w:lineRule="atLeast"/>
      </w:pPr>
      <w:r>
        <w:t>The real bottleneck is not the venue list</w:t>
      </w:r>
    </w:p>
    <w:p w14:paraId="302FCF26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hint="default" w:ascii="Times New Roman" w:hAnsi="Times New Roman" w:cs="Times New Roman"/>
          <w:sz w:val="24"/>
          <w:szCs w:val="24"/>
        </w:rPr>
        <w:t xml:space="preserve">Four scientific items are still open (see </w:t>
      </w:r>
      <w:r>
        <w:rPr>
          <w:rStyle w:val="12"/>
        </w:rPr>
        <w:t>results/RECEPTIVE-FIELD-STATUS.md</w:t>
      </w:r>
      <w:r>
        <w:rPr>
          <w:rFonts w:hint="default" w:ascii="Times New Roman" w:hAnsi="Times New Roman" w:cs="Times New Roman"/>
          <w:sz w:val="24"/>
          <w:szCs w:val="24"/>
        </w:rPr>
        <w:t xml:space="preserve"> and</w:t>
      </w:r>
    </w:p>
    <w:p w14:paraId="1E5D6359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Style w:val="12"/>
        </w:rPr>
        <w:t>results/CLOSED-LOOP-PLAN.md</w:t>
      </w:r>
      <w:r>
        <w:rPr>
          <w:rFonts w:hint="default" w:ascii="Times New Roman" w:hAnsi="Times New Roman" w:cs="Times New Roman"/>
          <w:sz w:val="24"/>
          <w:szCs w:val="24"/>
        </w:rPr>
        <w:t>): the receptive-field patch experiment (</w:t>
      </w:r>
      <w:r>
        <w:rPr>
          <w:rStyle w:val="12"/>
        </w:rPr>
        <w:t>N-rfpatch</w:t>
      </w:r>
      <w:r>
        <w:rPr>
          <w:rFonts w:hint="default" w:ascii="Times New Roman" w:hAnsi="Times New Roman" w:cs="Times New Roman"/>
          <w:sz w:val="24"/>
          <w:szCs w:val="24"/>
        </w:rPr>
        <w:t>), the closed-loop</w:t>
      </w:r>
    </w:p>
    <w:p w14:paraId="31799930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hint="default" w:ascii="Times New Roman" w:hAnsi="Times New Roman" w:cs="Times New Roman"/>
          <w:sz w:val="24"/>
          <w:szCs w:val="24"/>
        </w:rPr>
        <w:t>gain calibration and dose series, the DictionaryBatch decoding that would name the neuropils, and</w:t>
      </w:r>
    </w:p>
    <w:p w14:paraId="6BCD7A38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hint="default" w:ascii="Times New Roman" w:hAnsi="Times New Roman" w:cs="Times New Roman"/>
          <w:sz w:val="24"/>
          <w:szCs w:val="24"/>
        </w:rPr>
        <w:t xml:space="preserve">the final consistency sweep. The first two materially strengthen the paper at 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any</w:t>
      </w:r>
      <w:r>
        <w:rPr>
          <w:rFonts w:hint="default" w:ascii="Times New Roman" w:hAnsi="Times New Roman" w:cs="Times New Roman"/>
          <w:sz w:val="24"/>
          <w:szCs w:val="24"/>
        </w:rPr>
        <w:t xml:space="preserve"> of the five</w:t>
      </w:r>
    </w:p>
    <w:p w14:paraId="29D25506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hint="default" w:ascii="Times New Roman" w:hAnsi="Times New Roman" w:cs="Times New Roman"/>
          <w:sz w:val="24"/>
          <w:szCs w:val="24"/>
        </w:rPr>
        <w:t>venues — the receptive-field patch answers the strongest reviewer objection, and the closed loop</w:t>
      </w:r>
    </w:p>
    <w:p w14:paraId="3A391BFC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hint="default" w:ascii="Times New Roman" w:hAnsi="Times New Roman" w:cs="Times New Roman"/>
          <w:sz w:val="24"/>
          <w:szCs w:val="24"/>
        </w:rPr>
        <w:t>turns the steering-command result into a behavioural one.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BreakWrappedTables/>
    <w:doNotWrapTextWithPunct/>
    <w:doNotUseEastAsianBreakRules/>
    <w:growAutofit/>
    <w:useFELayout/>
    <w:useAltKinsokuLineBreakRules/>
    <w:compatSetting w:name="compatibilityMode" w:uri="http://schemas.microsoft.com/office/word" w:val="11"/>
  </w:compat>
  <w:rsids>
    <w:rsidRoot w:val="00000000"/>
    <w:rsid w:val="72CC28C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EastAsia" w:hAnsiTheme="minorEastAsia" w:eastAsiaTheme="minorEastAsia" w:cstheme="minorEastAsia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28"/>
      <w:szCs w:val="2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6"/>
      <w:szCs w:val="2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i/>
      <w:iCs/>
      <w:kern w:val="0"/>
      <w:sz w:val="24"/>
      <w:szCs w:val="24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2">
    <w:name w:val="HTML Code"/>
    <w:basedOn w:val="11"/>
    <w:uiPriority w:val="0"/>
    <w:rPr>
      <w:rFonts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TotalTime>0</TotalTime>
  <ScaleCrop>false</ScaleCrop>
  <LinksUpToDate>false</LinksUpToDate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2026-09-29T11:42:40Z</dcterms:created>
  <cp:lastModifiedBy>一只阿巴怪</cp:lastModifiedBy>
  <dcterms:modified xsi:type="dcterms:W3CDTF">2026-09-29T11:42:40Z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308983F169404D009CDCBCFB58D89523_13</vt:lpwstr>
  </property>
</Properties>
</file>