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8666148">
      <w:pPr>
        <w:pStyle w:val="2"/>
        <w:keepNext w:val="0"/>
        <w:keepLines w:val="0"/>
        <w:widowControl/>
        <w:suppressLineNumbers w:val="0"/>
        <w:spacing w:line="24" w:lineRule="atLeast"/>
      </w:pPr>
      <w:r>
        <w:t>Supplementary Note S1 — Provenance, balancing derivation, and analysis self-checks</w:t>
      </w:r>
    </w:p>
    <w:p w14:paraId="3F4295B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Companion to </w:t>
      </w:r>
      <w:r>
        <w:rPr>
          <w:rStyle w:val="12"/>
        </w:rPr>
        <w:t>paper/manuscript.md</w:t>
      </w:r>
      <w:r>
        <w:rPr>
          <w:rFonts w:hint="default" w:ascii="Times New Roman" w:hAnsi="Times New Roman" w:cs="Times New Roman"/>
          <w:sz w:val="24"/>
          <w:szCs w:val="24"/>
        </w:rPr>
        <w:t>. Every number in the manuscript is regenerated from one</w:t>
      </w:r>
    </w:p>
    <w:p w14:paraId="11E67C8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file, </w:t>
      </w:r>
      <w:r>
        <w:rPr>
          <w:rStyle w:val="12"/>
        </w:rPr>
        <w:t>flymind.brain</w:t>
      </w:r>
      <w:r>
        <w:rPr>
          <w:rFonts w:hint="default" w:ascii="Times New Roman" w:hAnsi="Times New Roman" w:cs="Times New Roman"/>
          <w:sz w:val="24"/>
          <w:szCs w:val="24"/>
        </w:rPr>
        <w:t xml:space="preserve"> (FLYMIND4), by the commands listed here. This note is the reproducibility</w:t>
      </w:r>
    </w:p>
    <w:p w14:paraId="0D0AB2F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half of the paper; </w:t>
      </w:r>
      <w:r>
        <w:rPr>
          <w:rStyle w:val="12"/>
        </w:rPr>
        <w:t>results/PROVENANCE.md</w:t>
      </w:r>
      <w:r>
        <w:rPr>
          <w:rFonts w:hint="default" w:ascii="Times New Roman" w:hAnsi="Times New Roman" w:cs="Times New Roman"/>
          <w:sz w:val="24"/>
          <w:szCs w:val="24"/>
        </w:rPr>
        <w:t xml:space="preserve"> holds the full-length version including file hashes.</w:t>
      </w:r>
    </w:p>
    <w:p w14:paraId="0D9AFEF5">
      <w:pPr>
        <w:keepNext w:val="0"/>
        <w:keepLines w:val="0"/>
        <w:widowControl/>
        <w:suppressLineNumbers w:val="0"/>
        <w:spacing w:line="24" w:lineRule="atLeast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B7D1C">
      <w:pPr>
        <w:pStyle w:val="3"/>
        <w:keepNext w:val="0"/>
        <w:keepLines w:val="0"/>
        <w:widowControl/>
        <w:suppressLineNumbers w:val="0"/>
        <w:spacing w:line="24" w:lineRule="atLeast"/>
      </w:pPr>
      <w:r>
        <w:t>S1.1 Source data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2280"/>
        <w:gridCol w:w="3120"/>
        <w:gridCol w:w="1155"/>
        <w:gridCol w:w="7800"/>
      </w:tblGrid>
      <w:tr w14:paraId="3FDBC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8FF01A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dataset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06717F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released file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E93731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local file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A21054B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bytes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108288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SHA256</w:t>
            </w:r>
          </w:p>
        </w:tc>
      </w:tr>
      <w:tr w14:paraId="338F9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FEB57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MaleCNS v1.0 flat connectome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01843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connectome-weights-male-cns-v1.0-minconf-0.5.feather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15F8A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malecns/connectome-weights.feather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418A8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1,051,241,946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57BD6B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E35DA783D1C686B2B58B3B87CD6A403AE43BFCFBA8BFF28E08EF752C1A56AFC1</w:t>
            </w:r>
          </w:p>
        </w:tc>
      </w:tr>
      <w:tr w14:paraId="7E9BC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4327F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MaleCNS v1.0 annotations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89E3A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body-annotations-male-cns-v1.0-minconf-0.5.feather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85DFB6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malecns/body-annotations.feather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48BA3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14,483,314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8DEEB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2177E246113E4CFBF1E7772EC37C6DA1955FF22E8063D0B1F833101F99A9A3B2</w:t>
            </w:r>
          </w:p>
        </w:tc>
      </w:tr>
      <w:tr w14:paraId="143A7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5FA378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MaleCNS v1.0 transmitter predictions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D9D5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body-neurotransmitters-male-cns-v1.0.feather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20105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malecns/body-neurotransmitters.feather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62FCF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43,282,834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7CB89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95C9289220663ABEB3409F3AD9E5A7F8A53F8093F5139D15502CD08DA8879621</w:t>
            </w:r>
          </w:p>
        </w:tc>
      </w:tr>
    </w:tbl>
    <w:p w14:paraId="43D8772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Release bucket </w:t>
      </w:r>
      <w:r>
        <w:rPr>
          <w:rStyle w:val="12"/>
        </w:rPr>
        <w:t>gs://flyem-male-cns</w:t>
      </w:r>
      <w:r>
        <w:rPr>
          <w:rFonts w:hint="default" w:ascii="Times New Roman" w:hAnsi="Times New Roman" w:cs="Times New Roman"/>
          <w:sz w:val="24"/>
          <w:szCs w:val="24"/>
        </w:rPr>
        <w:t xml:space="preserve">; download page </w:t>
      </w:r>
      <w:r>
        <w:rPr>
          <w:rStyle w:val="12"/>
        </w:rPr>
        <w:t>https://male-cns.janelia.org/download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40D758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Derived intermediates: </w:t>
      </w:r>
      <w:r>
        <w:rPr>
          <w:rStyle w:val="12"/>
        </w:rPr>
        <w:t>malecns/edges.bin</w:t>
      </w:r>
      <w:r>
        <w:rPr>
          <w:rFonts w:hint="default" w:ascii="Times New Roman" w:hAnsi="Times New Roman" w:cs="Times New Roman"/>
          <w:sz w:val="24"/>
          <w:szCs w:val="24"/>
        </w:rPr>
        <w:t xml:space="preserve"> (3,037,133,688 bytes; int64 count + 151,856,684 rows</w:t>
      </w:r>
    </w:p>
    <w:p w14:paraId="0345EAF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of 20 bytes, SHA256 </w:t>
      </w:r>
      <w:r>
        <w:rPr>
          <w:rStyle w:val="12"/>
        </w:rPr>
        <w:t>59E43C67…17BD0D</w:t>
      </w:r>
      <w:r>
        <w:rPr>
          <w:rFonts w:hint="default" w:ascii="Times New Roman" w:hAnsi="Times New Roman" w:cs="Times New Roman"/>
          <w:sz w:val="24"/>
          <w:szCs w:val="24"/>
        </w:rPr>
        <w:t xml:space="preserve">), </w:t>
      </w:r>
      <w:r>
        <w:rPr>
          <w:rStyle w:val="12"/>
        </w:rPr>
        <w:t>malecns/annotations.tsv</w:t>
      </w:r>
      <w:r>
        <w:rPr>
          <w:rFonts w:hint="default" w:ascii="Times New Roman" w:hAnsi="Times New Roman" w:cs="Times New Roman"/>
          <w:sz w:val="24"/>
          <w:szCs w:val="24"/>
        </w:rPr>
        <w:t xml:space="preserve"> (211,577 rows),</w:t>
      </w:r>
    </w:p>
    <w:p w14:paraId="209AA49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Style w:val="12"/>
        </w:rPr>
        <w:t>malecns/transmitters.tsv</w:t>
      </w:r>
      <w:r>
        <w:rPr>
          <w:rFonts w:hint="default" w:ascii="Times New Roman" w:hAnsi="Times New Roman" w:cs="Times New Roman"/>
          <w:sz w:val="24"/>
          <w:szCs w:val="24"/>
        </w:rPr>
        <w:t xml:space="preserve"> (164,401 rows). Feather/Parquet were read with purpose-written pure</w:t>
      </w:r>
    </w:p>
    <w:p w14:paraId="014592B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Python readers (</w:t>
      </w:r>
      <w:r>
        <w:rPr>
          <w:rStyle w:val="12"/>
        </w:rPr>
        <w:t>tools/feather_lite.py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2"/>
        </w:rPr>
        <w:t>tools/parquet_lite.py</w:t>
      </w:r>
      <w:r>
        <w:rPr>
          <w:rFonts w:hint="default" w:ascii="Times New Roman" w:hAnsi="Times New Roman" w:cs="Times New Roman"/>
          <w:sz w:val="24"/>
          <w:szCs w:val="24"/>
        </w:rPr>
        <w:t>); no third-party dependency is</w:t>
      </w:r>
    </w:p>
    <w:p w14:paraId="5165892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used anywhere in the pipeline.</w:t>
      </w:r>
    </w:p>
    <w:p w14:paraId="22918EAB">
      <w:pPr>
        <w:pStyle w:val="3"/>
        <w:keepNext w:val="0"/>
        <w:keepLines w:val="0"/>
        <w:widowControl/>
        <w:suppressLineNumbers w:val="0"/>
        <w:spacing w:line="24" w:lineRule="atLeast"/>
      </w:pPr>
      <w:r>
        <w:t>S1.2 Pipeline</w:t>
      </w:r>
    </w:p>
    <w:p w14:paraId="1FE28FD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96921F5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export_edges.py / export_annotations.py / export_transmitters.py (Python 3.14.7)</w:t>
      </w:r>
    </w:p>
    <w:p w14:paraId="16D1B0F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↓ edges.bin, annotations.tsv, transmitters.tsv</w:t>
      </w:r>
    </w:p>
    <w:p w14:paraId="20BA65A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CircuitBuilder (C#, .NET 8.0.404) → flymind.brain (FLYMIND4, 21,383,125 bytes,</w:t>
      </w:r>
    </w:p>
    <w:p w14:paraId="4E3245D5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SHA256 FC6B544C…836E0C8A, ≈140 s)</w:t>
      </w:r>
    </w:p>
    <w:p w14:paraId="28EA5DF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206DB24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CircuitPreview --exp / --dose / --pp / --asym / --propagate → per-trial CSV + stdout</w:t>
      </w:r>
    </w:p>
    <w:p w14:paraId="41401A7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↓</w:t>
      </w:r>
    </w:p>
    <w:p w14:paraId="513CEE5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compare_trials.py → descriptive stats, pairwise tests, equivalence + Bayes factors</w:t>
      </w:r>
    </w:p>
    <w:p w14:paraId="3C84165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305FED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Exact commands for every table are in </w:t>
      </w:r>
      <w:r>
        <w:rPr>
          <w:rStyle w:val="12"/>
        </w:rPr>
        <w:t>results/raw/00-commands.txt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68C0DB4">
      <w:pPr>
        <w:pStyle w:val="3"/>
        <w:keepNext w:val="0"/>
        <w:keepLines w:val="0"/>
        <w:widowControl/>
        <w:suppressLineNumbers w:val="0"/>
        <w:spacing w:line="24" w:lineRule="atLeast"/>
      </w:pPr>
      <w:r>
        <w:t>S1.3 Circuit blob (FLYMIND4)</w:t>
      </w:r>
    </w:p>
    <w:p w14:paraId="249E760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804E69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magic 8s "FLYMIND4"</w:t>
      </w:r>
    </w:p>
    <w:p w14:paraId="38CB965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uint32 n_neurons, n_synapses, 0</w:t>
      </w:r>
    </w:p>
    <w:p w14:paraId="0D394FC5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uint32 pop_counts[12]</w:t>
      </w:r>
    </w:p>
    <w:p w14:paraId="0740C55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uint32 seed_count[6] sugar, motor, odor, selfmotion, centralcomplex, visualrelay</w:t>
      </w:r>
    </w:p>
    <w:p w14:paraId="652A4FF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per neuron 24 B uint64 body id | float32 soma x,y,z (µm) | uint8 population | uint8 cx family | 2 pad</w:t>
      </w:r>
    </w:p>
    <w:p w14:paraId="3268C5E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CSR uint32 offsets[n+1] ; uint32 targets[n_syn] ; float32 weights[n_syn] (signed)</w:t>
      </w:r>
    </w:p>
    <w:p w14:paraId="2194480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plasticity uint8 kc_mbon_mask[n_syn] ; float32 base_weight[n_syn]</w:t>
      </w:r>
    </w:p>
    <w:p w14:paraId="7CE18E2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seeds 6 × uint32 index arrays</w:t>
      </w:r>
    </w:p>
    <w:p w14:paraId="7E8A849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metadata uint32 json_len + UTF-8 JSON</w:t>
      </w:r>
    </w:p>
    <w:p w14:paraId="4345D77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12FB963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Integrity checks executed on load: </w:t>
      </w:r>
      <w:r>
        <w:rPr>
          <w:rStyle w:val="12"/>
        </w:rPr>
        <w:t>offsets[0] = 0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2"/>
        </w:rPr>
        <w:t>offsets[-1] = n_synapses</w:t>
      </w:r>
      <w:r>
        <w:rPr>
          <w:rFonts w:hint="default" w:ascii="Times New Roman" w:hAnsi="Times New Roman" w:cs="Times New Roman"/>
          <w:sz w:val="24"/>
          <w:szCs w:val="24"/>
        </w:rPr>
        <w:t xml:space="preserve"> (1,615,753),</w:t>
      </w:r>
    </w:p>
    <w:p w14:paraId="62E50F4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offsets monotone non-decreasing, all targets inside </w:t>
      </w:r>
      <w:r>
        <w:rPr>
          <w:rStyle w:val="12"/>
        </w:rPr>
        <w:t>[0, n)</w:t>
      </w:r>
      <w:r>
        <w:rPr>
          <w:rFonts w:hint="default" w:ascii="Times New Roman" w:hAnsi="Times New Roman" w:cs="Times New Roman"/>
          <w:sz w:val="24"/>
          <w:szCs w:val="24"/>
        </w:rPr>
        <w:t>. Native weight distribution</w:t>
      </w:r>
    </w:p>
    <w:p w14:paraId="197FD0E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(|w| before κ): min 0.000275, p25 0.000275, median 0.000550, p75 0.001650, max 0.530475,</w:t>
      </w:r>
    </w:p>
    <w:p w14:paraId="259FF12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mean 0.001887 mV; 540,052 of 1,615,753 synapses negative (33.42%); 3,206 KC→MBON synapses</w:t>
      </w:r>
    </w:p>
    <w:p w14:paraId="3B42375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flagged plastic.</w:t>
      </w:r>
    </w:p>
    <w:p w14:paraId="1EE02BDE">
      <w:pPr>
        <w:pStyle w:val="3"/>
        <w:keepNext w:val="0"/>
        <w:keepLines w:val="0"/>
        <w:widowControl/>
        <w:suppressLineNumbers w:val="0"/>
        <w:spacing w:line="24" w:lineRule="atLeast"/>
      </w:pPr>
      <w:r>
        <w:t>S1.4 Eq. S1 — per-step drive balancing</w:t>
      </w:r>
    </w:p>
    <w:p w14:paraId="7A25B48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Let the visual pool have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 cells, split into the body patch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(|B| = ρn) and the surround</w:t>
      </w:r>
    </w:p>
    <w:p w14:paraId="59574D5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. The natural condition delivers level d⁰ᵢ = f(t) to every cell, where f(t) is the optic-flow</w:t>
      </w:r>
    </w:p>
    <w:p w14:paraId="3084158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or rectified-yaw drive. The manipulation replaces the patch's drive by ρ·g(t), where g(t) is the</w:t>
      </w:r>
    </w:p>
    <w:p w14:paraId="7ACE858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patch's own signal (identical to f(t) for </w:t>
      </w:r>
      <w:r>
        <w:rPr>
          <w:rStyle w:val="12"/>
        </w:rPr>
        <w:t>self</w:t>
      </w:r>
      <w:r>
        <w:rPr>
          <w:rFonts w:hint="default" w:ascii="Times New Roman" w:hAnsi="Times New Roman" w:cs="Times New Roman"/>
          <w:sz w:val="24"/>
          <w:szCs w:val="24"/>
        </w:rPr>
        <w:t xml:space="preserve">, a block-shuffled copy for </w:t>
      </w:r>
      <w:r>
        <w:rPr>
          <w:rStyle w:val="12"/>
        </w:rPr>
        <w:t>decorr</w:t>
      </w:r>
      <w:r>
        <w:rPr>
          <w:rFonts w:hint="default" w:ascii="Times New Roman" w:hAnsi="Times New Roman" w:cs="Times New Roman"/>
          <w:sz w:val="24"/>
          <w:szCs w:val="24"/>
        </w:rPr>
        <w:t>, or the</w:t>
      </w:r>
    </w:p>
    <w:p w14:paraId="153B4D25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blend (1−α)f + α·g for the conflict-dose arms). The surround level s is solved from the levels</w:t>
      </w:r>
    </w:p>
    <w:p w14:paraId="19015BD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actually delivered in that step:</w:t>
      </w:r>
    </w:p>
    <w:p w14:paraId="6A631F1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Σᵢ dᵢ = Σ_{B} ρ·g + s·Σ_{S} f = Σ_{all} f ⇒ s = ( Σ_{all} f − Σ_{B} ρ·g ) / Σ_{S} f</w:t>
      </w:r>
    </w:p>
    <w:p w14:paraId="692587B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and the patch is capped so that it can never absorb more than the whole budget,</w:t>
      </w:r>
    </w:p>
    <w:p w14:paraId="3A4D3F0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ρ·g ← ρ·g·min(1, Σ_{all} f / Σ_{B} ρ·g), which is exact because the rectifier is linear in a</w:t>
      </w:r>
    </w:p>
    <w:p w14:paraId="6C870DE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non-negative factor. Injection is then Bernoulli per cell with pᵢ = 150 Hz·Δt·dᵢ (p clamped at 1,</w:t>
      </w:r>
    </w:p>
    <w:p w14:paraId="655218B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levels are not; p_max = 0.075 so levels up to ≈13 are representable). Three consequences, all</w:t>
      </w:r>
    </w:p>
    <w:p w14:paraId="124C5BC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verified in the matching tables: the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expected</w:t>
      </w:r>
      <w:r>
        <w:rPr>
          <w:rFonts w:hint="default" w:ascii="Times New Roman" w:hAnsi="Times New Roman" w:cs="Times New Roman"/>
          <w:sz w:val="24"/>
          <w:szCs w:val="24"/>
        </w:rPr>
        <w:t xml:space="preserve"> event total is identical in every arm, the</w:t>
      </w:r>
    </w:p>
    <w:p w14:paraId="0AEC8AF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realised totals differ only by Bernoulli noise, and no arm can deliver more than the natural</w:t>
      </w:r>
    </w:p>
    <w:p w14:paraId="463C24B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condition. The stimulus waveform, its shuffled copy, the odour background and the sampled CX</w:t>
      </w:r>
    </w:p>
    <w:p w14:paraId="0C8AABC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pairs are drawn from one shared stream per trial index (</w:t>
      </w:r>
      <w:r>
        <w:rPr>
          <w:rStyle w:val="12"/>
        </w:rPr>
        <w:t>Random(90000 + trial)</w:t>
      </w:r>
      <w:r>
        <w:rPr>
          <w:rFonts w:hint="default" w:ascii="Times New Roman" w:hAnsi="Times New Roman" w:cs="Times New Roman"/>
          <w:sz w:val="24"/>
          <w:szCs w:val="24"/>
        </w:rPr>
        <w:t>); arm-specific</w:t>
      </w:r>
    </w:p>
    <w:p w14:paraId="221E82C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streams are used only for the pool draws.</w:t>
      </w:r>
    </w:p>
    <w:p w14:paraId="6879D95D">
      <w:pPr>
        <w:pStyle w:val="3"/>
        <w:keepNext w:val="0"/>
        <w:keepLines w:val="0"/>
        <w:widowControl/>
        <w:suppressLineNumbers w:val="0"/>
        <w:spacing w:line="24" w:lineRule="atLeast"/>
      </w:pPr>
      <w:r>
        <w:t>S1.5 Bayes-factor self-check</w:t>
      </w:r>
    </w:p>
    <w:p w14:paraId="2DFB970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Style w:val="12"/>
        </w:rPr>
        <w:t>python tools/compare_trials.py --selftest</w:t>
      </w:r>
      <w:r>
        <w:rPr>
          <w:rFonts w:hint="default" w:ascii="Times New Roman" w:hAnsi="Times New Roman" w:cs="Times New Roman"/>
          <w:sz w:val="24"/>
          <w:szCs w:val="24"/>
        </w:rPr>
        <w:t xml:space="preserve"> prints the JZS two-sample Bayes factor</w:t>
      </w:r>
    </w:p>
    <w:p w14:paraId="3755727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(Cauchy prior scale r = 0.707) against the analytic anchor at t = 0:</w:t>
      </w:r>
    </w:p>
    <w:p w14:paraId="3BBF0B8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9087B58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 = 0.0 BF10 = 0.3973 BF01 = 2.5171 (analytic: 1/E[(1+n_eff g)^(-1/2)] = 1/0.3974, n_eff = 5)</w:t>
      </w:r>
    </w:p>
    <w:p w14:paraId="46E723E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 = 1.0 BF10 = 0.5634 BF01 = 1.7748</w:t>
      </w:r>
    </w:p>
    <w:p w14:paraId="38A12D6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 = 2.0 BF10 = 1.4964 BF01 = 0.6683</w:t>
      </w:r>
    </w:p>
    <w:p w14:paraId="5E10328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 = 4.0 BF10 = 34.4220 BF01 = 0.0291</w:t>
      </w:r>
    </w:p>
    <w:p w14:paraId="44F9992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BD40A1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Design ceiling (BF01 at t = 0 against trials per arm): n = 10 → 2.52; 16 → 2.97; 20 → 3.24;</w:t>
      </w:r>
    </w:p>
    <w:p w14:paraId="3403158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30 → 3.81; 50 → 4.74. This is the maximum evidence for the null that this design can produce,</w:t>
      </w:r>
    </w:p>
    <w:p w14:paraId="09E0070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and it is why the manuscript reports the Bayes factor together with the equivalence tests rather</w:t>
      </w:r>
    </w:p>
    <w:p w14:paraId="2C414B1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than either alone.</w:t>
      </w:r>
    </w:p>
    <w:p w14:paraId="5DFBD08A">
      <w:pPr>
        <w:pStyle w:val="3"/>
        <w:keepNext w:val="0"/>
        <w:keepLines w:val="0"/>
        <w:widowControl/>
        <w:suppressLineNumbers w:val="0"/>
        <w:spacing w:line="24" w:lineRule="atLeast"/>
      </w:pPr>
      <w:r>
        <w:t>S1.6 File index for the reported numbers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5999"/>
      </w:tblGrid>
      <w:tr w14:paraId="29C61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8DB151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manuscript element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8CDB22">
            <w:pPr>
              <w:keepNext w:val="0"/>
              <w:keepLines w:val="0"/>
              <w:widowControl/>
              <w:suppressLineNumbers w:val="0"/>
              <w:spacing w:line="14" w:lineRule="atLeast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bdr w:val="none" w:color="auto" w:sz="0" w:space="0"/>
              </w:rPr>
              <w:t>file</w:t>
            </w:r>
          </w:p>
        </w:tc>
      </w:tr>
      <w:tr w14:paraId="550D4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2A628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1A–1C, circuit census / calibration / pathways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99AB3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circuit-schematic.md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results/raw/calibration-kappa-sweep.txt</w:t>
            </w:r>
          </w:p>
        </w:tc>
      </w:tr>
      <w:tr w14:paraId="31F40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D1AF8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1D–1F, manipulation and balancing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04F04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results/raw/A3-flow-matching.csv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B3-heading-matching.csv</w:t>
            </w:r>
          </w:p>
        </w:tc>
      </w:tr>
      <w:tr w14:paraId="38365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9FC70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2, propagation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DB0E8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results/raw/propagation.stdout.txt</w:t>
            </w:r>
          </w:p>
        </w:tc>
      </w:tr>
      <w:tr w14:paraId="3544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74CC1D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3, optic flow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15AB7F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results/raw/A3-flow-{compare,pairs,trials,summary}.csv</w:t>
            </w:r>
          </w:p>
        </w:tc>
      </w:tr>
      <w:tr w14:paraId="79012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858D9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4, yaw null + conflict dose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3076F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results/raw/B3-heading-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i/>
                <w:iCs/>
                <w:sz w:val="24"/>
                <w:szCs w:val="24"/>
                <w:bdr w:val="none" w:color="auto" w:sz="0" w:space="0"/>
              </w:rPr>
              <w:t>E-conflict-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F-n20-*</w:t>
            </w:r>
          </w:p>
        </w:tc>
      </w:tr>
      <w:tr w14:paraId="07412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A40F7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5A, flat rate and drive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F13403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results/raw/E-conflict-{trials,summary}.csv</w:t>
            </w:r>
          </w:p>
        </w:tc>
      </w:tr>
      <w:tr w14:paraId="3A30E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941D0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5B, gain replication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53C9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results/raw/G-k150-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i/>
                <w:iCs/>
                <w:sz w:val="24"/>
                <w:szCs w:val="24"/>
                <w:bdr w:val="none" w:color="auto" w:sz="0" w:space="0"/>
              </w:rPr>
              <w:t>H-k600-</w:t>
            </w:r>
          </w:p>
        </w:tc>
      </w:tr>
      <w:tr w14:paraId="4BD72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731F8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5C, Bayes factors at n = 20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E8FB07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results/raw/F-n20-equivalence.csv</w:t>
            </w:r>
          </w:p>
        </w:tc>
      </w:tr>
      <w:tr w14:paraId="2D940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1D4845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S1, patch-size dose and positive controls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8BB73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results/raw/C3-dose-dose-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i/>
                <w:iCs/>
                <w:sz w:val="24"/>
                <w:szCs w:val="24"/>
                <w:bdr w:val="none" w:color="auto" w:sz="0" w:space="0"/>
              </w:rPr>
              <w:t>D-controls-</w:t>
            </w:r>
          </w:p>
        </w:tc>
      </w:tr>
      <w:tr w14:paraId="1E0D5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489C64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S2, equivalence bounds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E24961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results/raw/F-n20-equivalence.csv</w:t>
            </w:r>
          </w:p>
        </w:tc>
      </w:tr>
      <w:tr w14:paraId="2C2E1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D3509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S3, Bayes-factor design ceiling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111BE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tools/make_main_figures.py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(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supp3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), analytic anchor in §S1.5</w:t>
            </w:r>
          </w:p>
        </w:tc>
      </w:tr>
      <w:tr w14:paraId="01829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46618C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Fig. S4, the drive-matching trap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F8B92A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results/raw/B-heading-trials.csv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(unbalanced) vs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B3-heading-trials.csv</w:t>
            </w:r>
          </w:p>
        </w:tc>
      </w:tr>
      <w:tr w14:paraId="519F5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E2B16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Table 1 (n = 10 equivalence)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A9DD4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results/raw/B3-heading-equivalence.csv</w:t>
            </w:r>
          </w:p>
        </w:tc>
      </w:tr>
      <w:tr w14:paraId="0299D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A7786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Table 2 (n = 20 Bayes factors)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3B709B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results/raw/F-n20-equivalence.csv</w:t>
            </w:r>
          </w:p>
        </w:tc>
      </w:tr>
      <w:tr w14:paraId="122DB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49202B2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Table 3 (conflict dose)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FF4D28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results/raw/E-conflict-trials.csv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analysed by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tools/conflict_trend.py</w:t>
            </w:r>
          </w:p>
        </w:tc>
      </w:tr>
      <w:tr w14:paraId="64672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BC83690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>table S4 (gain replication)</w:t>
            </w:r>
          </w:p>
        </w:tc>
        <w:tc>
          <w:tcPr>
            <w:tcW w:w="0" w:type="auto"/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893D19">
            <w:pPr>
              <w:keepNext w:val="0"/>
              <w:keepLines w:val="0"/>
              <w:widowControl/>
              <w:suppressLineNumbers w:val="0"/>
              <w:spacing w:line="14" w:lineRule="atLeast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G-k150-trials.csv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  <w:bdr w:val="none" w:color="auto" w:sz="0" w:space="0"/>
              </w:rPr>
              <w:t>H-k600-trials.csv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bdr w:val="none" w:color="auto" w:sz="0" w:space="0"/>
              </w:rPr>
              <w:t xml:space="preserve"> likewise</w:t>
            </w:r>
          </w:p>
        </w:tc>
      </w:tr>
    </w:tbl>
    <w:p w14:paraId="5966699E">
      <w:pPr>
        <w:pStyle w:val="3"/>
        <w:keepNext w:val="0"/>
        <w:keepLines w:val="0"/>
        <w:widowControl/>
        <w:suppressLineNumbers w:val="0"/>
        <w:spacing w:line="24" w:lineRule="atLeast"/>
      </w:pPr>
      <w:r>
        <w:t>S1.7 Conflict-dose trend analysis</w:t>
      </w:r>
    </w:p>
    <w:p w14:paraId="3DC6221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Style w:val="12"/>
        </w:rPr>
        <w:t>python tools/conflict_trend.py results/raw/E-conflict-trials.csv</w:t>
      </w:r>
      <w:r>
        <w:rPr>
          <w:rFonts w:hint="default" w:ascii="Times New Roman" w:hAnsi="Times New Roman" w:cs="Times New Roman"/>
          <w:sz w:val="24"/>
          <w:szCs w:val="24"/>
        </w:rPr>
        <w:t xml:space="preserve"> maps arm id → α</w:t>
      </w:r>
    </w:p>
    <w:p w14:paraId="20C090E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Style w:val="12"/>
        </w:rPr>
        <w:t>self</w:t>
      </w:r>
      <w:r>
        <w:rPr>
          <w:rFonts w:hint="default" w:ascii="Times New Roman" w:hAnsi="Times New Roman" w:cs="Times New Roman"/>
          <w:sz w:val="24"/>
          <w:szCs w:val="24"/>
        </w:rPr>
        <w:t xml:space="preserve"> 0, </w:t>
      </w:r>
      <w:r>
        <w:rPr>
          <w:rStyle w:val="12"/>
        </w:rPr>
        <w:t>conf25</w:t>
      </w:r>
      <w:r>
        <w:rPr>
          <w:rFonts w:hint="default" w:ascii="Times New Roman" w:hAnsi="Times New Roman" w:cs="Times New Roman"/>
          <w:sz w:val="24"/>
          <w:szCs w:val="24"/>
        </w:rPr>
        <w:t xml:space="preserve"> 0.25, </w:t>
      </w:r>
      <w:r>
        <w:rPr>
          <w:rStyle w:val="12"/>
        </w:rPr>
        <w:t>conf50</w:t>
      </w:r>
      <w:r>
        <w:rPr>
          <w:rFonts w:hint="default" w:ascii="Times New Roman" w:hAnsi="Times New Roman" w:cs="Times New Roman"/>
          <w:sz w:val="24"/>
          <w:szCs w:val="24"/>
        </w:rPr>
        <w:t xml:space="preserve"> 0.5, </w:t>
      </w:r>
      <w:r>
        <w:rPr>
          <w:rStyle w:val="12"/>
        </w:rPr>
        <w:t>conf75</w:t>
      </w:r>
      <w:r>
        <w:rPr>
          <w:rFonts w:hint="default" w:ascii="Times New Roman" w:hAnsi="Times New Roman" w:cs="Times New Roman"/>
          <w:sz w:val="24"/>
          <w:szCs w:val="24"/>
        </w:rPr>
        <w:t xml:space="preserve"> 0.75, </w:t>
      </w:r>
      <w:r>
        <w:rPr>
          <w:rStyle w:val="12"/>
        </w:rPr>
        <w:t>decorr</w:t>
      </w:r>
      <w:r>
        <w:rPr>
          <w:rFonts w:hint="default" w:ascii="Times New Roman" w:hAnsi="Times New Roman" w:cs="Times New Roman"/>
          <w:sz w:val="24"/>
          <w:szCs w:val="24"/>
        </w:rPr>
        <w:t xml:space="preserve"> 1), ranks the trial-level values</w:t>
      </w:r>
    </w:p>
    <w:p w14:paraId="54CB06C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of every metric, and reports Spearman ρ against α with a permutation P (4,000 relabellings,</w:t>
      </w:r>
    </w:p>
    <w:p w14:paraId="773EB69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 xml:space="preserve">seed 12345). The same command run on </w:t>
      </w:r>
      <w:r>
        <w:rPr>
          <w:rStyle w:val="12"/>
        </w:rPr>
        <w:t>G-k150-trials.csv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2"/>
        </w:rPr>
        <w:t>H-k600-trials.csv</w:t>
      </w:r>
      <w:r>
        <w:rPr>
          <w:rFonts w:hint="default" w:ascii="Times New Roman" w:hAnsi="Times New Roman" w:cs="Times New Roman"/>
          <w:sz w:val="24"/>
          <w:szCs w:val="24"/>
        </w:rPr>
        <w:t xml:space="preserve"> gives the two</w:t>
      </w:r>
    </w:p>
    <w:p w14:paraId="0BC4AD5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extra gains. Metrics whose ρ is not reported had fewer than eight finite trial values (the two</w:t>
      </w:r>
    </w:p>
    <w:p w14:paraId="15AEA2F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default" w:ascii="Times New Roman" w:hAnsi="Times New Roman" w:cs="Times New Roman"/>
          <w:sz w:val="24"/>
          <w:szCs w:val="24"/>
        </w:rPr>
        <w:t>legacy anatomical-gain readouts, which do not converge on every trial).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47892D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i/>
      <w:iCs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2026-09-29T11:42:31Z</dcterms:created>
  <cp:lastModifiedBy>一只阿巴怪</cp:lastModifiedBy>
  <dcterms:modified xsi:type="dcterms:W3CDTF">2026-09-29T11:42:31Z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587A79B16ADB431C87D2FD5197985790_13</vt:lpwstr>
  </property>
</Properties>
</file>