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A1A1A"/>
          <w:sz w:val="42"/>
        </w:rPr>
        <w:t>Tech Video — Recording Script</w:t>
      </w:r>
    </w:p>
    <w:p>
      <w:pPr>
        <w:spacing w:after="280"/>
      </w:pPr>
      <w:r>
        <w:rPr>
          <w:color w:val="5A5A5A"/>
          <w:sz w:val="21"/>
        </w:rPr>
        <w:t>Genome Firewall · Hack-Nation Challenge 6 · 60 seconds · slide-driven with one UI cut</w:t>
      </w:r>
    </w:p>
    <w:p>
      <w:pPr>
        <w:spacing w:before="260" w:after="100"/>
      </w:pPr>
      <w:r>
        <w:rPr>
          <w:b/>
          <w:color w:val="059669"/>
          <w:sz w:val="25"/>
        </w:rPr>
        <w:t>Before you record</w:t>
      </w:r>
    </w:p>
    <w:p>
      <w:pPr>
        <w:pStyle w:val="ListBullet"/>
        <w:spacing w:after="60"/>
      </w:pPr>
      <w:r>
        <w:rPr>
          <w:color w:val="1A1A1A"/>
          <w:sz w:val="20"/>
        </w:rPr>
        <w:t>Slide deck: open slides/tech-deck.html in the repo, press F for fullscreen, arrow keys to advance.</w:t>
      </w:r>
    </w:p>
    <w:p>
      <w:pPr>
        <w:pStyle w:val="ListBullet"/>
        <w:spacing w:after="60"/>
      </w:pPr>
      <w:r>
        <w:rPr>
          <w:color w:val="1A1A1A"/>
          <w:sz w:val="20"/>
        </w:rPr>
        <w:t>Record screen + microphone. The slide numbers below match the deck exactly.</w:t>
      </w:r>
    </w:p>
    <w:p>
      <w:pPr>
        <w:pStyle w:val="ListBullet"/>
        <w:spacing w:after="60"/>
      </w:pPr>
      <w:r>
        <w:rPr>
          <w:color w:val="1A1A1A"/>
          <w:sz w:val="20"/>
        </w:rPr>
        <w:t>Read ~10% slower than feels natural. This script is dense; rushing it loses the judges.</w:t>
      </w:r>
    </w:p>
    <w:p>
      <w:pPr>
        <w:pStyle w:val="ListBullet"/>
        <w:spacing w:after="60"/>
      </w:pPr>
      <w:r>
        <w:rPr>
          <w:color w:val="1A1A1A"/>
          <w:sz w:val="20"/>
        </w:rPr>
        <w:t>One live cut: at 0:38 optionally switch to the app showing a deferred result, then back to slides.</w:t>
      </w:r>
    </w:p>
    <w:p>
      <w:pPr>
        <w:pStyle w:val="ListBullet"/>
        <w:spacing w:after="60"/>
      </w:pPr>
      <w:r>
        <w:rPr>
          <w:color w:val="1A1A1A"/>
          <w:sz w:val="20"/>
        </w:rPr>
        <w:t>If you overrun, cut the last sentence of 0:09–0:20 (the 'one model per drug' clause).</w:t>
      </w:r>
    </w:p>
    <w:p>
      <w:pPr>
        <w:spacing w:before="260" w:after="100"/>
      </w:pPr>
      <w:r>
        <w:rPr>
          <w:b/>
          <w:color w:val="1A1A1A"/>
          <w:sz w:val="25"/>
        </w:rPr>
        <w:t>Script</w:t>
      </w:r>
    </w:p>
    <w:p>
      <w:r>
        <w:rPr>
          <w:b w:val="0"/>
          <w:i/>
          <w:color w:val="5A5A5A"/>
          <w:sz w:val="19"/>
        </w:rPr>
        <w:t>Spoken words are in large type. Everything else is a cue.</w:t>
      </w:r>
    </w:p>
    <w:p>
      <w:pPr>
        <w:spacing w:before="220" w:after="20"/>
      </w:pPr>
      <w:r>
        <w:rPr>
          <w:b/>
          <w:color w:val="059669"/>
          <w:sz w:val="19"/>
        </w:rPr>
        <w:t xml:space="preserve">0:00–0:09   </w:t>
      </w:r>
      <w:r>
        <w:rPr>
          <w:color w:val="5A5A5A"/>
          <w:sz w:val="19"/>
        </w:rPr>
        <w:t>SLIDE 1 — Architecture</w:t>
      </w:r>
    </w:p>
    <w:p>
      <w:pPr>
        <w:spacing w:before="80" w:after="180" w:line="341" w:lineRule="auto"/>
        <w:ind w:left="317"/>
      </w:pPr>
      <w:r>
        <w:rPr>
          <w:color w:val="1A1A1A"/>
          <w:sz w:val="26"/>
        </w:rPr>
        <w:t>A bloodstream infection needs 48 to 72 hours of culture before anyone knows which antibiotics work. We predict it from the genome in a second.</w:t>
      </w:r>
    </w:p>
    <w:p>
      <w:pPr>
        <w:spacing w:before="220" w:after="20"/>
      </w:pPr>
      <w:r>
        <w:rPr>
          <w:b/>
          <w:color w:val="059669"/>
          <w:sz w:val="19"/>
        </w:rPr>
        <w:t xml:space="preserve">0:09–0:22   </w:t>
      </w:r>
      <w:r>
        <w:rPr>
          <w:color w:val="5A5A5A"/>
          <w:sz w:val="19"/>
        </w:rPr>
        <w:t>SLIDE 2 — Feature space</w:t>
      </w:r>
    </w:p>
    <w:p>
      <w:pPr>
        <w:spacing w:before="80" w:after="180" w:line="341" w:lineRule="auto"/>
        <w:ind w:left="317"/>
      </w:pPr>
      <w:r>
        <w:rPr>
          <w:color w:val="1A1A1A"/>
          <w:sz w:val="26"/>
        </w:rPr>
        <w:t>Input is an AMRFinderPlus determinant profile, normalised into a canonical vocabulary — genes collapsed to family, mutations and truncations kept as separate features — by an LLM structured-output pass. Then gradient-boosted trees, isotonically calibrated, one per drug.</w:t>
      </w:r>
    </w:p>
    <w:p>
      <w:pPr>
        <w:spacing w:before="220" w:after="20"/>
      </w:pPr>
      <w:r>
        <w:rPr>
          <w:b/>
          <w:color w:val="059669"/>
          <w:sz w:val="19"/>
        </w:rPr>
        <w:t xml:space="preserve">0:22–0:40   </w:t>
      </w:r>
      <w:r>
        <w:rPr>
          <w:color w:val="5A5A5A"/>
          <w:sz w:val="19"/>
        </w:rPr>
        <w:t>SLIDE 3 — Leakage control</w:t>
      </w:r>
    </w:p>
    <w:p>
      <w:pPr>
        <w:spacing w:before="80" w:after="180" w:line="341" w:lineRule="auto"/>
        <w:ind w:left="317"/>
      </w:pPr>
      <w:r>
        <w:rPr>
          <w:color w:val="1A1A1A"/>
          <w:sz w:val="26"/>
        </w:rPr>
        <w:t>Evaluation is where the work went. A random split scores 0.914, but Klebsiella clones straddle it and inflate that number, so we group by genotype and quarantine 273 isolates up front. We also tested protein embeddings: naive cross-validation said 0.955, family-aware said 0.451. We dropped the claim.</w:t>
      </w:r>
    </w:p>
    <w:p>
      <w:pPr>
        <w:spacing w:before="220" w:after="20"/>
      </w:pPr>
      <w:r>
        <w:rPr>
          <w:b/>
          <w:color w:val="059669"/>
          <w:sz w:val="19"/>
        </w:rPr>
        <w:t xml:space="preserve">0:40–0:53   </w:t>
      </w:r>
      <w:r>
        <w:rPr>
          <w:color w:val="5A5A5A"/>
          <w:sz w:val="19"/>
        </w:rPr>
        <w:t>SLIDE 4 — The firewall</w:t>
      </w:r>
    </w:p>
    <w:p>
      <w:pPr>
        <w:spacing w:before="80" w:after="180" w:line="341" w:lineRule="auto"/>
        <w:ind w:left="317"/>
      </w:pPr>
      <w:r>
        <w:rPr>
          <w:color w:val="1A1A1A"/>
          <w:sz w:val="26"/>
        </w:rPr>
        <w:t>Four abstention gates. The critical one compares each prediction against its 25 nearest training isolates by Jaccard similarity. Delete a carbapenemase to mimic an unknown mechanism and the raw model says susceptible twelve out of twelve times. With the gate: all twelve caught.</w:t>
      </w:r>
    </w:p>
    <w:p>
      <w:pPr>
        <w:spacing w:before="220" w:after="20"/>
      </w:pPr>
      <w:r>
        <w:rPr>
          <w:b/>
          <w:color w:val="059669"/>
          <w:sz w:val="19"/>
        </w:rPr>
        <w:t xml:space="preserve">0:53–1:00   </w:t>
      </w:r>
      <w:r>
        <w:rPr>
          <w:color w:val="5A5A5A"/>
          <w:sz w:val="19"/>
        </w:rPr>
        <w:t>SLIDE 5 — Results</w:t>
      </w:r>
    </w:p>
    <w:p>
      <w:pPr>
        <w:spacing w:before="80" w:after="180" w:line="341" w:lineRule="auto"/>
        <w:ind w:left="317"/>
      </w:pPr>
      <w:r>
        <w:rPr>
          <w:color w:val="1A1A1A"/>
          <w:sz w:val="26"/>
        </w:rPr>
        <w:t>Six validation tiers. It beats the clinical rule baseline on fourteen of twenty-one antibiotics.</w:t>
      </w:r>
    </w:p>
    <w:p>
      <w:r>
        <w:rPr>
          <w:b w:val="0"/>
          <w:i/>
          <w:color w:val="5A5A5A"/>
          <w:sz w:val="19"/>
        </w:rPr>
        <w:t>Total: 166 words ≈ 66 seconds at a measured 150 wpm.</w:t>
      </w:r>
    </w:p>
    <w:p>
      <w:r>
        <w:br w:type="page"/>
      </w:r>
    </w:p>
    <w:p>
      <w:pPr>
        <w:spacing w:before="0" w:after="100"/>
      </w:pPr>
      <w:r>
        <w:rPr>
          <w:b/>
          <w:color w:val="059669"/>
          <w:sz w:val="26"/>
        </w:rPr>
        <w:t>Slide contents</w:t>
      </w:r>
    </w:p>
    <w:p>
      <w:r>
        <w:rPr>
          <w:b w:val="0"/>
          <w:i w:val="0"/>
          <w:color w:val="5A5A5A"/>
          <w:sz w:val="19"/>
        </w:rPr>
        <w:t>Built and ready at slides/tech-deck.html. Listed here so you can rebuild them if you prefer your own template.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576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8"/>
              </w:rPr>
              <w:t>Slide</w:t>
            </w:r>
          </w:p>
        </w:tc>
        <w:tc>
          <w:tcPr>
            <w:tcW w:type="dxa" w:w="7488"/>
          </w:tcPr>
          <w:p>
            <w:r/>
            <w:r>
              <w:rPr>
                <w:b/>
                <w:sz w:val="18"/>
              </w:rPr>
              <w:t>Contents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Architecture</w:t>
            </w:r>
          </w:p>
        </w:tc>
        <w:tc>
          <w:tcPr>
            <w:tcW w:type="dxa" w:w="7488"/>
          </w:tcPr>
          <w:p>
            <w:r/>
            <w:r>
              <w:rPr>
                <w:sz w:val="18"/>
              </w:rPr>
              <w:t>Pipeline diagram: Genome → AMRFinderPlus → LLM normalisation → canonical vocabulary → per-drug calibrated model → 4 abstention gates → call. Header: 48–72h → 1.2s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Feature space</w:t>
            </w:r>
          </w:p>
        </w:tc>
        <w:tc>
          <w:tcPr>
            <w:tcW w:type="dxa" w:w="7488"/>
          </w:tcPr>
          <w:p>
            <w:r/>
            <w:r>
              <w:rPr>
                <w:sz w:val="18"/>
              </w:rPr>
              <w:t>Token forms: blakpc (acquired, family-collapsed) · POINT:gyra (target mutation) · TRUNC:ompk35 (porin loss). Model: HistGradientBoosting + CalibratedClassifierCV (isotonic, cv=3). 23 antibiotics, one model each.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Leakage control</w:t>
            </w:r>
          </w:p>
        </w:tc>
        <w:tc>
          <w:tcPr>
            <w:tcW w:type="dxa" w:w="7488"/>
          </w:tcPr>
          <w:p>
            <w:r/>
            <w:r>
              <w:rPr>
                <w:sz w:val="18"/>
              </w:rPr>
              <w:t>Two side-by-side comparisons. Split: random 0.914 vs clone-aware 0.900. Embeddings: naive CV 0.955 vs family-aware CV 0.451 — marked +0.504 INFLATION, claim dropped.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The firewall</w:t>
            </w:r>
          </w:p>
        </w:tc>
        <w:tc>
          <w:tcPr>
            <w:tcW w:type="dxa" w:w="7488"/>
          </w:tcPr>
          <w:p>
            <w:r/>
            <w:r>
              <w:rPr>
                <w:sz w:val="18"/>
              </w:rPr>
              <w:t>Four gates: confidence band (asymmetric, 0.35–0.65) · novelty (unknown machinery blocks SUSCEPTIBLE at any confidence) · completeness (sparse assembly) · coherence (k=25 Jaccard neighbours). Below: 0/12 → 12/12 on the novel-mechanism benchmark.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Results</w:t>
            </w:r>
          </w:p>
        </w:tc>
        <w:tc>
          <w:tcPr>
            <w:tcW w:type="dxa" w:w="7488"/>
          </w:tcPr>
          <w:p>
            <w:r/>
            <w:r>
              <w:rPr>
                <w:sz w:val="18"/>
              </w:rPr>
              <w:t>Six-tier validation table + vs-rule line: model 0.869 / rule 0.825 / +0.044 / 14 wins, 6 ties, 1 loss. Footer: S. aureus retrain 0.946 — the method crosses the Gram divide.</w:t>
            </w:r>
          </w:p>
        </w:tc>
      </w:tr>
    </w:tbl>
    <w:p>
      <w:pPr>
        <w:spacing w:before="260" w:after="100"/>
      </w:pPr>
      <w:r>
        <w:rPr>
          <w:b/>
          <w:color w:val="059669"/>
          <w:sz w:val="25"/>
        </w:rPr>
        <w:t>If a judge asks a follow-up</w:t>
      </w:r>
    </w:p>
    <w:p>
      <w:r>
        <w:rPr>
          <w:b/>
          <w:i w:val="0"/>
          <w:color w:val="059669"/>
          <w:sz w:val="20"/>
        </w:rPr>
        <w:t>Why gradient boosting, not a neural net?</w:t>
      </w:r>
    </w:p>
    <w:p>
      <w:pPr>
        <w:ind w:left="259"/>
      </w:pPr>
      <w:r>
        <w:rPr>
          <w:b w:val="0"/>
          <w:i w:val="0"/>
          <w:color w:val="1A1A1A"/>
          <w:sz w:val="20"/>
        </w:rPr>
        <w:t>1,863 isolates and a sparse binary feature space. Trees win at this scale, and the calibration and SHAP attribution matter more than raw capacity — a clinician needs the evidence behind the call.</w:t>
      </w:r>
    </w:p>
    <w:p>
      <w:r>
        <w:rPr>
          <w:b/>
          <w:i w:val="0"/>
          <w:color w:val="059669"/>
          <w:sz w:val="20"/>
        </w:rPr>
        <w:t>Why calibrate?</w:t>
      </w:r>
    </w:p>
    <w:p>
      <w:pPr>
        <w:ind w:left="259"/>
      </w:pPr>
      <w:r>
        <w:rPr>
          <w:b w:val="0"/>
          <w:i w:val="0"/>
          <w:color w:val="1A1A1A"/>
          <w:sz w:val="20"/>
        </w:rPr>
        <w:t>The abstention band is defined on probability. An uncalibrated score makes the threshold meaningless. Isotonic over 3-fold CV.</w:t>
      </w:r>
    </w:p>
    <w:p>
      <w:r>
        <w:rPr>
          <w:b/>
          <w:i w:val="0"/>
          <w:color w:val="059669"/>
          <w:sz w:val="20"/>
        </w:rPr>
        <w:t>Does it work on other species?</w:t>
      </w:r>
    </w:p>
    <w:p>
      <w:pPr>
        <w:ind w:left="259"/>
      </w:pPr>
      <w:r>
        <w:rPr>
          <w:b w:val="0"/>
          <w:i w:val="0"/>
          <w:color w:val="1A1A1A"/>
          <w:sz w:val="20"/>
        </w:rPr>
        <w:t>Transferring a Klebsiella model fails — 0.768 against a species-agnostic rule at 0.874. We do not ship that. Retraining the pipeline per organism does work: 0.946 on S. aureus, a Gram-positive with entirely different resistance biology.</w:t>
      </w:r>
    </w:p>
    <w:p>
      <w:r>
        <w:rPr>
          <w:b/>
          <w:i w:val="0"/>
          <w:color w:val="059669"/>
          <w:sz w:val="20"/>
        </w:rPr>
        <w:t>What is your worst failure mode?</w:t>
      </w:r>
    </w:p>
    <w:p>
      <w:pPr>
        <w:ind w:left="259"/>
      </w:pPr>
      <w:r>
        <w:rPr>
          <w:b w:val="0"/>
          <w:i w:val="0"/>
          <w:color w:val="1A1A1A"/>
          <w:sz w:val="20"/>
        </w:rPr>
        <w:t>Mechanisms invisible to the feature space. In our 93-case adversarial benchmark there are 7 lethal errors, 4 of them in that category. We report all 7 — the pass rate excludes those cases, the error count does not.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Helvetica Neue" w:hAnsi="Helvetica Neue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