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Tech Video — Recording Script</w:t>
      </w:r>
    </w:p>
    <w:p>
      <w:pPr>
        <w:spacing w:after="260"/>
      </w:pPr>
      <w:r>
        <w:rPr>
          <w:color w:val="5B6166"/>
          <w:sz w:val="20"/>
        </w:rPr>
        <w:t>Genome Firewall · Hack-Nation Challenge 6 · 60 seconds · slide-driven</w:t>
      </w:r>
    </w:p>
    <w:p>
      <w:pPr>
        <w:spacing w:before="80" w:after="100"/>
      </w:pPr>
      <w:r>
        <w:rPr>
          <w:b/>
          <w:color w:val="059669"/>
          <w:sz w:val="25"/>
        </w:rPr>
        <w:t>Setup</w:t>
      </w:r>
    </w:p>
    <w:p>
      <w:pPr>
        <w:pStyle w:val="ListBullet"/>
        <w:spacing w:after="60"/>
      </w:pPr>
      <w:r>
        <w:rPr>
          <w:color w:val="141618"/>
          <w:sz w:val="20"/>
        </w:rPr>
        <w:t>Open slides/tech-deck.html from the repo. Press F for fullscreen. Arrow keys advance.</w:t>
      </w:r>
    </w:p>
    <w:p>
      <w:pPr>
        <w:pStyle w:val="ListBullet"/>
        <w:spacing w:after="60"/>
      </w:pPr>
      <w:r>
        <w:rPr>
          <w:color w:val="141618"/>
          <w:sz w:val="20"/>
        </w:rPr>
        <w:t>Record screen + microphone. Slide numbers below match the deck exactly.</w:t>
      </w:r>
    </w:p>
    <w:p>
      <w:pPr>
        <w:pStyle w:val="ListBullet"/>
        <w:spacing w:after="60"/>
      </w:pPr>
      <w:r>
        <w:rPr>
          <w:color w:val="141618"/>
          <w:sz w:val="20"/>
        </w:rPr>
        <w:t>Advance the slide on the timing marks — the narration is written to fit each one.</w:t>
      </w:r>
    </w:p>
    <w:p>
      <w:pPr>
        <w:pStyle w:val="ListBullet"/>
        <w:spacing w:after="60"/>
      </w:pPr>
      <w:r>
        <w:rPr>
          <w:color w:val="141618"/>
          <w:sz w:val="20"/>
        </w:rPr>
        <w:t>Read about 10% slower than feels natural. This script is dense; rushing loses the judges.</w:t>
      </w:r>
    </w:p>
    <w:p>
      <w:pPr>
        <w:pStyle w:val="ListBullet"/>
        <w:spacing w:after="60"/>
      </w:pPr>
      <w:r>
        <w:rPr>
          <w:color w:val="141618"/>
          <w:sz w:val="20"/>
        </w:rPr>
        <w:t>Overrunning? Cut “one per drug” at the end of slide 2. That is the cheapest ten words.</w:t>
      </w:r>
    </w:p>
    <w:p>
      <w:pPr>
        <w:spacing w:before="280" w:after="100"/>
      </w:pPr>
      <w:r>
        <w:rPr>
          <w:b/>
          <w:color w:val="141618"/>
          <w:sz w:val="25"/>
        </w:rPr>
        <w:t>Script</w:t>
      </w:r>
    </w:p>
    <w:p>
      <w:pPr>
        <w:spacing w:after="40"/>
      </w:pPr>
      <w:r>
        <w:rPr>
          <w:b w:val="0"/>
          <w:i/>
          <w:color w:val="5B6166"/>
          <w:sz w:val="19"/>
        </w:rPr>
        <w:t>Each block gives you what is on screen, why the slide is there, and the words to say.</w:t>
      </w:r>
    </w:p>
    <w:p>
      <w:pPr>
        <w:spacing w:before="300" w:after="60"/>
        <w:shd w:val="clear" w:fill="F0F4F2"/>
      </w:pPr>
      <w:r>
        <w:rPr>
          <w:b/>
          <w:color w:val="059669"/>
          <w:sz w:val="22"/>
        </w:rPr>
        <w:t xml:space="preserve">  0:00–0:09   </w:t>
      </w:r>
      <w:r>
        <w:rPr>
          <w:b/>
          <w:color w:val="141618"/>
          <w:sz w:val="22"/>
        </w:rPr>
        <w:t xml:space="preserve">SLIDE 1 — Architecture  </w:t>
      </w:r>
    </w:p>
    <w:p>
      <w:pPr>
        <w:spacing w:before="140" w:after="40"/>
        <w:ind w:left="288"/>
      </w:pPr>
      <w:r>
        <w:rPr>
          <w:b/>
          <w:color w:val="8B9297"/>
          <w:sz w:val="17"/>
        </w:rPr>
        <w:t>ON SCREEN</w:t>
      </w:r>
    </w:p>
    <w:p>
      <w:pPr>
        <w:spacing w:after="60" w:line="307" w:lineRule="auto"/>
        <w:ind w:left="288"/>
      </w:pPr>
      <w:r>
        <w:rPr>
          <w:color w:val="5B6166"/>
          <w:sz w:val="19"/>
        </w:rPr>
        <w:t>Title: “Susceptibility from a genome, with the right to stay silent.” Beneath it, a five-box pipeline running left to right: Genome → AMRFinderPlus → LLM normalisation → Calibrated model → Firewall. The last box is green. Footer reads 48–72 hours → ~1.2 seconds, and 1,863 isolates · 23 antibiotics.</w:t>
      </w:r>
    </w:p>
    <w:p>
      <w:pPr>
        <w:spacing w:before="140" w:after="40"/>
        <w:ind w:left="288"/>
      </w:pPr>
      <w:r>
        <w:rPr>
          <w:b/>
          <w:color w:val="8B9297"/>
          <w:sz w:val="17"/>
        </w:rPr>
        <w:t>WHY THIS SLIDE</w:t>
      </w:r>
    </w:p>
    <w:p>
      <w:pPr>
        <w:spacing w:after="60" w:line="307" w:lineRule="auto"/>
        <w:ind w:left="288"/>
      </w:pPr>
      <w:r>
        <w:rPr>
          <w:color w:val="5B6166"/>
          <w:sz w:val="19"/>
        </w:rPr>
        <w:t>The pipeline is on screen from the first second, so the judge already has the shape of the system before you explain any part of it. You only have to narrate the problem.</w:t>
      </w:r>
    </w:p>
    <w:p>
      <w:pPr>
        <w:spacing w:before="140" w:after="40"/>
        <w:ind w:left="288"/>
      </w:pPr>
      <w:r>
        <w:rPr>
          <w:b/>
          <w:color w:val="059669"/>
          <w:sz w:val="17"/>
        </w:rPr>
        <w:t>SAY</w:t>
      </w:r>
    </w:p>
    <w:p>
      <w:pPr>
        <w:spacing w:after="80" w:line="336" w:lineRule="auto"/>
        <w:ind w:left="288"/>
      </w:pPr>
      <w:r>
        <w:rPr>
          <w:sz w:val="27"/>
        </w:rPr>
        <w:t>A bloodstream infection needs 48 to 72 hours of culture before anyone knows which antibiotics work. We predict it from the genome in a second.</w:t>
      </w:r>
    </w:p>
    <w:p>
      <w:pPr>
        <w:spacing w:before="300" w:after="60"/>
        <w:shd w:val="clear" w:fill="F0F4F2"/>
      </w:pPr>
      <w:r>
        <w:rPr>
          <w:b/>
          <w:color w:val="059669"/>
          <w:sz w:val="22"/>
        </w:rPr>
        <w:t xml:space="preserve">  0:09–0:22   </w:t>
      </w:r>
      <w:r>
        <w:rPr>
          <w:b/>
          <w:color w:val="141618"/>
          <w:sz w:val="22"/>
        </w:rPr>
        <w:t xml:space="preserve">SLIDE 2 — Feature space  </w:t>
      </w:r>
    </w:p>
    <w:p>
      <w:pPr>
        <w:spacing w:before="140" w:after="40"/>
        <w:ind w:left="288"/>
      </w:pPr>
      <w:r>
        <w:rPr>
          <w:b/>
          <w:color w:val="8B9297"/>
          <w:sz w:val="17"/>
        </w:rPr>
        <w:t>ON SCREEN</w:t>
      </w:r>
    </w:p>
    <w:p>
      <w:pPr>
        <w:spacing w:after="60" w:line="307" w:lineRule="auto"/>
        <w:ind w:left="288"/>
      </w:pPr>
      <w:r>
        <w:rPr>
          <w:color w:val="5B6166"/>
          <w:sz w:val="19"/>
        </w:rPr>
        <w:t>Two panels. Left: the three canonical token forms in monospace — blakpc (acquired gene, collapsed to family), POINT:gyra (target mutation), TRUNC:ompk35 (porin loss). Right, in green: HistGradientBoosting + CalibratedClassifierCV, isotonic, cv=3, with a note that calibration is not cosmetic because the abstention band is defined on probability. Footer: mutations and truncations are invisible to gene-presence lookup.</w:t>
      </w:r>
    </w:p>
    <w:p>
      <w:pPr>
        <w:spacing w:before="140" w:after="40"/>
        <w:ind w:left="288"/>
      </w:pPr>
      <w:r>
        <w:rPr>
          <w:b/>
          <w:color w:val="8B9297"/>
          <w:sz w:val="17"/>
        </w:rPr>
        <w:t>WHY THIS SLIDE</w:t>
      </w:r>
    </w:p>
    <w:p>
      <w:pPr>
        <w:spacing w:after="60" w:line="307" w:lineRule="auto"/>
        <w:ind w:left="288"/>
      </w:pPr>
      <w:r>
        <w:rPr>
          <w:color w:val="5B6166"/>
          <w:sz w:val="19"/>
        </w:rPr>
        <w:t>This is the slide that proves you understand your own representation. The three token forms answer “what does the model actually see” before anyone asks it.</w:t>
      </w:r>
    </w:p>
    <w:p>
      <w:pPr>
        <w:spacing w:before="140" w:after="40"/>
        <w:ind w:left="288"/>
      </w:pPr>
      <w:r>
        <w:rPr>
          <w:b/>
          <w:color w:val="059669"/>
          <w:sz w:val="17"/>
        </w:rPr>
        <w:t>SAY</w:t>
      </w:r>
    </w:p>
    <w:p>
      <w:pPr>
        <w:spacing w:after="80" w:line="336" w:lineRule="auto"/>
        <w:ind w:left="288"/>
      </w:pPr>
      <w:r>
        <w:rPr>
          <w:sz w:val="27"/>
        </w:rPr>
        <w:t>Input is an AMRFinderPlus determinant profile, normalised into a canonical vocabulary — genes collapsed to family, mutations and truncations kept as separate features — by an LLM structured-output pass. Then gradient-boosted trees, isotonically calibrated, one per drug.</w:t>
      </w:r>
    </w:p>
    <w:p>
      <w:pPr>
        <w:spacing w:before="300" w:after="60"/>
        <w:shd w:val="clear" w:fill="F0F4F2"/>
      </w:pPr>
      <w:r>
        <w:rPr>
          <w:b/>
          <w:color w:val="059669"/>
          <w:sz w:val="22"/>
        </w:rPr>
        <w:t xml:space="preserve">  0:22–0:40   </w:t>
      </w:r>
      <w:r>
        <w:rPr>
          <w:b/>
          <w:color w:val="141618"/>
          <w:sz w:val="22"/>
        </w:rPr>
        <w:t xml:space="preserve">SLIDE 3 — Leakage control  </w:t>
      </w:r>
    </w:p>
    <w:p>
      <w:pPr>
        <w:spacing w:before="140" w:after="40"/>
        <w:ind w:left="288"/>
      </w:pPr>
      <w:r>
        <w:rPr>
          <w:b/>
          <w:color w:val="8B9297"/>
          <w:sz w:val="17"/>
        </w:rPr>
        <w:t>ON SCREEN</w:t>
      </w:r>
    </w:p>
    <w:p>
      <w:pPr>
        <w:spacing w:after="60" w:line="307" w:lineRule="auto"/>
        <w:ind w:left="288"/>
      </w:pPr>
      <w:r>
        <w:rPr>
          <w:color w:val="5B6166"/>
          <w:sz w:val="19"/>
        </w:rPr>
        <w:t>Two side-by-side comparisons, each a pair of large numbers. Left, grey panel: 0.914 random split vs 0.900 clone-aware. Right, red panel headed PROTEIN EMBEDDINGS — DROPPED: 0.955 naive cross-validation vs 0.451 family-aware, annotated “+0.504 of pure leakage”.</w:t>
      </w:r>
    </w:p>
    <w:p>
      <w:pPr>
        <w:spacing w:before="140" w:after="40"/>
        <w:ind w:left="288"/>
      </w:pPr>
      <w:r>
        <w:rPr>
          <w:b/>
          <w:color w:val="8B9297"/>
          <w:sz w:val="17"/>
        </w:rPr>
        <w:t>WHY THIS SLIDE</w:t>
      </w:r>
    </w:p>
    <w:p>
      <w:pPr>
        <w:spacing w:after="60" w:line="307" w:lineRule="auto"/>
        <w:ind w:left="288"/>
      </w:pPr>
      <w:r>
        <w:rPr>
          <w:color w:val="5B6166"/>
          <w:sz w:val="19"/>
        </w:rPr>
        <w:t>The strongest eighteen seconds in the video. Every team will show numbers that flatter them; almost none will show a number they killed. Let the red panel sit on screen — the contrast between 0.955 and 0.451 does the arguing for you.</w:t>
      </w:r>
    </w:p>
    <w:p>
      <w:pPr>
        <w:spacing w:before="140" w:after="40"/>
        <w:ind w:left="288"/>
      </w:pPr>
      <w:r>
        <w:rPr>
          <w:b/>
          <w:color w:val="059669"/>
          <w:sz w:val="17"/>
        </w:rPr>
        <w:t>SAY</w:t>
      </w:r>
    </w:p>
    <w:p>
      <w:pPr>
        <w:spacing w:after="80" w:line="336" w:lineRule="auto"/>
        <w:ind w:left="288"/>
      </w:pPr>
      <w:r>
        <w:rPr>
          <w:sz w:val="27"/>
        </w:rPr>
        <w:t>Evaluation is where the work went. A random split scores 0.914, but Klebsiella clones straddle it and inflate that number, so we group by genotype and quarantine 273 isolates up front. We also tested protein embeddings: naive cross-validation said 0.955, family-aware said 0.451. We dropped the claim.</w:t>
      </w:r>
    </w:p>
    <w:p>
      <w:pPr>
        <w:spacing w:before="300" w:after="60"/>
        <w:shd w:val="clear" w:fill="F0F4F2"/>
      </w:pPr>
      <w:r>
        <w:rPr>
          <w:b/>
          <w:color w:val="059669"/>
          <w:sz w:val="22"/>
        </w:rPr>
        <w:t xml:space="preserve">  0:40–0:53   </w:t>
      </w:r>
      <w:r>
        <w:rPr>
          <w:b/>
          <w:color w:val="141618"/>
          <w:sz w:val="22"/>
        </w:rPr>
        <w:t xml:space="preserve">SLIDE 4 — The firewall  </w:t>
      </w:r>
    </w:p>
    <w:p>
      <w:pPr>
        <w:spacing w:before="140" w:after="40"/>
        <w:ind w:left="288"/>
      </w:pPr>
      <w:r>
        <w:rPr>
          <w:b/>
          <w:color w:val="8B9297"/>
          <w:sz w:val="17"/>
        </w:rPr>
        <w:t>ON SCREEN</w:t>
      </w:r>
    </w:p>
    <w:p>
      <w:pPr>
        <w:spacing w:after="60" w:line="307" w:lineRule="auto"/>
        <w:ind w:left="288"/>
      </w:pPr>
      <w:r>
        <w:rPr>
          <w:color w:val="5B6166"/>
          <w:sz w:val="19"/>
        </w:rPr>
        <w:t>Four cards across the top — Confidence (asymmetric band 0.35–0.65), Novelty (unrecognised machinery blocks a susceptible call at any confidence), Completeness (sparse assembly), and Coherence in green (k=25 Jaccard neighbours). Below, a black bar: 0 / 12 → 12 / 12, with the note that gates 1–3 could not catch these because deleting a gene does not make a genome look unfamiliar, it makes it look ordinary.</w:t>
      </w:r>
    </w:p>
    <w:p>
      <w:pPr>
        <w:spacing w:before="140" w:after="40"/>
        <w:ind w:left="288"/>
      </w:pPr>
      <w:r>
        <w:rPr>
          <w:b/>
          <w:color w:val="8B9297"/>
          <w:sz w:val="17"/>
        </w:rPr>
        <w:t>WHY THIS SLIDE</w:t>
      </w:r>
    </w:p>
    <w:p>
      <w:pPr>
        <w:spacing w:after="60" w:line="307" w:lineRule="auto"/>
        <w:ind w:left="288"/>
      </w:pPr>
      <w:r>
        <w:rPr>
          <w:color w:val="5B6166"/>
          <w:sz w:val="19"/>
        </w:rPr>
        <w:t>The black bar is the single most memorable frame in the deck. Slow down for the last sentence and let the two numbers land separately.</w:t>
      </w:r>
    </w:p>
    <w:p>
      <w:pPr>
        <w:spacing w:before="140" w:after="40"/>
        <w:ind w:left="288"/>
      </w:pPr>
      <w:r>
        <w:rPr>
          <w:b/>
          <w:color w:val="059669"/>
          <w:sz w:val="17"/>
        </w:rPr>
        <w:t>SAY</w:t>
      </w:r>
    </w:p>
    <w:p>
      <w:pPr>
        <w:spacing w:after="80" w:line="336" w:lineRule="auto"/>
        <w:ind w:left="288"/>
      </w:pPr>
      <w:r>
        <w:rPr>
          <w:sz w:val="27"/>
        </w:rPr>
        <w:t>Four abstention gates. The critical one compares each prediction against its 25 nearest training isolates by Jaccard similarity. Delete a carbapenemase to mimic an unknown mechanism and the raw model says susceptible twelve out of twelve times. With the gate: all twelve caught.</w:t>
      </w:r>
    </w:p>
    <w:p>
      <w:pPr>
        <w:spacing w:before="300" w:after="60"/>
        <w:shd w:val="clear" w:fill="F0F4F2"/>
      </w:pPr>
      <w:r>
        <w:rPr>
          <w:b/>
          <w:color w:val="059669"/>
          <w:sz w:val="22"/>
        </w:rPr>
        <w:t xml:space="preserve">  0:53–1:00   </w:t>
      </w:r>
      <w:r>
        <w:rPr>
          <w:b/>
          <w:color w:val="141618"/>
          <w:sz w:val="22"/>
        </w:rPr>
        <w:t xml:space="preserve">SLIDE 5 — Results  </w:t>
      </w:r>
    </w:p>
    <w:p>
      <w:pPr>
        <w:spacing w:before="140" w:after="40"/>
        <w:ind w:left="288"/>
      </w:pPr>
      <w:r>
        <w:rPr>
          <w:b/>
          <w:color w:val="8B9297"/>
          <w:sz w:val="17"/>
        </w:rPr>
        <w:t>ON SCREEN</w:t>
      </w:r>
    </w:p>
    <w:p>
      <w:pPr>
        <w:spacing w:after="60" w:line="307" w:lineRule="auto"/>
        <w:ind w:left="288"/>
      </w:pPr>
      <w:r>
        <w:rPr>
          <w:color w:val="5B6166"/>
          <w:sz w:val="19"/>
        </w:rPr>
        <w:t>Six-row validation table: random 0.914 (greyed, marked optimistic), clone-aware 0.900, locked holdout 0.916 (highlighted green), external BV-BRC 0.826, temporal 0.798, geographic 0.903. Footer: model 0.869 / rule 0.825 / +0.044 / 14 wins · 6 ties · 1 loss, and on the right, S. aureus retrain 0.946.</w:t>
      </w:r>
    </w:p>
    <w:p>
      <w:pPr>
        <w:spacing w:before="140" w:after="40"/>
        <w:ind w:left="288"/>
      </w:pPr>
      <w:r>
        <w:rPr>
          <w:b/>
          <w:color w:val="8B9297"/>
          <w:sz w:val="17"/>
        </w:rPr>
        <w:t>WHY THIS SLIDE</w:t>
      </w:r>
    </w:p>
    <w:p>
      <w:pPr>
        <w:spacing w:after="60" w:line="307" w:lineRule="auto"/>
        <w:ind w:left="288"/>
      </w:pPr>
      <w:r>
        <w:rPr>
          <w:color w:val="5B6166"/>
          <w:sz w:val="19"/>
        </w:rPr>
        <w:t>Hold this slide through the end card. If a judge pauses the video anywhere, this is the frame you want them to pause on.</w:t>
      </w:r>
    </w:p>
    <w:p>
      <w:pPr>
        <w:spacing w:before="140" w:after="40"/>
        <w:ind w:left="288"/>
      </w:pPr>
      <w:r>
        <w:rPr>
          <w:b/>
          <w:color w:val="059669"/>
          <w:sz w:val="17"/>
        </w:rPr>
        <w:t>SAY</w:t>
      </w:r>
    </w:p>
    <w:p>
      <w:pPr>
        <w:spacing w:after="80" w:line="336" w:lineRule="auto"/>
        <w:ind w:left="288"/>
      </w:pPr>
      <w:r>
        <w:rPr>
          <w:sz w:val="27"/>
        </w:rPr>
        <w:t>Six validation tiers. It beats the clinical rule baseline on fourteen of twenty-one antibiotics.</w:t>
      </w:r>
    </w:p>
    <w:p>
      <w:pPr>
        <w:spacing w:after="40"/>
      </w:pPr>
      <w:r>
        <w:rPr>
          <w:b w:val="0"/>
          <w:i/>
          <w:color w:val="5B6166"/>
          <w:sz w:val="19"/>
        </w:rPr>
        <w:t>Total spoken: 166 words ≈ 66 seconds at 150 wpm. Brisk delivery lands it at 60.</w:t>
      </w:r>
    </w:p>
    <w:p>
      <w:r>
        <w:br w:type="page"/>
      </w:r>
    </w:p>
    <w:p>
      <w:pPr>
        <w:spacing w:before="0" w:after="100"/>
      </w:pPr>
      <w:r>
        <w:rPr>
          <w:b/>
          <w:color w:val="059669"/>
          <w:sz w:val="26"/>
        </w:rPr>
        <w:t>If a judge asks a follow-up</w:t>
      </w:r>
    </w:p>
    <w:p>
      <w:pPr>
        <w:spacing w:after="40"/>
      </w:pPr>
      <w:r>
        <w:rPr>
          <w:b/>
          <w:i w:val="0"/>
          <w:color w:val="059669"/>
          <w:sz w:val="20"/>
        </w:rPr>
        <w:t>Why gradient boosting and not a neural network?</w:t>
      </w:r>
    </w:p>
    <w:p>
      <w:pPr>
        <w:spacing w:after="160"/>
        <w:ind w:left="259"/>
      </w:pPr>
      <w:r>
        <w:rPr>
          <w:b w:val="0"/>
          <w:i w:val="0"/>
          <w:color w:val="141618"/>
          <w:sz w:val="20"/>
        </w:rPr>
        <w:t>1,863 isolates and a sparse binary feature space — trees win at this scale. Calibration and SHAP attribution matter more than raw capacity, because a clinician needs the evidence behind a call.</w:t>
      </w:r>
    </w:p>
    <w:p>
      <w:pPr>
        <w:spacing w:after="40"/>
      </w:pPr>
      <w:r>
        <w:rPr>
          <w:b/>
          <w:i w:val="0"/>
          <w:color w:val="059669"/>
          <w:sz w:val="20"/>
        </w:rPr>
        <w:t>Why does calibration matter here?</w:t>
      </w:r>
    </w:p>
    <w:p>
      <w:pPr>
        <w:spacing w:after="160"/>
        <w:ind w:left="259"/>
      </w:pPr>
      <w:r>
        <w:rPr>
          <w:b w:val="0"/>
          <w:i w:val="0"/>
          <w:color w:val="141618"/>
          <w:sz w:val="20"/>
        </w:rPr>
        <w:t>The abstention band is defined on probability. An uncalibrated score makes the threshold meaningless. Isotonic regression over 3-fold cross-validation.</w:t>
      </w:r>
    </w:p>
    <w:p>
      <w:pPr>
        <w:spacing w:after="40"/>
      </w:pPr>
      <w:r>
        <w:rPr>
          <w:b/>
          <w:i w:val="0"/>
          <w:color w:val="059669"/>
          <w:sz w:val="20"/>
        </w:rPr>
        <w:t>Does it work on other species?</w:t>
      </w:r>
    </w:p>
    <w:p>
      <w:pPr>
        <w:spacing w:after="160"/>
        <w:ind w:left="259"/>
      </w:pPr>
      <w:r>
        <w:rPr>
          <w:b w:val="0"/>
          <w:i w:val="0"/>
          <w:color w:val="141618"/>
          <w:sz w:val="20"/>
        </w:rPr>
        <w:t>Transferring a Klebsiella model fails — 0.768 against a species-agnostic rule at 0.874, so we do not ship it. Retraining the pipeline per organism does work: 0.946 on S. aureus, a Gram-positive whose resistance biology shares nothing with Klebsiella.</w:t>
      </w:r>
    </w:p>
    <w:p>
      <w:pPr>
        <w:spacing w:after="40"/>
      </w:pPr>
      <w:r>
        <w:rPr>
          <w:b/>
          <w:i w:val="0"/>
          <w:color w:val="059669"/>
          <w:sz w:val="20"/>
        </w:rPr>
        <w:t>What is your worst failure mode?</w:t>
      </w:r>
    </w:p>
    <w:p>
      <w:pPr>
        <w:spacing w:after="160"/>
        <w:ind w:left="259"/>
      </w:pPr>
      <w:r>
        <w:rPr>
          <w:b w:val="0"/>
          <w:i w:val="0"/>
          <w:color w:val="141618"/>
          <w:sz w:val="20"/>
        </w:rPr>
        <w:t>Mechanisms invisible to the feature space. Our 93-case adversarial benchmark has 7 lethal errors, 4 of them in that category. We report all 7 — the pass rate excludes those cases, the error count does not.</w:t>
      </w:r>
    </w:p>
    <w:p>
      <w:pPr>
        <w:spacing w:after="40"/>
      </w:pPr>
      <w:r>
        <w:rPr>
          <w:b/>
          <w:i w:val="0"/>
          <w:color w:val="059669"/>
          <w:sz w:val="20"/>
        </w:rPr>
        <w:t>Why should a hospital trust an abstention?</w:t>
      </w:r>
    </w:p>
    <w:p>
      <w:pPr>
        <w:spacing w:after="160"/>
        <w:ind w:left="259"/>
      </w:pPr>
      <w:r>
        <w:rPr>
          <w:b w:val="0"/>
          <w:i w:val="0"/>
          <w:color w:val="141618"/>
          <w:sz w:val="20"/>
        </w:rPr>
        <w:t>Because the alternative is a confident wrong answer. Deferring to culture returns the clinician to exactly where they would have been without us — 48 hours of empiric therapy. A false susceptible call puts them somewhere worse.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Helvetica Neue" w:hAnsi="Helvetica Neue"/>
      <w:color w:val="1416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