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16435" w14:textId="00D5C53B" w:rsidR="00E845EF" w:rsidRDefault="00A0631C" w:rsidP="003D7CE6">
      <w:pPr>
        <w:jc w:val="center"/>
        <w:rPr>
          <w:color w:val="000000"/>
          <w:sz w:val="28"/>
          <w:szCs w:val="28"/>
        </w:rPr>
      </w:pPr>
      <w:r w:rsidRPr="00A0631C">
        <w:rPr>
          <w:rFonts w:hint="eastAsia"/>
          <w:color w:val="000000"/>
          <w:sz w:val="28"/>
          <w:szCs w:val="28"/>
        </w:rPr>
        <w:t>平面</w:t>
      </w:r>
      <w:proofErr w:type="gramStart"/>
      <w:r w:rsidRPr="00A0631C">
        <w:rPr>
          <w:rFonts w:hint="eastAsia"/>
          <w:color w:val="000000"/>
          <w:sz w:val="28"/>
          <w:szCs w:val="28"/>
        </w:rPr>
        <w:t>交互中</w:t>
      </w:r>
      <w:proofErr w:type="gramEnd"/>
      <w:r w:rsidRPr="00A0631C">
        <w:rPr>
          <w:rFonts w:hint="eastAsia"/>
          <w:color w:val="000000"/>
          <w:sz w:val="28"/>
          <w:szCs w:val="28"/>
        </w:rPr>
        <w:t>健康人群含有意图行为的震颤特征</w:t>
      </w:r>
      <w:r w:rsidR="00E845EF" w:rsidRPr="003D7CE6">
        <w:rPr>
          <w:rFonts w:hint="eastAsia"/>
          <w:color w:val="000000"/>
          <w:sz w:val="28"/>
          <w:szCs w:val="28"/>
        </w:rPr>
        <w:t>实验分析</w:t>
      </w:r>
    </w:p>
    <w:p w14:paraId="2C176D8F" w14:textId="03C2E83B" w:rsidR="003D7CE6" w:rsidRPr="00663157" w:rsidRDefault="003D7CE6" w:rsidP="003D7CE6">
      <w:pPr>
        <w:jc w:val="center"/>
        <w:rPr>
          <w:rFonts w:hint="eastAsia"/>
        </w:rPr>
      </w:pPr>
      <w:r w:rsidRPr="00663157">
        <w:t>pilot study</w:t>
      </w:r>
    </w:p>
    <w:p w14:paraId="5398DF76" w14:textId="27F054C9" w:rsidR="00BC4F34" w:rsidRDefault="004B3CB6">
      <w:r>
        <w:rPr>
          <w:rFonts w:hint="eastAsia"/>
        </w:rPr>
        <w:t>目的：探究健康人含有不同意图的交互行为下震颤信号的特征</w:t>
      </w:r>
    </w:p>
    <w:p w14:paraId="33963ECB" w14:textId="1C1D01EE" w:rsidR="00CD4226" w:rsidRDefault="00CD4226"/>
    <w:p w14:paraId="1FDFD0BE" w14:textId="6DA383C8" w:rsidR="00E845EF" w:rsidRDefault="0006781D">
      <w:pPr>
        <w:rPr>
          <w:rFonts w:hint="eastAsia"/>
        </w:rPr>
      </w:pPr>
      <w:r>
        <w:rPr>
          <w:rFonts w:hint="eastAsia"/>
        </w:rPr>
        <w:t>实验用时</w:t>
      </w:r>
      <w:r w:rsidR="00C82963">
        <w:rPr>
          <w:rFonts w:hint="eastAsia"/>
        </w:rPr>
        <w:t>：总计</w:t>
      </w:r>
      <w:r w:rsidR="002C74D0">
        <w:rPr>
          <w:rFonts w:hint="eastAsia"/>
        </w:rPr>
        <w:t>90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>，其中正式实验</w:t>
      </w:r>
      <w:r w:rsidR="00372478">
        <w:rPr>
          <w:rFonts w:hint="eastAsia"/>
        </w:rPr>
        <w:t>49</w:t>
      </w:r>
      <w:r>
        <w:t>min</w:t>
      </w:r>
      <w:r w:rsidR="001B3A70">
        <w:rPr>
          <w:rFonts w:hint="eastAsia"/>
        </w:rPr>
        <w:t>，</w:t>
      </w:r>
      <w:r w:rsidR="002C74D0">
        <w:rPr>
          <w:rFonts w:hint="eastAsia"/>
        </w:rPr>
        <w:t>练习阶段2</w:t>
      </w:r>
      <w:r w:rsidR="0037769E">
        <w:rPr>
          <w:rFonts w:hint="eastAsia"/>
        </w:rPr>
        <w:t>3</w:t>
      </w:r>
      <w:r w:rsidR="002C74D0">
        <w:rPr>
          <w:rFonts w:hint="eastAsia"/>
        </w:rPr>
        <w:t>min</w:t>
      </w:r>
      <w:r w:rsidR="00EE0BCD">
        <w:rPr>
          <w:rFonts w:hint="eastAsia"/>
        </w:rPr>
        <w:t>，</w:t>
      </w:r>
      <w:proofErr w:type="gramStart"/>
      <w:r w:rsidR="00EE0BCD">
        <w:rPr>
          <w:rFonts w:hint="eastAsia"/>
        </w:rPr>
        <w:t>其余</w:t>
      </w:r>
      <w:r w:rsidR="00AE2E39">
        <w:rPr>
          <w:rFonts w:hint="eastAsia"/>
        </w:rPr>
        <w:t>用</w:t>
      </w:r>
      <w:proofErr w:type="gramEnd"/>
      <w:r w:rsidR="00AE2E39">
        <w:rPr>
          <w:rFonts w:hint="eastAsia"/>
        </w:rPr>
        <w:t>时</w:t>
      </w:r>
      <w:r w:rsidR="00BC3B28">
        <w:rPr>
          <w:rFonts w:hint="eastAsia"/>
        </w:rPr>
        <w:t>15分钟</w:t>
      </w:r>
      <w:r w:rsidR="009A425F">
        <w:rPr>
          <w:rFonts w:hint="eastAsia"/>
        </w:rPr>
        <w:t>。</w:t>
      </w:r>
    </w:p>
    <w:p w14:paraId="0C9BE17F" w14:textId="77777777" w:rsidR="00E845EF" w:rsidRDefault="00E845EF">
      <w:pPr>
        <w:rPr>
          <w:rFonts w:hint="eastAsia"/>
        </w:rPr>
      </w:pPr>
    </w:p>
    <w:p w14:paraId="1188F130" w14:textId="4A4B06FF" w:rsidR="00CD4226" w:rsidRDefault="00CD4226">
      <w:r>
        <w:rPr>
          <w:rFonts w:hint="eastAsia"/>
        </w:rPr>
        <w:t>数据分析：</w:t>
      </w:r>
    </w:p>
    <w:p w14:paraId="3B584D9D" w14:textId="278A243C" w:rsidR="008E4397" w:rsidRDefault="008E4397">
      <w:r>
        <w:tab/>
      </w:r>
      <w:r>
        <w:rPr>
          <w:rFonts w:hint="eastAsia"/>
        </w:rPr>
        <w:t>首先</w:t>
      </w:r>
      <w:r w:rsidR="00A1736A">
        <w:rPr>
          <w:rFonts w:hint="eastAsia"/>
        </w:rPr>
        <w:t>利用</w:t>
      </w:r>
      <w:r w:rsidR="00A1736A" w:rsidRPr="00DD66C4">
        <w:t>巴特沃斯</w:t>
      </w:r>
      <w:r w:rsidR="00A1736A">
        <w:rPr>
          <w:rFonts w:hint="eastAsia"/>
        </w:rPr>
        <w:t>滤波</w:t>
      </w:r>
      <w:r w:rsidR="002D5F93">
        <w:rPr>
          <w:rFonts w:hint="eastAsia"/>
        </w:rPr>
        <w:t>方法</w:t>
      </w:r>
      <w:r w:rsidR="00F13342">
        <w:rPr>
          <w:rFonts w:hint="eastAsia"/>
        </w:rPr>
        <w:t>进行</w:t>
      </w:r>
      <w:r>
        <w:rPr>
          <w:rFonts w:hint="eastAsia"/>
        </w:rPr>
        <w:t>震颤信号的提取，</w:t>
      </w:r>
      <w:r w:rsidR="004207A0">
        <w:rPr>
          <w:rFonts w:hint="eastAsia"/>
        </w:rPr>
        <w:t>再</w:t>
      </w:r>
      <w:r>
        <w:rPr>
          <w:rFonts w:hint="eastAsia"/>
        </w:rPr>
        <w:t>根据不同震颤类别分别计算出不同</w:t>
      </w:r>
      <w:r w:rsidR="00434891">
        <w:rPr>
          <w:rFonts w:hint="eastAsia"/>
        </w:rPr>
        <w:t>对应</w:t>
      </w:r>
      <w:r>
        <w:rPr>
          <w:rFonts w:hint="eastAsia"/>
        </w:rPr>
        <w:t>的</w:t>
      </w:r>
      <w:r w:rsidR="00407EEB">
        <w:rPr>
          <w:rFonts w:hint="eastAsia"/>
        </w:rPr>
        <w:t>功率谱密度</w:t>
      </w:r>
      <w:r w:rsidR="00F37340">
        <w:rPr>
          <w:rFonts w:hint="eastAsia"/>
        </w:rPr>
        <w:t>和</w:t>
      </w:r>
      <w:r w:rsidR="009831B9">
        <w:rPr>
          <w:rFonts w:hint="eastAsia"/>
        </w:rPr>
        <w:t>对应</w:t>
      </w:r>
      <w:r w:rsidRPr="00857A7F">
        <w:rPr>
          <w:rFonts w:hint="eastAsia"/>
        </w:rPr>
        <w:t>主频率</w:t>
      </w:r>
      <w:r w:rsidR="001422FD">
        <w:rPr>
          <w:rFonts w:hint="eastAsia"/>
        </w:rPr>
        <w:t>，</w:t>
      </w:r>
      <w:r w:rsidR="002C1A12">
        <w:rPr>
          <w:rFonts w:hint="eastAsia"/>
        </w:rPr>
        <w:t>分析</w:t>
      </w:r>
      <w:r w:rsidR="003123AA">
        <w:rPr>
          <w:rFonts w:hint="eastAsia"/>
        </w:rPr>
        <w:t>不同行为下功率谱密度的分布</w:t>
      </w:r>
      <w:r w:rsidR="0047065D">
        <w:rPr>
          <w:rFonts w:hint="eastAsia"/>
        </w:rPr>
        <w:t>，</w:t>
      </w:r>
      <w:r w:rsidR="00467E6C">
        <w:rPr>
          <w:rFonts w:hint="eastAsia"/>
        </w:rPr>
        <w:t>将其</w:t>
      </w:r>
      <w:r w:rsidR="00FA6309">
        <w:rPr>
          <w:rFonts w:hint="eastAsia"/>
        </w:rPr>
        <w:t>作为</w:t>
      </w:r>
      <w:r w:rsidR="005E4BBA">
        <w:rPr>
          <w:rFonts w:hint="eastAsia"/>
        </w:rPr>
        <w:t>该</w:t>
      </w:r>
      <w:r w:rsidR="0047065D">
        <w:rPr>
          <w:rFonts w:hint="eastAsia"/>
        </w:rPr>
        <w:t>行为的颤抖</w:t>
      </w:r>
      <w:r w:rsidR="009250AD">
        <w:rPr>
          <w:rFonts w:hint="eastAsia"/>
        </w:rPr>
        <w:t>分布特征</w:t>
      </w:r>
      <w:r w:rsidR="004F4493">
        <w:rPr>
          <w:rFonts w:hint="eastAsia"/>
        </w:rPr>
        <w:t>，</w:t>
      </w:r>
      <w:r w:rsidR="00D4639A">
        <w:rPr>
          <w:rFonts w:hint="eastAsia"/>
        </w:rPr>
        <w:t>构建</w:t>
      </w:r>
      <w:r w:rsidR="00947DBD">
        <w:rPr>
          <w:rFonts w:hint="eastAsia"/>
        </w:rPr>
        <w:t>时域频域特征，</w:t>
      </w:r>
      <w:r w:rsidR="00D4639A">
        <w:rPr>
          <w:rFonts w:hint="eastAsia"/>
        </w:rPr>
        <w:t>使用不同分类器进行分类</w:t>
      </w:r>
      <w:r w:rsidR="00D5652F">
        <w:rPr>
          <w:rFonts w:hint="eastAsia"/>
        </w:rPr>
        <w:t>。</w:t>
      </w:r>
    </w:p>
    <w:p w14:paraId="75839E2C" w14:textId="77777777" w:rsidR="00E07091" w:rsidRDefault="00E07091">
      <w:pPr>
        <w:rPr>
          <w:rFonts w:hint="eastAsia"/>
        </w:rPr>
      </w:pPr>
    </w:p>
    <w:p w14:paraId="4F71872D" w14:textId="58370C17" w:rsidR="00EE4FDE" w:rsidRDefault="00E07158" w:rsidP="003123AA">
      <w:r>
        <w:rPr>
          <w:rFonts w:hint="eastAsia"/>
        </w:rPr>
        <w:t>提取震颤信号</w:t>
      </w:r>
      <w:r w:rsidR="00DD66C4">
        <w:rPr>
          <w:rFonts w:hint="eastAsia"/>
        </w:rPr>
        <w:t>：</w:t>
      </w:r>
    </w:p>
    <w:p w14:paraId="32944986" w14:textId="32349C02" w:rsidR="00B15737" w:rsidRDefault="00D7645A" w:rsidP="00EE4FDE">
      <w:pPr>
        <w:ind w:firstLine="420"/>
      </w:pPr>
      <w:r w:rsidRPr="00D7645A">
        <w:rPr>
          <w:rFonts w:hint="eastAsia"/>
        </w:rPr>
        <w:t>根据研究发现静止性震颤信号频带在</w:t>
      </w:r>
      <w:r w:rsidRPr="00D7645A">
        <w:t>4 Hz～6 Hz之间，动作性震颤信号频带在</w:t>
      </w:r>
      <w:r>
        <w:rPr>
          <w:rFonts w:hint="eastAsia"/>
        </w:rPr>
        <w:t>4</w:t>
      </w:r>
      <w:r w:rsidRPr="00D7645A">
        <w:t xml:space="preserve"> Hz～12 Hz之间</w:t>
      </w:r>
      <w:r>
        <w:rPr>
          <w:rFonts w:hint="eastAsia"/>
        </w:rPr>
        <w:t>。</w:t>
      </w:r>
      <w:r w:rsidR="00DD66C4" w:rsidRPr="00DD66C4">
        <w:rPr>
          <w:rFonts w:hint="eastAsia"/>
        </w:rPr>
        <w:t>陀螺仪数据使用</w:t>
      </w:r>
      <w:r w:rsidR="00DD66C4" w:rsidRPr="00DD66C4">
        <w:t>10阶巴特沃斯高通滤波器(</w:t>
      </w:r>
      <w:r w:rsidR="000D5113">
        <w:rPr>
          <w:rFonts w:hint="eastAsia"/>
        </w:rPr>
        <w:t>f</w:t>
      </w:r>
      <w:r w:rsidR="000D5113" w:rsidRPr="000D5113">
        <w:rPr>
          <w:vertAlign w:val="subscript"/>
        </w:rPr>
        <w:t>1</w:t>
      </w:r>
      <w:r w:rsidR="00DD66C4" w:rsidRPr="00DD66C4">
        <w:t xml:space="preserve"> &gt; 4 Hz)进行带通滤波</w:t>
      </w:r>
      <w:r w:rsidR="003C32AC">
        <w:rPr>
          <w:rFonts w:hint="eastAsia"/>
        </w:rPr>
        <w:t>，</w:t>
      </w:r>
      <w:r w:rsidR="00E46C68">
        <w:rPr>
          <w:rFonts w:hint="eastAsia"/>
        </w:rPr>
        <w:t>用于消除手部动作的低频信号</w:t>
      </w:r>
      <w:r w:rsidR="00DD66C4" w:rsidRPr="00DD66C4">
        <w:t>，</w:t>
      </w:r>
      <w:r w:rsidR="00195C15">
        <w:rPr>
          <w:rFonts w:hint="eastAsia"/>
        </w:rPr>
        <w:t>再用</w:t>
      </w:r>
      <w:r w:rsidR="00DD66C4" w:rsidRPr="00DD66C4">
        <w:t>10阶巴特沃斯低通滤波器(</w:t>
      </w:r>
      <w:r w:rsidR="000D5113">
        <w:t>f</w:t>
      </w:r>
      <w:r w:rsidR="000D5113" w:rsidRPr="000D5113">
        <w:rPr>
          <w:vertAlign w:val="subscript"/>
        </w:rPr>
        <w:t>2</w:t>
      </w:r>
      <w:r w:rsidR="00DD66C4" w:rsidRPr="00DD66C4">
        <w:t xml:space="preserve"> &lt; </w:t>
      </w:r>
      <w:r w:rsidR="00A94A7F">
        <w:t>12</w:t>
      </w:r>
      <w:r w:rsidR="00DD66C4" w:rsidRPr="00DD66C4">
        <w:t xml:space="preserve"> Hz)</w:t>
      </w:r>
      <w:r w:rsidR="00152908">
        <w:rPr>
          <w:rFonts w:hint="eastAsia"/>
        </w:rPr>
        <w:t>将</w:t>
      </w:r>
      <w:r w:rsidR="008E1D4C">
        <w:rPr>
          <w:rFonts w:hint="eastAsia"/>
        </w:rPr>
        <w:t>高频噪声过滤掉</w:t>
      </w:r>
      <w:r w:rsidR="00224A2F">
        <w:rPr>
          <w:rFonts w:hint="eastAsia"/>
        </w:rPr>
        <w:t>，保留</w:t>
      </w:r>
      <w:r w:rsidR="005330BB">
        <w:rPr>
          <w:rFonts w:hint="eastAsia"/>
        </w:rPr>
        <w:t>静止性</w:t>
      </w:r>
      <w:r w:rsidR="00224A2F">
        <w:rPr>
          <w:rFonts w:hint="eastAsia"/>
        </w:rPr>
        <w:t>震颤信号(</w:t>
      </w:r>
      <w:r w:rsidR="00224A2F">
        <w:t>4</w:t>
      </w:r>
      <w:r w:rsidR="00224A2F">
        <w:rPr>
          <w:rFonts w:hint="eastAsia"/>
        </w:rPr>
        <w:t>h</w:t>
      </w:r>
      <w:r w:rsidR="00C10A60">
        <w:t>z</w:t>
      </w:r>
      <w:r w:rsidR="00224A2F">
        <w:t>-6hz)</w:t>
      </w:r>
      <w:r w:rsidR="00224A2F">
        <w:rPr>
          <w:rFonts w:hint="eastAsia"/>
        </w:rPr>
        <w:t>与</w:t>
      </w:r>
      <w:r w:rsidR="00A94A7F">
        <w:rPr>
          <w:rFonts w:hint="eastAsia"/>
        </w:rPr>
        <w:t>动作性震颤信号</w:t>
      </w:r>
      <w:r w:rsidR="00A94A7F">
        <w:t>(</w:t>
      </w:r>
      <w:r w:rsidR="007F75AD">
        <w:t>Sig</w:t>
      </w:r>
      <w:r w:rsidR="0046632B">
        <w:t>&lt;12hz</w:t>
      </w:r>
      <w:r w:rsidR="00A94A7F">
        <w:t>)</w:t>
      </w:r>
      <w:r w:rsidR="00C603EA">
        <w:rPr>
          <w:rFonts w:hint="eastAsia"/>
        </w:rPr>
        <w:t>，</w:t>
      </w:r>
      <w:r w:rsidR="00E61C53">
        <w:rPr>
          <w:rFonts w:hint="eastAsia"/>
        </w:rPr>
        <w:t>滤波前后如图1所示</w:t>
      </w:r>
      <w:r w:rsidR="0041638D">
        <w:rPr>
          <w:rFonts w:hint="eastAsia"/>
        </w:rPr>
        <w:t>。</w:t>
      </w:r>
    </w:p>
    <w:p w14:paraId="2EF02DEF" w14:textId="133766E0" w:rsidR="004656F2" w:rsidRDefault="005330BB" w:rsidP="004656F2">
      <w:pPr>
        <w:ind w:firstLine="420"/>
        <w:jc w:val="center"/>
      </w:pPr>
      <w:r>
        <w:rPr>
          <w:noProof/>
        </w:rPr>
        <w:drawing>
          <wp:inline distT="0" distB="0" distL="0" distR="0" wp14:anchorId="7CC497C3" wp14:editId="27F593E4">
            <wp:extent cx="2653443" cy="219721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8645" cy="220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5912" w14:textId="55CFF67B" w:rsidR="005330BB" w:rsidRDefault="005330BB" w:rsidP="005330BB">
      <w:pPr>
        <w:ind w:firstLine="420"/>
        <w:jc w:val="center"/>
        <w:rPr>
          <w:rFonts w:hint="eastAsia"/>
        </w:rPr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提取</w:t>
      </w:r>
      <w:proofErr w:type="gramStart"/>
      <w:r w:rsidR="00CD181F">
        <w:rPr>
          <w:rFonts w:hint="eastAsia"/>
        </w:rPr>
        <w:t>震颤</w:t>
      </w:r>
      <w:r w:rsidR="00FC7CFF">
        <w:rPr>
          <w:rFonts w:hint="eastAsia"/>
        </w:rPr>
        <w:t>震颤</w:t>
      </w:r>
      <w:proofErr w:type="gramEnd"/>
      <w:r w:rsidR="00FC7CFF">
        <w:rPr>
          <w:rFonts w:hint="eastAsia"/>
        </w:rPr>
        <w:t>信号</w:t>
      </w:r>
      <w:r w:rsidR="005A67E5">
        <w:rPr>
          <w:rFonts w:hint="eastAsia"/>
        </w:rPr>
        <w:t>前后图</w:t>
      </w:r>
    </w:p>
    <w:p w14:paraId="383D9F77" w14:textId="38D22DDC" w:rsidR="00B01610" w:rsidRDefault="00B01610" w:rsidP="00B01610">
      <w:pPr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功率谱密度</w:t>
      </w:r>
      <w:r>
        <w:rPr>
          <w:rFonts w:hint="eastAsia"/>
        </w:rPr>
        <w:t>和</w:t>
      </w:r>
      <w:r w:rsidR="00F6779D" w:rsidRPr="00857A7F">
        <w:rPr>
          <w:rFonts w:hint="eastAsia"/>
        </w:rPr>
        <w:t>主频率</w:t>
      </w:r>
      <w:r w:rsidR="00FE39CD">
        <w:rPr>
          <w:rFonts w:hint="eastAsia"/>
        </w:rPr>
        <w:t>：</w:t>
      </w:r>
    </w:p>
    <w:p w14:paraId="1424A58A" w14:textId="057DE8E6" w:rsidR="00E532F9" w:rsidRDefault="00B16320" w:rsidP="00B01610">
      <w:pPr>
        <w:ind w:firstLine="420"/>
      </w:pPr>
      <w:r>
        <w:rPr>
          <w:rFonts w:hint="eastAsia"/>
        </w:rPr>
        <w:t>通过</w:t>
      </w:r>
      <w:r w:rsidRPr="00B16320">
        <w:rPr>
          <w:rFonts w:hint="eastAsia"/>
        </w:rPr>
        <w:t>离散傅里叶变换</w:t>
      </w:r>
      <w:r>
        <w:rPr>
          <w:rFonts w:hint="eastAsia"/>
        </w:rPr>
        <w:t>，</w:t>
      </w:r>
      <w:r w:rsidR="00705A58">
        <w:rPr>
          <w:rFonts w:hint="eastAsia"/>
        </w:rPr>
        <w:t>计算功率谱密度</w:t>
      </w:r>
      <w:r w:rsidR="003206A9">
        <w:rPr>
          <w:rFonts w:hint="eastAsia"/>
        </w:rPr>
        <w:t>(</w:t>
      </w:r>
      <w:r w:rsidR="00877058" w:rsidRPr="00877058">
        <w:t xml:space="preserve">power spectral density </w:t>
      </w:r>
      <w:r w:rsidR="003206A9">
        <w:t>,</w:t>
      </w:r>
      <w:r w:rsidR="00877058" w:rsidRPr="00877058">
        <w:t>PSD)</w:t>
      </w:r>
      <w:r w:rsidR="00705A58">
        <w:rPr>
          <w:rFonts w:hint="eastAsia"/>
        </w:rPr>
        <w:t>，</w:t>
      </w:r>
      <w:r w:rsidR="00877058">
        <w:rPr>
          <w:rFonts w:hint="eastAsia"/>
        </w:rPr>
        <w:t>得到</w:t>
      </w:r>
      <w:r w:rsidR="00964DAF">
        <w:rPr>
          <w:rFonts w:hint="eastAsia"/>
        </w:rPr>
        <w:t>此次运动在频率上的分布</w:t>
      </w:r>
      <w:r w:rsidR="00FF1F04">
        <w:rPr>
          <w:rFonts w:hint="eastAsia"/>
        </w:rPr>
        <w:t>，</w:t>
      </w:r>
      <w:r w:rsidR="008C0125">
        <w:rPr>
          <w:rFonts w:hint="eastAsia"/>
        </w:rPr>
        <w:t>统计</w:t>
      </w:r>
      <w:r w:rsidR="005330BB">
        <w:rPr>
          <w:rFonts w:hint="eastAsia"/>
        </w:rPr>
        <w:t>静止性</w:t>
      </w:r>
      <w:r w:rsidR="008C0125" w:rsidRPr="00B15737">
        <w:rPr>
          <w:rFonts w:hint="eastAsia"/>
        </w:rPr>
        <w:t>震颤信号</w:t>
      </w:r>
      <w:r w:rsidR="008C0125">
        <w:rPr>
          <w:rFonts w:hint="eastAsia"/>
        </w:rPr>
        <w:t>（4Hz-6Hz）</w:t>
      </w:r>
      <w:r w:rsidR="00E96351">
        <w:rPr>
          <w:rFonts w:hint="eastAsia"/>
        </w:rPr>
        <w:t>和运动</w:t>
      </w:r>
      <w:r w:rsidR="00E96351" w:rsidRPr="00B15737">
        <w:t>性震颤信号</w:t>
      </w:r>
      <w:r w:rsidR="004862EF">
        <w:rPr>
          <w:rFonts w:hint="eastAsia"/>
        </w:rPr>
        <w:t>（</w:t>
      </w:r>
      <w:r w:rsidR="007D70FF">
        <w:rPr>
          <w:rFonts w:hint="eastAsia"/>
        </w:rPr>
        <w:t>4</w:t>
      </w:r>
      <w:r w:rsidR="004862EF">
        <w:rPr>
          <w:rFonts w:hint="eastAsia"/>
        </w:rPr>
        <w:t>-12hz）</w:t>
      </w:r>
      <w:r w:rsidR="000500ED">
        <w:rPr>
          <w:rFonts w:hint="eastAsia"/>
        </w:rPr>
        <w:t>的</w:t>
      </w:r>
      <w:r w:rsidR="00E13C4B">
        <w:rPr>
          <w:rFonts w:hint="eastAsia"/>
        </w:rPr>
        <w:t>功率谱</w:t>
      </w:r>
      <w:r w:rsidR="000500ED">
        <w:rPr>
          <w:rFonts w:hint="eastAsia"/>
        </w:rPr>
        <w:t>密度值</w:t>
      </w:r>
      <w:r w:rsidR="00014678">
        <w:rPr>
          <w:rFonts w:hint="eastAsia"/>
        </w:rPr>
        <w:t>作为</w:t>
      </w:r>
      <w:r w:rsidR="00014678">
        <w:rPr>
          <w:rFonts w:hint="eastAsia"/>
        </w:rPr>
        <w:t>震颤强度</w:t>
      </w:r>
      <w:r w:rsidR="003123AA">
        <w:rPr>
          <w:rFonts w:hint="eastAsia"/>
        </w:rPr>
        <w:t>，</w:t>
      </w:r>
      <w:r w:rsidR="00B01610">
        <w:rPr>
          <w:rFonts w:hint="eastAsia"/>
        </w:rPr>
        <w:t>功率谱密度值</w:t>
      </w:r>
      <w:r w:rsidR="00D07FEC">
        <w:rPr>
          <w:rFonts w:hint="eastAsia"/>
        </w:rPr>
        <w:t>如</w:t>
      </w:r>
      <w:r w:rsidR="00495FCE">
        <w:rPr>
          <w:rFonts w:hint="eastAsia"/>
        </w:rPr>
        <w:t>图</w:t>
      </w:r>
      <w:r w:rsidR="0044281B">
        <w:rPr>
          <w:rFonts w:hint="eastAsia"/>
        </w:rPr>
        <w:t>2</w:t>
      </w:r>
      <w:r w:rsidR="00D07FEC">
        <w:rPr>
          <w:rFonts w:hint="eastAsia"/>
        </w:rPr>
        <w:t>所示：</w:t>
      </w:r>
    </w:p>
    <w:p w14:paraId="09D6A8A9" w14:textId="24CFC4ED" w:rsidR="00A36CE4" w:rsidRDefault="002742D5" w:rsidP="00A36CE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863318" wp14:editId="092E5FD7">
            <wp:extent cx="2349500" cy="1901977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040" cy="191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B74C27" wp14:editId="44E0F8B4">
            <wp:extent cx="2311400" cy="1896533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6214" cy="190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B51A" w14:textId="276D73B3" w:rsidR="001B74D4" w:rsidRDefault="001833D9" w:rsidP="00FF3E0A">
      <w:pPr>
        <w:pStyle w:val="a8"/>
        <w:numPr>
          <w:ilvl w:val="0"/>
          <w:numId w:val="2"/>
        </w:numPr>
        <w:ind w:firstLineChars="0"/>
        <w:jc w:val="center"/>
        <w:rPr>
          <w:rFonts w:hint="eastAsia"/>
        </w:rPr>
      </w:pPr>
      <w:r>
        <w:rPr>
          <w:rFonts w:hint="eastAsia"/>
        </w:rPr>
        <w:lastRenderedPageBreak/>
        <w:t>静止</w:t>
      </w:r>
      <w:r w:rsidR="00591701" w:rsidRPr="00B15737">
        <w:rPr>
          <w:rFonts w:hint="eastAsia"/>
        </w:rPr>
        <w:t>性震颤信号</w:t>
      </w:r>
      <w:r w:rsidR="00591701">
        <w:rPr>
          <w:rFonts w:hint="eastAsia"/>
        </w:rPr>
        <w:t>（4Hz-6Hz）</w:t>
      </w:r>
      <w:r w:rsidR="00591701">
        <w:rPr>
          <w:rFonts w:hint="eastAsia"/>
        </w:rPr>
        <w:t xml:space="preserve"> b</w:t>
      </w:r>
      <w:r w:rsidR="00591701">
        <w:t>)</w:t>
      </w:r>
      <w:r w:rsidR="00591701" w:rsidRPr="00591701">
        <w:rPr>
          <w:rFonts w:hint="eastAsia"/>
        </w:rPr>
        <w:t xml:space="preserve"> </w:t>
      </w:r>
      <w:r w:rsidR="00591701">
        <w:rPr>
          <w:rFonts w:hint="eastAsia"/>
        </w:rPr>
        <w:t>运动</w:t>
      </w:r>
      <w:r w:rsidR="00591701" w:rsidRPr="00B15737">
        <w:t>性震颤信号</w:t>
      </w:r>
      <w:r w:rsidR="00591701">
        <w:rPr>
          <w:rFonts w:hint="eastAsia"/>
        </w:rPr>
        <w:t>（</w:t>
      </w:r>
      <w:r w:rsidR="00975B61">
        <w:rPr>
          <w:rFonts w:hint="eastAsia"/>
        </w:rPr>
        <w:t>4</w:t>
      </w:r>
      <w:r w:rsidR="00591701">
        <w:rPr>
          <w:rFonts w:hint="eastAsia"/>
        </w:rPr>
        <w:t>-12hz）</w:t>
      </w:r>
    </w:p>
    <w:p w14:paraId="6DD83860" w14:textId="1D2AFCEC" w:rsidR="001B74D4" w:rsidRDefault="006E17F6" w:rsidP="006E17F6">
      <w:pPr>
        <w:jc w:val="center"/>
        <w:rPr>
          <w:rFonts w:hint="eastAsia"/>
        </w:rPr>
      </w:pPr>
      <w:r>
        <w:rPr>
          <w:rFonts w:hint="eastAsia"/>
        </w:rPr>
        <w:t>图</w:t>
      </w:r>
      <w:r w:rsidR="0044281B">
        <w:rPr>
          <w:rFonts w:hint="eastAsia"/>
        </w:rPr>
        <w:t>2</w:t>
      </w:r>
      <w:r>
        <w:t xml:space="preserve">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同轴下</w:t>
      </w:r>
      <w:r>
        <w:rPr>
          <w:rFonts w:hint="eastAsia"/>
        </w:rPr>
        <w:t>静止</w:t>
      </w:r>
      <w:r w:rsidRPr="00B15737">
        <w:rPr>
          <w:rFonts w:hint="eastAsia"/>
        </w:rPr>
        <w:t>性</w:t>
      </w:r>
      <w:r>
        <w:rPr>
          <w:rFonts w:hint="eastAsia"/>
        </w:rPr>
        <w:t>和</w:t>
      </w:r>
      <w:r>
        <w:rPr>
          <w:rFonts w:hint="eastAsia"/>
        </w:rPr>
        <w:t>运动</w:t>
      </w:r>
      <w:r w:rsidRPr="00B15737">
        <w:t>性</w:t>
      </w:r>
      <w:r w:rsidRPr="00B15737">
        <w:rPr>
          <w:rFonts w:hint="eastAsia"/>
        </w:rPr>
        <w:t>震颤信号</w:t>
      </w:r>
      <w:r w:rsidR="00E13C4B">
        <w:rPr>
          <w:rFonts w:hint="eastAsia"/>
        </w:rPr>
        <w:t>功率谱密度值</w:t>
      </w:r>
    </w:p>
    <w:p w14:paraId="10BBE43C" w14:textId="7F6B6303" w:rsidR="005E2988" w:rsidRDefault="00E532F9" w:rsidP="00E532F9">
      <w:pPr>
        <w:ind w:firstLine="420"/>
        <w:rPr>
          <w:rFonts w:hint="eastAsia"/>
        </w:rPr>
      </w:pPr>
      <w:r>
        <w:rPr>
          <w:rFonts w:hint="eastAsia"/>
        </w:rPr>
        <w:t>通过</w:t>
      </w:r>
      <w:r w:rsidRPr="00E532F9">
        <w:rPr>
          <w:rFonts w:hint="eastAsia"/>
        </w:rPr>
        <w:t>短时傅里叶变换</w:t>
      </w:r>
      <w:r>
        <w:rPr>
          <w:rFonts w:hint="eastAsia"/>
        </w:rPr>
        <w:t>的</w:t>
      </w:r>
      <w:r w:rsidRPr="00E532F9">
        <w:rPr>
          <w:rFonts w:hint="eastAsia"/>
        </w:rPr>
        <w:t>时频分析方法</w:t>
      </w:r>
      <w:r>
        <w:rPr>
          <w:rFonts w:hint="eastAsia"/>
        </w:rPr>
        <w:t>计算</w:t>
      </w:r>
      <w:r w:rsidR="00857A7F" w:rsidRPr="00857A7F">
        <w:rPr>
          <w:rFonts w:hint="eastAsia"/>
        </w:rPr>
        <w:t>主频率（</w:t>
      </w:r>
      <w:r w:rsidR="00857A7F" w:rsidRPr="00857A7F">
        <w:t>Dominant Frequency of Tremor，FT）</w:t>
      </w:r>
      <w:r w:rsidR="003C4E32">
        <w:rPr>
          <w:rFonts w:hint="eastAsia"/>
        </w:rPr>
        <w:t>，</w:t>
      </w:r>
      <w:r w:rsidR="003C4E32" w:rsidRPr="003C4E32">
        <w:rPr>
          <w:rFonts w:hint="eastAsia"/>
        </w:rPr>
        <w:t>颤抖的主频率</w:t>
      </w:r>
      <w:r w:rsidR="003C4E32" w:rsidRPr="003C4E32">
        <w:t>是指在震颤信号中占主导地位的频率。在震颤分析中，这个主频率可以提供关于震颤的频率特性的重要信息。通常，颤抖的主频率对于了解震颤类型、程度以及</w:t>
      </w:r>
      <w:r w:rsidR="000C1ABF">
        <w:rPr>
          <w:rFonts w:hint="eastAsia"/>
        </w:rPr>
        <w:t>当前</w:t>
      </w:r>
      <w:r w:rsidR="003C4E32" w:rsidRPr="003C4E32">
        <w:t>状态都具有重要意义。</w:t>
      </w:r>
    </w:p>
    <w:p w14:paraId="4F61E890" w14:textId="22FC0160" w:rsidR="007D60FB" w:rsidRDefault="00A92349">
      <w:r>
        <w:tab/>
      </w:r>
      <w:r w:rsidR="00955D8E">
        <w:rPr>
          <w:rFonts w:hint="eastAsia"/>
        </w:rPr>
        <w:t>提取该频率范围内信号的特征</w:t>
      </w:r>
      <w:r w:rsidR="00BC031A">
        <w:rPr>
          <w:rFonts w:hint="eastAsia"/>
        </w:rPr>
        <w:t>，见表1</w:t>
      </w:r>
      <w:r w:rsidR="00C924F3">
        <w:rPr>
          <w:rFonts w:hint="eastAsia"/>
        </w:rPr>
        <w:t>。</w:t>
      </w:r>
    </w:p>
    <w:p w14:paraId="1D788930" w14:textId="68D16350" w:rsidR="00B22D2D" w:rsidRDefault="004B69D3" w:rsidP="00D65169">
      <w:pPr>
        <w:jc w:val="center"/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  <w:color w:val="000000"/>
          <w:szCs w:val="21"/>
        </w:rPr>
        <w:t>构建特征集合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9"/>
        <w:gridCol w:w="4019"/>
      </w:tblGrid>
      <w:tr w:rsidR="00B5685D" w14:paraId="78660694" w14:textId="77777777" w:rsidTr="008C426A">
        <w:trPr>
          <w:trHeight w:val="432"/>
        </w:trPr>
        <w:tc>
          <w:tcPr>
            <w:tcW w:w="4019" w:type="dxa"/>
            <w:tcBorders>
              <w:bottom w:val="single" w:sz="4" w:space="0" w:color="auto"/>
            </w:tcBorders>
            <w:vAlign w:val="center"/>
          </w:tcPr>
          <w:p w14:paraId="7B4CD5BD" w14:textId="54F29986" w:rsidR="00B5685D" w:rsidRDefault="002408A4" w:rsidP="00B568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特征类别</w:t>
            </w:r>
          </w:p>
        </w:tc>
        <w:tc>
          <w:tcPr>
            <w:tcW w:w="4019" w:type="dxa"/>
            <w:tcBorders>
              <w:bottom w:val="single" w:sz="4" w:space="0" w:color="auto"/>
            </w:tcBorders>
            <w:vAlign w:val="center"/>
          </w:tcPr>
          <w:p w14:paraId="4DB0BF7A" w14:textId="186A6F99" w:rsidR="00B5685D" w:rsidRDefault="002408A4" w:rsidP="00B568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特征</w:t>
            </w:r>
          </w:p>
        </w:tc>
      </w:tr>
      <w:tr w:rsidR="008C426A" w14:paraId="2E79F34A" w14:textId="77777777" w:rsidTr="008C426A">
        <w:trPr>
          <w:trHeight w:val="444"/>
        </w:trPr>
        <w:tc>
          <w:tcPr>
            <w:tcW w:w="4019" w:type="dxa"/>
            <w:vMerge w:val="restart"/>
            <w:tcBorders>
              <w:top w:val="single" w:sz="4" w:space="0" w:color="auto"/>
            </w:tcBorders>
            <w:vAlign w:val="center"/>
          </w:tcPr>
          <w:p w14:paraId="7D1754EC" w14:textId="4B69D8B1" w:rsidR="008C426A" w:rsidRDefault="00005960" w:rsidP="00B568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时域特征</w:t>
            </w:r>
          </w:p>
        </w:tc>
        <w:tc>
          <w:tcPr>
            <w:tcW w:w="4019" w:type="dxa"/>
            <w:tcBorders>
              <w:top w:val="single" w:sz="4" w:space="0" w:color="auto"/>
              <w:bottom w:val="nil"/>
            </w:tcBorders>
            <w:vAlign w:val="center"/>
          </w:tcPr>
          <w:p w14:paraId="0321D700" w14:textId="0E4244CA" w:rsidR="008C426A" w:rsidRDefault="008C426A" w:rsidP="00B568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均值</w:t>
            </w:r>
            <w:r w:rsidR="00DA38C7">
              <w:rPr>
                <w:rFonts w:hint="eastAsia"/>
              </w:rPr>
              <w:t>(</w:t>
            </w:r>
            <w:r w:rsidR="00DA38C7">
              <w:rPr>
                <w:rFonts w:ascii="Segoe UI" w:hAnsi="Segoe UI" w:cs="Segoe UI"/>
                <w:color w:val="0F0F0F"/>
              </w:rPr>
              <w:t>Mean</w:t>
            </w:r>
            <w:r w:rsidR="00DA38C7">
              <w:t>)</w:t>
            </w:r>
          </w:p>
        </w:tc>
      </w:tr>
      <w:tr w:rsidR="008C426A" w14:paraId="0F47DFAF" w14:textId="77777777" w:rsidTr="008C426A">
        <w:trPr>
          <w:trHeight w:val="432"/>
        </w:trPr>
        <w:tc>
          <w:tcPr>
            <w:tcW w:w="4019" w:type="dxa"/>
            <w:vMerge/>
            <w:vAlign w:val="center"/>
          </w:tcPr>
          <w:p w14:paraId="17772DC2" w14:textId="77777777" w:rsidR="008C426A" w:rsidRDefault="008C426A" w:rsidP="00B5685D">
            <w:pPr>
              <w:jc w:val="center"/>
              <w:rPr>
                <w:rFonts w:hint="eastAsia"/>
              </w:rPr>
            </w:pPr>
          </w:p>
        </w:tc>
        <w:tc>
          <w:tcPr>
            <w:tcW w:w="4019" w:type="dxa"/>
            <w:tcBorders>
              <w:top w:val="nil"/>
              <w:bottom w:val="nil"/>
            </w:tcBorders>
            <w:vAlign w:val="center"/>
          </w:tcPr>
          <w:p w14:paraId="52233714" w14:textId="3BAA32DD" w:rsidR="008C426A" w:rsidRDefault="008C426A" w:rsidP="00B568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均方根</w:t>
            </w:r>
            <w:r w:rsidR="00DA38C7">
              <w:rPr>
                <w:rFonts w:hint="eastAsia"/>
              </w:rPr>
              <w:t>(</w:t>
            </w:r>
            <w:r w:rsidR="00DA38C7">
              <w:rPr>
                <w:rFonts w:ascii="Segoe UI" w:hAnsi="Segoe UI" w:cs="Segoe UI"/>
                <w:color w:val="0F0F0F"/>
              </w:rPr>
              <w:t>RMS</w:t>
            </w:r>
            <w:r w:rsidR="00DA38C7">
              <w:t>)</w:t>
            </w:r>
          </w:p>
        </w:tc>
      </w:tr>
      <w:tr w:rsidR="008C426A" w14:paraId="1CEA5F03" w14:textId="77777777" w:rsidTr="008C426A">
        <w:trPr>
          <w:trHeight w:val="432"/>
        </w:trPr>
        <w:tc>
          <w:tcPr>
            <w:tcW w:w="4019" w:type="dxa"/>
            <w:vMerge/>
            <w:vAlign w:val="center"/>
          </w:tcPr>
          <w:p w14:paraId="535CEE8D" w14:textId="77777777" w:rsidR="008C426A" w:rsidRDefault="008C426A" w:rsidP="00B5685D">
            <w:pPr>
              <w:jc w:val="center"/>
              <w:rPr>
                <w:rFonts w:hint="eastAsia"/>
              </w:rPr>
            </w:pPr>
          </w:p>
        </w:tc>
        <w:tc>
          <w:tcPr>
            <w:tcW w:w="4019" w:type="dxa"/>
            <w:tcBorders>
              <w:top w:val="nil"/>
              <w:bottom w:val="nil"/>
            </w:tcBorders>
            <w:vAlign w:val="center"/>
          </w:tcPr>
          <w:p w14:paraId="2F3876FB" w14:textId="256E4968" w:rsidR="008C426A" w:rsidRDefault="008C426A" w:rsidP="00B568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四分位点</w:t>
            </w:r>
            <w:r w:rsidR="00DA38C7">
              <w:rPr>
                <w:rFonts w:hint="eastAsia"/>
              </w:rPr>
              <w:t>(</w:t>
            </w:r>
            <w:r w:rsidR="00DA38C7">
              <w:rPr>
                <w:rFonts w:ascii="Segoe UI" w:hAnsi="Segoe UI" w:cs="Segoe UI"/>
                <w:color w:val="0F0F0F"/>
              </w:rPr>
              <w:t>Q</w:t>
            </w:r>
            <w:r w:rsidR="00DA38C7" w:rsidRPr="00DA38C7">
              <w:rPr>
                <w:rFonts w:ascii="Segoe UI" w:hAnsi="Segoe UI" w:cs="Segoe UI"/>
                <w:color w:val="0F0F0F"/>
                <w:vertAlign w:val="subscript"/>
              </w:rPr>
              <w:t>1</w:t>
            </w:r>
            <w:r w:rsidR="00DA38C7">
              <w:rPr>
                <w:rFonts w:ascii="Segoe UI" w:hAnsi="Segoe UI" w:cs="Segoe UI"/>
                <w:color w:val="0F0F0F"/>
              </w:rPr>
              <w:t>,Q</w:t>
            </w:r>
            <w:r w:rsidR="00DA38C7" w:rsidRPr="00DA38C7">
              <w:rPr>
                <w:rFonts w:ascii="Segoe UI" w:hAnsi="Segoe UI" w:cs="Segoe UI"/>
                <w:color w:val="0F0F0F"/>
                <w:vertAlign w:val="subscript"/>
              </w:rPr>
              <w:t>2</w:t>
            </w:r>
            <w:r w:rsidR="00DA38C7">
              <w:rPr>
                <w:rFonts w:ascii="Segoe UI" w:hAnsi="Segoe UI" w:cs="Segoe UI" w:hint="eastAsia"/>
                <w:color w:val="0F0F0F"/>
              </w:rPr>
              <w:t>,</w:t>
            </w:r>
            <w:r w:rsidR="00DA38C7">
              <w:rPr>
                <w:rFonts w:ascii="Segoe UI" w:hAnsi="Segoe UI" w:cs="Segoe UI"/>
                <w:color w:val="0F0F0F"/>
              </w:rPr>
              <w:t>Q</w:t>
            </w:r>
            <w:r w:rsidR="00DA38C7" w:rsidRPr="00DA38C7">
              <w:rPr>
                <w:rFonts w:ascii="Segoe UI" w:hAnsi="Segoe UI" w:cs="Segoe UI"/>
                <w:color w:val="0F0F0F"/>
                <w:vertAlign w:val="subscript"/>
              </w:rPr>
              <w:t>3</w:t>
            </w:r>
            <w:r w:rsidR="00DA38C7">
              <w:t>)</w:t>
            </w:r>
          </w:p>
        </w:tc>
      </w:tr>
      <w:tr w:rsidR="008C426A" w14:paraId="3F21F1EA" w14:textId="77777777" w:rsidTr="008C426A">
        <w:trPr>
          <w:trHeight w:val="444"/>
        </w:trPr>
        <w:tc>
          <w:tcPr>
            <w:tcW w:w="4019" w:type="dxa"/>
            <w:vMerge/>
            <w:vAlign w:val="center"/>
          </w:tcPr>
          <w:p w14:paraId="664BC0A4" w14:textId="77777777" w:rsidR="008C426A" w:rsidRDefault="008C426A" w:rsidP="00B5685D">
            <w:pPr>
              <w:jc w:val="center"/>
              <w:rPr>
                <w:rFonts w:hint="eastAsia"/>
              </w:rPr>
            </w:pPr>
          </w:p>
        </w:tc>
        <w:tc>
          <w:tcPr>
            <w:tcW w:w="4019" w:type="dxa"/>
            <w:tcBorders>
              <w:top w:val="nil"/>
              <w:bottom w:val="nil"/>
            </w:tcBorders>
            <w:vAlign w:val="center"/>
          </w:tcPr>
          <w:p w14:paraId="032A4985" w14:textId="6FC930C4" w:rsidR="008C426A" w:rsidRDefault="008C426A" w:rsidP="00B568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标准差</w:t>
            </w:r>
            <w:r w:rsidR="001269F8">
              <w:rPr>
                <w:rFonts w:hint="eastAsia"/>
              </w:rPr>
              <w:t>(</w:t>
            </w:r>
            <w:r w:rsidR="001269F8">
              <w:rPr>
                <w:rFonts w:ascii="Segoe UI" w:hAnsi="Segoe UI" w:cs="Segoe UI"/>
                <w:color w:val="0F0F0F"/>
              </w:rPr>
              <w:t>SD</w:t>
            </w:r>
            <w:r w:rsidR="001269F8">
              <w:t>)</w:t>
            </w:r>
          </w:p>
        </w:tc>
      </w:tr>
      <w:tr w:rsidR="008C426A" w14:paraId="0D132E9C" w14:textId="77777777" w:rsidTr="008C426A">
        <w:trPr>
          <w:trHeight w:val="432"/>
        </w:trPr>
        <w:tc>
          <w:tcPr>
            <w:tcW w:w="4019" w:type="dxa"/>
            <w:vMerge/>
            <w:vAlign w:val="center"/>
          </w:tcPr>
          <w:p w14:paraId="144A680A" w14:textId="77777777" w:rsidR="008C426A" w:rsidRDefault="008C426A" w:rsidP="00B5685D">
            <w:pPr>
              <w:jc w:val="center"/>
              <w:rPr>
                <w:rFonts w:hint="eastAsia"/>
              </w:rPr>
            </w:pPr>
          </w:p>
        </w:tc>
        <w:tc>
          <w:tcPr>
            <w:tcW w:w="4019" w:type="dxa"/>
            <w:tcBorders>
              <w:top w:val="nil"/>
              <w:bottom w:val="nil"/>
            </w:tcBorders>
            <w:vAlign w:val="center"/>
          </w:tcPr>
          <w:p w14:paraId="05860CCC" w14:textId="11E48084" w:rsidR="008C426A" w:rsidRDefault="008C426A" w:rsidP="00B568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峰值</w:t>
            </w:r>
            <w:r w:rsidR="001269F8">
              <w:rPr>
                <w:rFonts w:hint="eastAsia"/>
              </w:rPr>
              <w:t>(</w:t>
            </w:r>
            <w:r w:rsidR="001269F8">
              <w:rPr>
                <w:rFonts w:ascii="Segoe UI" w:hAnsi="Segoe UI" w:cs="Segoe UI"/>
                <w:color w:val="0F0F0F"/>
              </w:rPr>
              <w:t>PV</w:t>
            </w:r>
            <w:r w:rsidR="001269F8">
              <w:t>)</w:t>
            </w:r>
          </w:p>
        </w:tc>
      </w:tr>
      <w:tr w:rsidR="008C426A" w14:paraId="1A1581E0" w14:textId="77777777" w:rsidTr="008C426A">
        <w:trPr>
          <w:trHeight w:val="432"/>
        </w:trPr>
        <w:tc>
          <w:tcPr>
            <w:tcW w:w="4019" w:type="dxa"/>
            <w:vMerge/>
            <w:tcBorders>
              <w:bottom w:val="single" w:sz="4" w:space="0" w:color="auto"/>
            </w:tcBorders>
            <w:vAlign w:val="center"/>
          </w:tcPr>
          <w:p w14:paraId="7F83306D" w14:textId="77777777" w:rsidR="008C426A" w:rsidRDefault="008C426A" w:rsidP="00B5685D">
            <w:pPr>
              <w:jc w:val="center"/>
              <w:rPr>
                <w:rFonts w:hint="eastAsia"/>
              </w:rPr>
            </w:pPr>
          </w:p>
        </w:tc>
        <w:tc>
          <w:tcPr>
            <w:tcW w:w="4019" w:type="dxa"/>
            <w:tcBorders>
              <w:top w:val="nil"/>
              <w:bottom w:val="single" w:sz="4" w:space="0" w:color="auto"/>
            </w:tcBorders>
            <w:vAlign w:val="center"/>
          </w:tcPr>
          <w:p w14:paraId="66E5D47C" w14:textId="7A84CC82" w:rsidR="008C426A" w:rsidRDefault="008C426A" w:rsidP="00B568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峰-峰值</w:t>
            </w:r>
            <w:r w:rsidR="001269F8">
              <w:rPr>
                <w:rFonts w:hint="eastAsia"/>
              </w:rPr>
              <w:t>(</w:t>
            </w:r>
            <w:r w:rsidR="001269F8">
              <w:rPr>
                <w:rFonts w:ascii="Segoe UI" w:hAnsi="Segoe UI" w:cs="Segoe UI"/>
                <w:color w:val="0F0F0F"/>
              </w:rPr>
              <w:t>PPV</w:t>
            </w:r>
            <w:r w:rsidR="001269F8">
              <w:t>)</w:t>
            </w:r>
          </w:p>
        </w:tc>
      </w:tr>
      <w:tr w:rsidR="00747810" w14:paraId="0CC44A73" w14:textId="77777777" w:rsidTr="008C426A">
        <w:trPr>
          <w:trHeight w:val="432"/>
        </w:trPr>
        <w:tc>
          <w:tcPr>
            <w:tcW w:w="4019" w:type="dxa"/>
            <w:vMerge w:val="restart"/>
            <w:tcBorders>
              <w:top w:val="single" w:sz="4" w:space="0" w:color="auto"/>
            </w:tcBorders>
            <w:vAlign w:val="center"/>
          </w:tcPr>
          <w:p w14:paraId="03117A97" w14:textId="0ABB72B9" w:rsidR="00747810" w:rsidRDefault="00747810" w:rsidP="00B568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频域特征</w:t>
            </w:r>
          </w:p>
        </w:tc>
        <w:tc>
          <w:tcPr>
            <w:tcW w:w="4019" w:type="dxa"/>
            <w:tcBorders>
              <w:top w:val="single" w:sz="4" w:space="0" w:color="auto"/>
            </w:tcBorders>
            <w:vAlign w:val="center"/>
          </w:tcPr>
          <w:p w14:paraId="5098B0D2" w14:textId="58CEE9F5" w:rsidR="00747810" w:rsidRDefault="00747810" w:rsidP="00B568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4-6Hz功率谱</w:t>
            </w:r>
            <w:r w:rsidR="00830E8A">
              <w:rPr>
                <w:rFonts w:hint="eastAsia"/>
              </w:rPr>
              <w:t>密度</w:t>
            </w:r>
            <w:r>
              <w:rPr>
                <w:rFonts w:hint="eastAsia"/>
              </w:rPr>
              <w:t>(</w:t>
            </w:r>
            <w:r>
              <w:t>L</w:t>
            </w:r>
            <w:r w:rsidRPr="00877058">
              <w:t>PSD</w:t>
            </w:r>
            <w:r>
              <w:t>)</w:t>
            </w:r>
          </w:p>
        </w:tc>
      </w:tr>
      <w:tr w:rsidR="00747810" w14:paraId="7A44B273" w14:textId="77777777" w:rsidTr="008C426A">
        <w:trPr>
          <w:trHeight w:val="432"/>
        </w:trPr>
        <w:tc>
          <w:tcPr>
            <w:tcW w:w="4019" w:type="dxa"/>
            <w:vMerge/>
            <w:vAlign w:val="center"/>
          </w:tcPr>
          <w:p w14:paraId="23671130" w14:textId="77777777" w:rsidR="00747810" w:rsidRDefault="00747810" w:rsidP="00B5685D">
            <w:pPr>
              <w:jc w:val="center"/>
              <w:rPr>
                <w:rFonts w:hint="eastAsia"/>
              </w:rPr>
            </w:pPr>
          </w:p>
        </w:tc>
        <w:tc>
          <w:tcPr>
            <w:tcW w:w="4019" w:type="dxa"/>
            <w:vAlign w:val="center"/>
          </w:tcPr>
          <w:p w14:paraId="440B22D9" w14:textId="52447B59" w:rsidR="00747810" w:rsidRDefault="00E136F3" w:rsidP="00B568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 w:rsidR="00747810">
              <w:rPr>
                <w:rFonts w:hint="eastAsia"/>
              </w:rPr>
              <w:t>-12Hz功率谱</w:t>
            </w:r>
            <w:r w:rsidR="00830E8A">
              <w:rPr>
                <w:rFonts w:hint="eastAsia"/>
              </w:rPr>
              <w:t>密度</w:t>
            </w:r>
            <w:r w:rsidR="00747810">
              <w:rPr>
                <w:rFonts w:hint="eastAsia"/>
              </w:rPr>
              <w:t>(</w:t>
            </w:r>
            <w:r w:rsidR="000271B5">
              <w:rPr>
                <w:rFonts w:hint="eastAsia"/>
              </w:rPr>
              <w:t>H</w:t>
            </w:r>
            <w:r w:rsidR="00747810" w:rsidRPr="00877058">
              <w:t>PSD</w:t>
            </w:r>
            <w:r w:rsidR="00747810">
              <w:t>)</w:t>
            </w:r>
          </w:p>
        </w:tc>
      </w:tr>
      <w:tr w:rsidR="00747810" w14:paraId="7DAE00E2" w14:textId="77777777" w:rsidTr="008C426A">
        <w:trPr>
          <w:trHeight w:val="432"/>
        </w:trPr>
        <w:tc>
          <w:tcPr>
            <w:tcW w:w="4019" w:type="dxa"/>
            <w:vMerge/>
            <w:vAlign w:val="center"/>
          </w:tcPr>
          <w:p w14:paraId="1D242A21" w14:textId="77777777" w:rsidR="00747810" w:rsidRDefault="00747810" w:rsidP="00B5685D">
            <w:pPr>
              <w:jc w:val="center"/>
              <w:rPr>
                <w:rFonts w:hint="eastAsia"/>
              </w:rPr>
            </w:pPr>
          </w:p>
        </w:tc>
        <w:tc>
          <w:tcPr>
            <w:tcW w:w="4019" w:type="dxa"/>
            <w:vAlign w:val="center"/>
          </w:tcPr>
          <w:p w14:paraId="0F7103DD" w14:textId="77042229" w:rsidR="00747810" w:rsidRDefault="00747810" w:rsidP="00B5685D">
            <w:pPr>
              <w:jc w:val="center"/>
              <w:rPr>
                <w:rFonts w:hint="eastAsia"/>
              </w:rPr>
            </w:pPr>
            <w:r w:rsidRPr="00274524">
              <w:rPr>
                <w:rFonts w:hint="eastAsia"/>
              </w:rPr>
              <w:t>主频率（</w:t>
            </w:r>
            <w:r w:rsidRPr="00274524">
              <w:t>FT）</w:t>
            </w:r>
          </w:p>
        </w:tc>
      </w:tr>
    </w:tbl>
    <w:p w14:paraId="644D253C" w14:textId="39C685DC" w:rsidR="00A21FE0" w:rsidRDefault="003B4E4A">
      <w:pPr>
        <w:rPr>
          <w:rFonts w:hint="eastAsia"/>
        </w:rPr>
      </w:pPr>
      <w:r>
        <w:tab/>
      </w:r>
    </w:p>
    <w:p w14:paraId="591EFCEF" w14:textId="194B7489" w:rsidR="003664DA" w:rsidRDefault="009F668B" w:rsidP="003D72E5">
      <w:r>
        <w:rPr>
          <w:rFonts w:hint="eastAsia"/>
        </w:rPr>
        <w:t>使用常见机器学习模型对</w:t>
      </w:r>
      <w:r w:rsidR="00E90FF3">
        <w:rPr>
          <w:rFonts w:hint="eastAsia"/>
        </w:rPr>
        <w:t>用户</w:t>
      </w:r>
      <w:r w:rsidR="00E90FF3">
        <w:rPr>
          <w:rFonts w:hint="eastAsia"/>
        </w:rPr>
        <w:t>的</w:t>
      </w:r>
      <w:r w:rsidR="005F1223">
        <w:rPr>
          <w:rFonts w:hint="eastAsia"/>
        </w:rPr>
        <w:t>不同状态（</w:t>
      </w:r>
      <w:r w:rsidR="00653F00">
        <w:rPr>
          <w:rFonts w:hint="eastAsia"/>
          <w:color w:val="000000"/>
          <w:szCs w:val="21"/>
        </w:rPr>
        <w:t>res area</w:t>
      </w:r>
      <w:r w:rsidR="00653F00">
        <w:rPr>
          <w:rFonts w:hint="eastAsia"/>
          <w:color w:val="000000"/>
          <w:szCs w:val="21"/>
        </w:rPr>
        <w:t>、</w:t>
      </w:r>
      <w:r w:rsidR="00653F00">
        <w:rPr>
          <w:rFonts w:hint="eastAsia"/>
          <w:color w:val="000000"/>
          <w:szCs w:val="21"/>
        </w:rPr>
        <w:t>target</w:t>
      </w:r>
      <w:r w:rsidR="00653F00">
        <w:rPr>
          <w:color w:val="000000"/>
          <w:szCs w:val="21"/>
        </w:rPr>
        <w:t xml:space="preserve"> </w:t>
      </w:r>
      <w:r w:rsidR="00653F00">
        <w:rPr>
          <w:rFonts w:hint="eastAsia"/>
          <w:color w:val="000000"/>
          <w:szCs w:val="21"/>
        </w:rPr>
        <w:t>area</w:t>
      </w:r>
      <w:r w:rsidR="00653F00">
        <w:rPr>
          <w:rFonts w:hint="eastAsia"/>
          <w:color w:val="000000"/>
          <w:szCs w:val="21"/>
        </w:rPr>
        <w:t>、inter</w:t>
      </w:r>
      <w:r w:rsidR="00653F00">
        <w:rPr>
          <w:color w:val="000000"/>
          <w:szCs w:val="21"/>
        </w:rPr>
        <w:t xml:space="preserve">action </w:t>
      </w:r>
      <w:r w:rsidR="00653F00">
        <w:rPr>
          <w:rFonts w:hint="eastAsia"/>
          <w:color w:val="000000"/>
          <w:szCs w:val="21"/>
        </w:rPr>
        <w:t>area</w:t>
      </w:r>
      <w:r w:rsidR="005F1223">
        <w:rPr>
          <w:rFonts w:hint="eastAsia"/>
        </w:rPr>
        <w:t>）</w:t>
      </w:r>
      <w:r>
        <w:rPr>
          <w:rFonts w:hint="eastAsia"/>
        </w:rPr>
        <w:t>进行分类</w:t>
      </w:r>
      <w:r w:rsidR="003D72E5">
        <w:rPr>
          <w:rFonts w:hint="eastAsia"/>
        </w:rPr>
        <w:t>，准确率为0.88。（</w:t>
      </w:r>
      <w:r w:rsidR="00F32DD5">
        <w:rPr>
          <w:rFonts w:hint="eastAsia"/>
        </w:rPr>
        <w:t>单名用户</w:t>
      </w:r>
      <w:r w:rsidR="003D72E5">
        <w:rPr>
          <w:rFonts w:hint="eastAsia"/>
        </w:rPr>
        <w:t>）</w:t>
      </w:r>
    </w:p>
    <w:p w14:paraId="1C29BFE8" w14:textId="7E9A6ACD" w:rsidR="00E33658" w:rsidRDefault="00A21FE0">
      <w:r>
        <w:tab/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31BE" w14:paraId="797B7647" w14:textId="77777777" w:rsidTr="00BD53BE">
        <w:tc>
          <w:tcPr>
            <w:tcW w:w="2074" w:type="dxa"/>
            <w:tcBorders>
              <w:bottom w:val="single" w:sz="4" w:space="0" w:color="auto"/>
            </w:tcBorders>
          </w:tcPr>
          <w:p w14:paraId="0F2BB199" w14:textId="1BD2038A" w:rsidR="00FD31BE" w:rsidRDefault="00FD31BE" w:rsidP="00FD31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分类器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1A48E0DF" w14:textId="4C73E8C5" w:rsidR="00FD31BE" w:rsidRDefault="00FD31BE" w:rsidP="00FD31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Precision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78E79DE1" w14:textId="79DB6121" w:rsidR="00FD31BE" w:rsidRDefault="00FD31BE" w:rsidP="00FD31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Recall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68A0BCE4" w14:textId="22EF2992" w:rsidR="00FD31BE" w:rsidRDefault="00FD31BE" w:rsidP="00FD31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1-Score</w:t>
            </w:r>
          </w:p>
        </w:tc>
      </w:tr>
      <w:tr w:rsidR="00FD31BE" w14:paraId="1B846A59" w14:textId="77777777" w:rsidTr="00BD53BE">
        <w:tc>
          <w:tcPr>
            <w:tcW w:w="2074" w:type="dxa"/>
            <w:tcBorders>
              <w:top w:val="single" w:sz="4" w:space="0" w:color="auto"/>
              <w:bottom w:val="nil"/>
            </w:tcBorders>
          </w:tcPr>
          <w:p w14:paraId="107580E0" w14:textId="07499E9C" w:rsidR="00FD31BE" w:rsidRDefault="00FD31BE" w:rsidP="00FD31BE">
            <w:pPr>
              <w:jc w:val="center"/>
              <w:rPr>
                <w:rFonts w:hint="eastAsia"/>
              </w:rPr>
            </w:pPr>
            <w:r w:rsidRPr="00FD31BE">
              <w:t>SVM</w:t>
            </w:r>
          </w:p>
        </w:tc>
        <w:tc>
          <w:tcPr>
            <w:tcW w:w="2074" w:type="dxa"/>
            <w:tcBorders>
              <w:top w:val="single" w:sz="4" w:space="0" w:color="auto"/>
              <w:bottom w:val="nil"/>
            </w:tcBorders>
          </w:tcPr>
          <w:p w14:paraId="06DDC741" w14:textId="11E5D529" w:rsidR="00FD31BE" w:rsidRDefault="00FD31BE" w:rsidP="00FD31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bottom w:val="nil"/>
            </w:tcBorders>
          </w:tcPr>
          <w:p w14:paraId="0531ACBC" w14:textId="392F3CAB" w:rsidR="00FD31BE" w:rsidRDefault="00FD31BE" w:rsidP="00FD31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bottom w:val="nil"/>
            </w:tcBorders>
          </w:tcPr>
          <w:p w14:paraId="5DBC4A8A" w14:textId="64373D7E" w:rsidR="00FD31BE" w:rsidRDefault="00FD31BE" w:rsidP="00FD31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D31BE" w14:paraId="3F023B0F" w14:textId="77777777" w:rsidTr="00BD53BE">
        <w:tc>
          <w:tcPr>
            <w:tcW w:w="2074" w:type="dxa"/>
            <w:tcBorders>
              <w:top w:val="nil"/>
              <w:bottom w:val="nil"/>
            </w:tcBorders>
          </w:tcPr>
          <w:p w14:paraId="41F0A67C" w14:textId="032DFF8B" w:rsidR="00FD31BE" w:rsidRDefault="00FD31BE" w:rsidP="00FD31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K-</w:t>
            </w:r>
            <w:r>
              <w:t>NN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482FA7D5" w14:textId="70E13040" w:rsidR="00FD31BE" w:rsidRDefault="00FD31BE" w:rsidP="00FD31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.88</w:t>
            </w:r>
            <w:r w:rsidR="00D7204E">
              <w:t>9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6746667A" w14:textId="075206F2" w:rsidR="00FD31BE" w:rsidRDefault="00FD31BE" w:rsidP="00FD31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.88</w:t>
            </w:r>
            <w:r w:rsidR="00D7204E">
              <w:t>9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12D636D5" w14:textId="5EA763F9" w:rsidR="00FD31BE" w:rsidRDefault="00FD31BE" w:rsidP="00FD31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.885</w:t>
            </w:r>
          </w:p>
        </w:tc>
      </w:tr>
      <w:tr w:rsidR="00D7204E" w14:paraId="0562DA13" w14:textId="77777777" w:rsidTr="00BD53BE">
        <w:tc>
          <w:tcPr>
            <w:tcW w:w="2074" w:type="dxa"/>
            <w:tcBorders>
              <w:top w:val="nil"/>
              <w:bottom w:val="single" w:sz="4" w:space="0" w:color="auto"/>
            </w:tcBorders>
          </w:tcPr>
          <w:p w14:paraId="53A07255" w14:textId="37DF7059" w:rsidR="00D7204E" w:rsidRDefault="00D7204E" w:rsidP="00D720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ecision Tree</w:t>
            </w:r>
          </w:p>
        </w:tc>
        <w:tc>
          <w:tcPr>
            <w:tcW w:w="2074" w:type="dxa"/>
            <w:tcBorders>
              <w:top w:val="nil"/>
              <w:bottom w:val="single" w:sz="4" w:space="0" w:color="auto"/>
            </w:tcBorders>
          </w:tcPr>
          <w:p w14:paraId="4D4F1672" w14:textId="7744BC05" w:rsidR="00D7204E" w:rsidRDefault="00D7204E" w:rsidP="00D720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.889</w:t>
            </w:r>
          </w:p>
        </w:tc>
        <w:tc>
          <w:tcPr>
            <w:tcW w:w="2074" w:type="dxa"/>
            <w:tcBorders>
              <w:top w:val="nil"/>
              <w:bottom w:val="single" w:sz="4" w:space="0" w:color="auto"/>
            </w:tcBorders>
          </w:tcPr>
          <w:p w14:paraId="6E1CFF02" w14:textId="2113905B" w:rsidR="00D7204E" w:rsidRDefault="00D7204E" w:rsidP="00D720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.889</w:t>
            </w:r>
          </w:p>
        </w:tc>
        <w:tc>
          <w:tcPr>
            <w:tcW w:w="2074" w:type="dxa"/>
            <w:tcBorders>
              <w:top w:val="nil"/>
              <w:bottom w:val="single" w:sz="4" w:space="0" w:color="auto"/>
            </w:tcBorders>
          </w:tcPr>
          <w:p w14:paraId="696FE9A2" w14:textId="39A09F39" w:rsidR="00D7204E" w:rsidRDefault="00D7204E" w:rsidP="00D720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.885</w:t>
            </w:r>
          </w:p>
        </w:tc>
      </w:tr>
    </w:tbl>
    <w:p w14:paraId="05002BEB" w14:textId="0A967B9F" w:rsidR="00A21FE0" w:rsidRPr="00DF08DC" w:rsidRDefault="00A21FE0" w:rsidP="00FD31BE">
      <w:pPr>
        <w:rPr>
          <w:rFonts w:hint="eastAsia"/>
        </w:rPr>
      </w:pPr>
    </w:p>
    <w:p w14:paraId="0E14D516" w14:textId="16310FD1" w:rsidR="004924B8" w:rsidRDefault="00291B1B">
      <w:pPr>
        <w:rPr>
          <w:rFonts w:hint="eastAsia"/>
        </w:rPr>
      </w:pPr>
      <w:r>
        <w:tab/>
      </w:r>
      <w:r w:rsidR="00ED0DC8">
        <w:tab/>
      </w:r>
    </w:p>
    <w:p w14:paraId="1F64820A" w14:textId="77777777" w:rsidR="003E332C" w:rsidRDefault="003E332C"/>
    <w:sectPr w:rsidR="003E3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FAAA4" w14:textId="77777777" w:rsidR="00DD3D43" w:rsidRDefault="00DD3D43" w:rsidP="00B15737">
      <w:r>
        <w:separator/>
      </w:r>
    </w:p>
  </w:endnote>
  <w:endnote w:type="continuationSeparator" w:id="0">
    <w:p w14:paraId="67036701" w14:textId="77777777" w:rsidR="00DD3D43" w:rsidRDefault="00DD3D43" w:rsidP="00B15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9168C" w14:textId="77777777" w:rsidR="00DD3D43" w:rsidRDefault="00DD3D43" w:rsidP="00B15737">
      <w:r>
        <w:separator/>
      </w:r>
    </w:p>
  </w:footnote>
  <w:footnote w:type="continuationSeparator" w:id="0">
    <w:p w14:paraId="41141E68" w14:textId="77777777" w:rsidR="00DD3D43" w:rsidRDefault="00DD3D43" w:rsidP="00B15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20895"/>
    <w:multiLevelType w:val="hybridMultilevel"/>
    <w:tmpl w:val="EB7225D2"/>
    <w:lvl w:ilvl="0" w:tplc="30F208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FF263D"/>
    <w:multiLevelType w:val="hybridMultilevel"/>
    <w:tmpl w:val="EDD6B684"/>
    <w:lvl w:ilvl="0" w:tplc="2B7EF45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1171293">
    <w:abstractNumId w:val="1"/>
  </w:num>
  <w:num w:numId="2" w16cid:durableId="2103990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6E"/>
    <w:rsid w:val="00005960"/>
    <w:rsid w:val="0000649E"/>
    <w:rsid w:val="00014678"/>
    <w:rsid w:val="000271B5"/>
    <w:rsid w:val="000500ED"/>
    <w:rsid w:val="0006781D"/>
    <w:rsid w:val="00083CC6"/>
    <w:rsid w:val="000A178D"/>
    <w:rsid w:val="000A2332"/>
    <w:rsid w:val="000A56AA"/>
    <w:rsid w:val="000B0350"/>
    <w:rsid w:val="000C1ABF"/>
    <w:rsid w:val="000D5113"/>
    <w:rsid w:val="000F305B"/>
    <w:rsid w:val="0010252F"/>
    <w:rsid w:val="00104F62"/>
    <w:rsid w:val="00125817"/>
    <w:rsid w:val="001269F8"/>
    <w:rsid w:val="001306CB"/>
    <w:rsid w:val="00133A94"/>
    <w:rsid w:val="001422FD"/>
    <w:rsid w:val="00144351"/>
    <w:rsid w:val="00152908"/>
    <w:rsid w:val="00174A41"/>
    <w:rsid w:val="001806F8"/>
    <w:rsid w:val="001814D1"/>
    <w:rsid w:val="001833D9"/>
    <w:rsid w:val="00193C9F"/>
    <w:rsid w:val="00195C15"/>
    <w:rsid w:val="001B3A70"/>
    <w:rsid w:val="001B74D4"/>
    <w:rsid w:val="001C6283"/>
    <w:rsid w:val="00213EB5"/>
    <w:rsid w:val="00215FDF"/>
    <w:rsid w:val="00224A2F"/>
    <w:rsid w:val="0023379E"/>
    <w:rsid w:val="002408A4"/>
    <w:rsid w:val="00265262"/>
    <w:rsid w:val="002742D5"/>
    <w:rsid w:val="00274524"/>
    <w:rsid w:val="00284DF4"/>
    <w:rsid w:val="00291B1B"/>
    <w:rsid w:val="002A3470"/>
    <w:rsid w:val="002B63A4"/>
    <w:rsid w:val="002C1A12"/>
    <w:rsid w:val="002C6F58"/>
    <w:rsid w:val="002C74D0"/>
    <w:rsid w:val="002D5F93"/>
    <w:rsid w:val="002E5AD2"/>
    <w:rsid w:val="002F6788"/>
    <w:rsid w:val="003123AA"/>
    <w:rsid w:val="00314188"/>
    <w:rsid w:val="00317099"/>
    <w:rsid w:val="003206A9"/>
    <w:rsid w:val="00324BBF"/>
    <w:rsid w:val="0034612A"/>
    <w:rsid w:val="00355C34"/>
    <w:rsid w:val="003664DA"/>
    <w:rsid w:val="00371DB7"/>
    <w:rsid w:val="00372478"/>
    <w:rsid w:val="003746D4"/>
    <w:rsid w:val="0037769E"/>
    <w:rsid w:val="00382ADB"/>
    <w:rsid w:val="003A6B2C"/>
    <w:rsid w:val="003B4E4A"/>
    <w:rsid w:val="003C32AC"/>
    <w:rsid w:val="003C4E32"/>
    <w:rsid w:val="003C6BC8"/>
    <w:rsid w:val="003D33B1"/>
    <w:rsid w:val="003D72E5"/>
    <w:rsid w:val="003D7CE6"/>
    <w:rsid w:val="003E332C"/>
    <w:rsid w:val="00407EEB"/>
    <w:rsid w:val="0041638D"/>
    <w:rsid w:val="004207A0"/>
    <w:rsid w:val="00434891"/>
    <w:rsid w:val="0044281B"/>
    <w:rsid w:val="00451B00"/>
    <w:rsid w:val="0045454E"/>
    <w:rsid w:val="004656F2"/>
    <w:rsid w:val="0046632B"/>
    <w:rsid w:val="00467E6C"/>
    <w:rsid w:val="0047065D"/>
    <w:rsid w:val="0047069A"/>
    <w:rsid w:val="0047315D"/>
    <w:rsid w:val="004862EF"/>
    <w:rsid w:val="004924B8"/>
    <w:rsid w:val="00495FCE"/>
    <w:rsid w:val="004B3CB6"/>
    <w:rsid w:val="004B69D3"/>
    <w:rsid w:val="004C61B4"/>
    <w:rsid w:val="004D3517"/>
    <w:rsid w:val="004D5E6E"/>
    <w:rsid w:val="004E730A"/>
    <w:rsid w:val="004F4493"/>
    <w:rsid w:val="005330BB"/>
    <w:rsid w:val="005450D9"/>
    <w:rsid w:val="00556D65"/>
    <w:rsid w:val="00570E16"/>
    <w:rsid w:val="0057503E"/>
    <w:rsid w:val="005758E4"/>
    <w:rsid w:val="0057767E"/>
    <w:rsid w:val="00583496"/>
    <w:rsid w:val="00591701"/>
    <w:rsid w:val="00596E22"/>
    <w:rsid w:val="005A67E5"/>
    <w:rsid w:val="005B4A9A"/>
    <w:rsid w:val="005E2988"/>
    <w:rsid w:val="005E4BBA"/>
    <w:rsid w:val="005F1223"/>
    <w:rsid w:val="005F2DEE"/>
    <w:rsid w:val="006154E6"/>
    <w:rsid w:val="006517AC"/>
    <w:rsid w:val="00653F00"/>
    <w:rsid w:val="00663157"/>
    <w:rsid w:val="0067080E"/>
    <w:rsid w:val="00687C30"/>
    <w:rsid w:val="006912DC"/>
    <w:rsid w:val="00695C73"/>
    <w:rsid w:val="006A00A1"/>
    <w:rsid w:val="006B095B"/>
    <w:rsid w:val="006E17F6"/>
    <w:rsid w:val="00705A58"/>
    <w:rsid w:val="0071156B"/>
    <w:rsid w:val="00747810"/>
    <w:rsid w:val="00764A2B"/>
    <w:rsid w:val="007664FF"/>
    <w:rsid w:val="00772EB9"/>
    <w:rsid w:val="007A1CA8"/>
    <w:rsid w:val="007A23F8"/>
    <w:rsid w:val="007B0BAC"/>
    <w:rsid w:val="007C1CF8"/>
    <w:rsid w:val="007D60FB"/>
    <w:rsid w:val="007D70FF"/>
    <w:rsid w:val="007F75AD"/>
    <w:rsid w:val="007F78DC"/>
    <w:rsid w:val="00830E8A"/>
    <w:rsid w:val="008324D1"/>
    <w:rsid w:val="00857A7F"/>
    <w:rsid w:val="00875C81"/>
    <w:rsid w:val="00877058"/>
    <w:rsid w:val="00880E64"/>
    <w:rsid w:val="008B14EC"/>
    <w:rsid w:val="008C0125"/>
    <w:rsid w:val="008C20AC"/>
    <w:rsid w:val="008C426A"/>
    <w:rsid w:val="008D12F8"/>
    <w:rsid w:val="008E1969"/>
    <w:rsid w:val="008E1D4C"/>
    <w:rsid w:val="008E4397"/>
    <w:rsid w:val="00917A93"/>
    <w:rsid w:val="009245C7"/>
    <w:rsid w:val="009250AD"/>
    <w:rsid w:val="009432BB"/>
    <w:rsid w:val="00947DBD"/>
    <w:rsid w:val="00955D8E"/>
    <w:rsid w:val="00964DAF"/>
    <w:rsid w:val="00975B61"/>
    <w:rsid w:val="009831B9"/>
    <w:rsid w:val="00986269"/>
    <w:rsid w:val="00990B05"/>
    <w:rsid w:val="009A425F"/>
    <w:rsid w:val="009C0B9A"/>
    <w:rsid w:val="009D5C64"/>
    <w:rsid w:val="009E37BF"/>
    <w:rsid w:val="009E741B"/>
    <w:rsid w:val="009F3E55"/>
    <w:rsid w:val="009F668B"/>
    <w:rsid w:val="00A0631C"/>
    <w:rsid w:val="00A1736A"/>
    <w:rsid w:val="00A208E0"/>
    <w:rsid w:val="00A21FE0"/>
    <w:rsid w:val="00A317CF"/>
    <w:rsid w:val="00A364DD"/>
    <w:rsid w:val="00A36CE4"/>
    <w:rsid w:val="00A75E4B"/>
    <w:rsid w:val="00A8406B"/>
    <w:rsid w:val="00A92349"/>
    <w:rsid w:val="00A93BCC"/>
    <w:rsid w:val="00A94A7F"/>
    <w:rsid w:val="00A96C9A"/>
    <w:rsid w:val="00AA4F28"/>
    <w:rsid w:val="00AB22E0"/>
    <w:rsid w:val="00AB53C7"/>
    <w:rsid w:val="00AD34EF"/>
    <w:rsid w:val="00AD669F"/>
    <w:rsid w:val="00AE2E39"/>
    <w:rsid w:val="00AE6C06"/>
    <w:rsid w:val="00AF0AD6"/>
    <w:rsid w:val="00B015F7"/>
    <w:rsid w:val="00B01610"/>
    <w:rsid w:val="00B11659"/>
    <w:rsid w:val="00B15737"/>
    <w:rsid w:val="00B16320"/>
    <w:rsid w:val="00B22D2D"/>
    <w:rsid w:val="00B30573"/>
    <w:rsid w:val="00B5685D"/>
    <w:rsid w:val="00B65041"/>
    <w:rsid w:val="00B83F2D"/>
    <w:rsid w:val="00BC031A"/>
    <w:rsid w:val="00BC3B28"/>
    <w:rsid w:val="00BC4F34"/>
    <w:rsid w:val="00BC68F8"/>
    <w:rsid w:val="00BD53BE"/>
    <w:rsid w:val="00BD6208"/>
    <w:rsid w:val="00BE255D"/>
    <w:rsid w:val="00C10A60"/>
    <w:rsid w:val="00C369E9"/>
    <w:rsid w:val="00C5038E"/>
    <w:rsid w:val="00C518D6"/>
    <w:rsid w:val="00C603EA"/>
    <w:rsid w:val="00C73F35"/>
    <w:rsid w:val="00C82963"/>
    <w:rsid w:val="00C86A6F"/>
    <w:rsid w:val="00C91EA6"/>
    <w:rsid w:val="00C924F3"/>
    <w:rsid w:val="00C951DD"/>
    <w:rsid w:val="00CB608F"/>
    <w:rsid w:val="00CC0E23"/>
    <w:rsid w:val="00CD181F"/>
    <w:rsid w:val="00CD4226"/>
    <w:rsid w:val="00CD5DBC"/>
    <w:rsid w:val="00D01975"/>
    <w:rsid w:val="00D07FEC"/>
    <w:rsid w:val="00D13C9D"/>
    <w:rsid w:val="00D35793"/>
    <w:rsid w:val="00D40FE1"/>
    <w:rsid w:val="00D4639A"/>
    <w:rsid w:val="00D5652F"/>
    <w:rsid w:val="00D65169"/>
    <w:rsid w:val="00D7204E"/>
    <w:rsid w:val="00D7645A"/>
    <w:rsid w:val="00D83018"/>
    <w:rsid w:val="00D908FC"/>
    <w:rsid w:val="00DA0AED"/>
    <w:rsid w:val="00DA38C7"/>
    <w:rsid w:val="00DC3379"/>
    <w:rsid w:val="00DD3D43"/>
    <w:rsid w:val="00DD66C4"/>
    <w:rsid w:val="00DD79E2"/>
    <w:rsid w:val="00DF08DC"/>
    <w:rsid w:val="00E07091"/>
    <w:rsid w:val="00E07158"/>
    <w:rsid w:val="00E136F3"/>
    <w:rsid w:val="00E13C4B"/>
    <w:rsid w:val="00E3142A"/>
    <w:rsid w:val="00E32871"/>
    <w:rsid w:val="00E33658"/>
    <w:rsid w:val="00E34A2B"/>
    <w:rsid w:val="00E46C68"/>
    <w:rsid w:val="00E532F9"/>
    <w:rsid w:val="00E61C53"/>
    <w:rsid w:val="00E63A88"/>
    <w:rsid w:val="00E662F6"/>
    <w:rsid w:val="00E67E9D"/>
    <w:rsid w:val="00E71844"/>
    <w:rsid w:val="00E845EF"/>
    <w:rsid w:val="00E9052A"/>
    <w:rsid w:val="00E90FF3"/>
    <w:rsid w:val="00E96351"/>
    <w:rsid w:val="00E97FFE"/>
    <w:rsid w:val="00EC35BA"/>
    <w:rsid w:val="00EC6FCF"/>
    <w:rsid w:val="00ED0DC8"/>
    <w:rsid w:val="00ED5BCD"/>
    <w:rsid w:val="00EE0BCD"/>
    <w:rsid w:val="00EE4FDE"/>
    <w:rsid w:val="00EF62A7"/>
    <w:rsid w:val="00F03100"/>
    <w:rsid w:val="00F13342"/>
    <w:rsid w:val="00F15809"/>
    <w:rsid w:val="00F15943"/>
    <w:rsid w:val="00F32BAE"/>
    <w:rsid w:val="00F32DD5"/>
    <w:rsid w:val="00F37340"/>
    <w:rsid w:val="00F46564"/>
    <w:rsid w:val="00F6779D"/>
    <w:rsid w:val="00F80634"/>
    <w:rsid w:val="00F85FC4"/>
    <w:rsid w:val="00FA4DFE"/>
    <w:rsid w:val="00FA6309"/>
    <w:rsid w:val="00FC1089"/>
    <w:rsid w:val="00FC7CFF"/>
    <w:rsid w:val="00FD2197"/>
    <w:rsid w:val="00FD31BE"/>
    <w:rsid w:val="00FD60FA"/>
    <w:rsid w:val="00FE39CD"/>
    <w:rsid w:val="00FF1F04"/>
    <w:rsid w:val="00F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515DB"/>
  <w15:chartTrackingRefBased/>
  <w15:docId w15:val="{416AB464-CA93-4630-9FE2-5680981B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7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737"/>
    <w:rPr>
      <w:sz w:val="18"/>
      <w:szCs w:val="18"/>
    </w:rPr>
  </w:style>
  <w:style w:type="table" w:styleId="a7">
    <w:name w:val="Table Grid"/>
    <w:basedOn w:val="a1"/>
    <w:uiPriority w:val="39"/>
    <w:rsid w:val="00B56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07F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YiWan</dc:creator>
  <cp:keywords/>
  <dc:description/>
  <cp:lastModifiedBy>M YiWan</cp:lastModifiedBy>
  <cp:revision>7</cp:revision>
  <cp:lastPrinted>2023-11-16T14:52:00Z</cp:lastPrinted>
  <dcterms:created xsi:type="dcterms:W3CDTF">2023-11-16T14:52:00Z</dcterms:created>
  <dcterms:modified xsi:type="dcterms:W3CDTF">2023-11-17T07:06:00Z</dcterms:modified>
</cp:coreProperties>
</file>