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43C78"/>
          <w:sz w:val="36"/>
        </w:rPr>
        <w:t>STATISTICAL ANALYSIS REPORT FOR SCOPUS PUBLICATION</w:t>
      </w:r>
    </w:p>
    <w:p>
      <w:pPr>
        <w:spacing w:after="240"/>
      </w:pPr>
      <w:r>
        <w:rPr>
          <w:rFonts w:ascii="Calibri" w:hAnsi="Calibri"/>
          <w:i/>
          <w:color w:val="505050"/>
          <w:sz w:val="26"/>
        </w:rPr>
        <w:t>Clinical Evaluation of Pit and Fissure Sealant Retention and Associated Caries Incidence in Children: A 3-Month Longitudinal Study</w:t>
      </w:r>
    </w:p>
    <w:tbl>
      <w:tblPr>
        <w:tblW w:type="auto" w:w="0"/>
        <w:jc w:val="center"/>
        <w:tblLook w:firstColumn="1" w:firstRow="1" w:lastColumn="0" w:lastRow="0" w:noHBand="0" w:noVBand="1" w:val="04A0"/>
      </w:tblPr>
      <w:tblGrid>
        <w:gridCol w:w="4680"/>
        <w:gridCol w:w="4680"/>
      </w:tblGrid>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Target Standard: </w:t>
            </w:r>
            <w:r>
              <w:t>Scopus Q1/Q2 Indexed Dental Journals (PBOCI / IJPD / BMC Oral Health)</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Follow-up Interval: </w:t>
            </w:r>
            <w:r>
              <w:t>3 Months Post-Placement</w:t>
            </w:r>
          </w:p>
        </w:tc>
      </w:tr>
      <w:tr>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Total Sample Size: </w:t>
            </w:r>
            <w:r>
              <w:t>40 Patients (118 Permanent Teeth; Mean 2.95 teeth/child)</w:t>
            </w:r>
          </w:p>
        </w:tc>
        <w:tc>
          <w:tcPr>
            <w:tcW w:type="dxa" w:w="4680"/>
            <w:shd w:fill="F8F9FA"/>
            <w:tcBorders>
              <w:top w:val="single" w:sz="4" w:space="0" w:color="D0D5DD"/>
              <w:left w:val="single" w:sz="4" w:space="0" w:color="D0D5DD"/>
              <w:bottom w:val="single" w:sz="4" w:space="0" w:color="D0D5DD"/>
              <w:right w:val="single" w:sz="4" w:space="0" w:color="D0D5DD"/>
              <w:insideH w:val="none"/>
              <w:insideV w:val="none"/>
            </w:tcBorders>
          </w:tcPr>
          <w:p>
            <w:r>
              <w:rPr>
                <w:b/>
              </w:rPr>
              <w:t xml:space="preserve">Statistical Software: </w:t>
            </w:r>
            <w:r>
              <w:t>SPSS v26.0 / R / Python statsmodels (GEE Sensitivity)</w:t>
            </w:r>
          </w:p>
        </w:tc>
      </w:tr>
    </w:tbl>
    <w:p>
      <w:pPr>
        <w:spacing w:after="160"/>
      </w:pPr>
    </w:p>
    <w:p>
      <w:pPr>
        <w:keepNext/>
        <w:spacing w:before="280" w:after="80"/>
      </w:pPr>
      <w:r>
        <w:rPr>
          <w:rFonts w:ascii="Calibri" w:hAnsi="Calibri"/>
          <w:b/>
          <w:color w:val="143C78"/>
          <w:sz w:val="32"/>
        </w:rPr>
        <w:t>1. Executive Summary &amp; Structured Abstract</w:t>
      </w:r>
    </w:p>
    <w:p>
      <w:r>
        <w:rPr>
          <w:b/>
        </w:rPr>
        <w:t xml:space="preserve">Objective: </w:t>
      </w:r>
      <w:r>
        <w:t>To evaluate the 3-month clinical retention and associated caries incidence of light-cured pit and fissure sealants in permanent teeth among school-aged children, accounting for anatomical and demographic determinants and patient-level clustering.</w:t>
        <w:br/>
      </w:r>
      <w:r>
        <w:rPr>
          <w:b/>
        </w:rPr>
        <w:t xml:space="preserve">Material and Methods: </w:t>
      </w:r>
      <w:r>
        <w:t>This 3-month clinical study evaluated 118 sound permanent teeth across 40 children aged 8–12 years (mean age: 10.12 ± 1.24 years). Retention was scored using Simonsen's criteria (Score 0: Complete; Score 1: Partial; Score 2: Complete loss). Caries status was recorded as caries-free or caries incidence. Analysis incorporated tooth-level non-parametric tests (Mann-Whitney U, Kruskal-Wallis, Fisher-Freeman-Halton exact test) and Generalized Estimating Equations (GEE) as sensitivity analysis for clustering within child (α = 0.05).</w:t>
        <w:br/>
      </w:r>
      <w:r>
        <w:rPr>
          <w:b/>
        </w:rPr>
        <w:t xml:space="preserve">Results: </w:t>
      </w:r>
      <w:r>
        <w:t>Complete retention (Score 0) was 72.0% (n=85), partial retention (Score 1) was 23.7% (n=28), and complete loss (Score 2) was 4.2% (n=5), resulting in a satisfactory retention rate of 95.8% (n=113). Complete retention was significantly higher in premolars (80.5%) than molars (56.1%; Mann-Whitney U = 1155.5, p = 0.002; GEE cluster-adjusted p = 0.005) and in children &gt; 10 years (81.5% vs. 60.4%; U = 1328.0, p = 0.006; GEE p = 0.0003). Arch location (p = 0.648) and gender (p = 0.222) were non-significant. Caries incidence was 4.2% (n=5) and occurred exclusively in teeth with complete sealant loss (Fisher-Freeman-Halton exact test p &lt; 0.0001, exact p = 5.75 × 10⁻⁹).</w:t>
        <w:br/>
      </w:r>
      <w:r>
        <w:rPr>
          <w:b/>
        </w:rPr>
        <w:t xml:space="preserve">Conclusion: </w:t>
      </w:r>
      <w:r>
        <w:t>Light-cured sealants demonstrated 95.8% satisfactory short-term retention. Sealant retention status was strongly associated with 3-month caries incidence. Tooth morphology and child age significantly influenced retention outcomes, underscoring the clinical necessity of rigorous moisture control and recall monitoring for permanent molars.</w:t>
      </w:r>
    </w:p>
    <w:p>
      <w:pPr>
        <w:keepNext/>
        <w:spacing w:before="280" w:after="80"/>
      </w:pPr>
      <w:r>
        <w:rPr>
          <w:rFonts w:ascii="Calibri" w:hAnsi="Calibri"/>
          <w:b/>
          <w:color w:val="143C78"/>
          <w:sz w:val="32"/>
        </w:rPr>
        <w:t>2. Material and Methods: Statistical Protocol</w:t>
      </w:r>
    </w:p>
    <w:p>
      <w:pPr>
        <w:keepNext/>
        <w:spacing w:before="200" w:after="60"/>
      </w:pPr>
      <w:r>
        <w:rPr>
          <w:rFonts w:ascii="Calibri" w:hAnsi="Calibri"/>
          <w:b/>
          <w:color w:val="285A96"/>
          <w:sz w:val="26"/>
        </w:rPr>
        <w:t>2.1 Study Population and Unit of Analysis</w:t>
      </w:r>
    </w:p>
    <w:p>
      <w:r>
        <w:t>A total of 40 children (29 boys, 11 girls) aged 8 to 12 years attending the pediatric dental clinic were enrolled in this 3-month longitudinal investigation. Each sealed tooth was evaluated as a clinical analytical unit (N = 118 permanent teeth: 77 premolars and 41 molars; 71 maxillary and 47 mandibular). Because teeth were clustered within patients (mean: 2.95 ± 1.80 teeth/child; range: 1–8), both unadjusted tooth-level tests and cluster-adjusted sensitivity models (Generalized Estimating Equations - GEE) were applied to ensure methodological rigor.</w:t>
      </w:r>
    </w:p>
    <w:p>
      <w:pPr>
        <w:keepNext/>
        <w:spacing w:before="200" w:after="60"/>
      </w:pPr>
      <w:r>
        <w:rPr>
          <w:rFonts w:ascii="Calibri" w:hAnsi="Calibri"/>
          <w:b/>
          <w:color w:val="285A96"/>
          <w:sz w:val="26"/>
        </w:rPr>
        <w:t>2.2 Evaluation Criteria and Operational Definitions</w:t>
      </w:r>
    </w:p>
    <w:p>
      <w:r>
        <w:t>All sealed teeth were evaluated 3 months post-application according to Simonsen's retention criteria:</w:t>
      </w:r>
    </w:p>
    <w:p>
      <w:pPr>
        <w:pStyle w:val="ListBullet"/>
      </w:pPr>
      <w:r>
        <w:rPr>
          <w:b/>
        </w:rPr>
        <w:t xml:space="preserve">Score 0 (Complete Retention): </w:t>
      </w:r>
      <w:r>
        <w:t>Sealant intact, completely covering all pits and fissures.</w:t>
      </w:r>
    </w:p>
    <w:p>
      <w:pPr>
        <w:pStyle w:val="ListBullet"/>
      </w:pPr>
      <w:r>
        <w:rPr>
          <w:b/>
        </w:rPr>
        <w:t xml:space="preserve">Score 1 (Partial Retention): </w:t>
      </w:r>
      <w:r>
        <w:t>Sealant partially present, with portions of fissures exposed but remaining resin firmly bonded.</w:t>
      </w:r>
    </w:p>
    <w:p>
      <w:pPr>
        <w:pStyle w:val="ListBullet"/>
      </w:pPr>
      <w:r>
        <w:rPr>
          <w:b/>
        </w:rPr>
        <w:t xml:space="preserve">Score 2 (Complete Loss): </w:t>
      </w:r>
      <w:r>
        <w:t>Total sealant dislodgement with complete loss of protective coverage.</w:t>
      </w:r>
    </w:p>
    <w:p>
      <w:r>
        <w:t>Satisfactory retention was defined as Score 0 + Score 1. Occlusal caries status was recorded as Caries-Free (Sound) or Caries Incidence (active new decay detected visually and tactilely).</w:t>
      </w:r>
    </w:p>
    <w:p>
      <w:pPr>
        <w:keepNext/>
        <w:spacing w:before="200" w:after="60"/>
      </w:pPr>
      <w:r>
        <w:rPr>
          <w:rFonts w:ascii="Calibri" w:hAnsi="Calibri"/>
          <w:b/>
          <w:color w:val="285A96"/>
          <w:sz w:val="26"/>
        </w:rPr>
        <w:t>2.3 Statistical Methodology and Testing</w:t>
      </w:r>
    </w:p>
    <w:p>
      <w:r>
        <w:t>Descriptive statistics comprised absolute frequencies (N) and percentages (%) for categorical variables, and Mean ± SD, Median, and Range for continuous variables (Age, DMFT, DMFS).</w:t>
      </w:r>
    </w:p>
    <w:p>
      <w:pPr>
        <w:pStyle w:val="ListBullet"/>
      </w:pPr>
      <w:r>
        <w:rPr>
          <w:b/>
        </w:rPr>
        <w:t xml:space="preserve">Mann-Whitney U Test: </w:t>
      </w:r>
      <w:r>
        <w:t>Assessed differences in the ordinal distribution of Simonsen retention scores (0, 1, 2) across dichotomous groups (Jaw Location, Tooth Type, Gender, Age groups).</w:t>
      </w:r>
    </w:p>
    <w:p>
      <w:pPr>
        <w:pStyle w:val="ListBullet"/>
      </w:pPr>
      <w:r>
        <w:rPr>
          <w:b/>
        </w:rPr>
        <w:t xml:space="preserve">Fisher-Freeman-Halton Exact Test: </w:t>
      </w:r>
      <w:r>
        <w:t>Employed as the primary test of independence for the 3×2 contingency table of retention status versus caries incidence, owing to structural zeros and low expected frequencies (&lt; 5). Pearson Chi-Square was reported as secondary asymptotic analysis.</w:t>
      </w:r>
    </w:p>
    <w:p>
      <w:pPr>
        <w:pStyle w:val="ListBullet"/>
      </w:pPr>
      <w:r>
        <w:rPr>
          <w:b/>
        </w:rPr>
        <w:t xml:space="preserve">Kruskal-Wallis H-Test: </w:t>
      </w:r>
      <w:r>
        <w:t>Employed to test baseline DMFT and DMFS across the three retention categories (Score 0, 1, 2), supplemented by one-way ANOVA.</w:t>
      </w:r>
    </w:p>
    <w:p>
      <w:pPr>
        <w:pStyle w:val="ListBullet"/>
      </w:pPr>
      <w:r>
        <w:rPr>
          <w:b/>
        </w:rPr>
        <w:t xml:space="preserve">Clustered Sensitivity Analysis (GEE): </w:t>
      </w:r>
      <w:r>
        <w:t>Generalized Estimating Equations with a binomial family, logit link, exchangeable correlation structure, and robust standard errors were fitted to account for intra-child clustering across 40 patients.</w:t>
      </w:r>
    </w:p>
    <w:p>
      <w:pPr>
        <w:keepNext/>
        <w:spacing w:before="280" w:after="80"/>
      </w:pPr>
      <w:r>
        <w:rPr>
          <w:rFonts w:ascii="Calibri" w:hAnsi="Calibri"/>
          <w:b/>
          <w:color w:val="143C78"/>
          <w:sz w:val="32"/>
        </w:rPr>
        <w:t>3. Results</w:t>
      </w:r>
    </w:p>
    <w:p>
      <w:pPr>
        <w:keepNext/>
        <w:spacing w:before="120" w:after="40"/>
      </w:pPr>
      <w:r>
        <w:rPr>
          <w:rFonts w:ascii="Calibri" w:hAnsi="Calibri"/>
          <w:b/>
          <w:color w:val="3C3C3C"/>
          <w:sz w:val="23"/>
        </w:rPr>
        <w:t>Table 1. Demographic and baseline caries characteristics of study participants (N = 40)</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16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Variables</w:t>
            </w:r>
          </w:p>
        </w:tc>
        <w:tc>
          <w:tcPr>
            <w:tcW w:type="dxa" w:w="316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Categories</w:t>
            </w:r>
          </w:p>
        </w:tc>
        <w:tc>
          <w:tcPr>
            <w:tcW w:type="dxa" w:w="864"/>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w:t>
            </w:r>
          </w:p>
        </w:tc>
        <w:tc>
          <w:tcPr>
            <w:tcW w:type="dxa" w:w="115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w:t>
            </w:r>
          </w:p>
        </w:tc>
        <w:tc>
          <w:tcPr>
            <w:tcW w:type="dxa" w:w="2736"/>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Mean ± SD (Range)</w:t>
            </w:r>
          </w:p>
        </w:tc>
      </w:tr>
      <w:tr>
        <w:trPr>
          <w:cantSplit/>
        </w:trPr>
        <w:tc>
          <w:tcPr>
            <w:tcW w:type="dxa" w:w="216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Gender</w:t>
            </w:r>
          </w:p>
        </w:tc>
        <w:tc>
          <w:tcPr>
            <w:tcW w:type="dxa" w:w="316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Boy (Male)</w:t>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29</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72.5%</w:t>
            </w:r>
          </w:p>
        </w:tc>
        <w:tc>
          <w:tcPr>
            <w:tcW w:type="dxa" w:w="273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w:t>
            </w:r>
          </w:p>
        </w:tc>
      </w:tr>
      <w:tr>
        <w:trPr>
          <w:cantSplit/>
        </w:trPr>
        <w:tc>
          <w:tcPr>
            <w:tcW w:type="dxa" w:w="216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316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Girl (Female)</w:t>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11</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27.5%</w:t>
            </w:r>
          </w:p>
        </w:tc>
        <w:tc>
          <w:tcPr>
            <w:tcW w:type="dxa" w:w="273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w:t>
            </w:r>
          </w:p>
        </w:tc>
      </w:tr>
      <w:tr>
        <w:trPr>
          <w:cantSplit/>
        </w:trPr>
        <w:tc>
          <w:tcPr>
            <w:tcW w:type="dxa" w:w="216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Age (Years)</w:t>
            </w:r>
          </w:p>
        </w:tc>
        <w:tc>
          <w:tcPr>
            <w:tcW w:type="dxa" w:w="316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5–10 Years (≤ 10)</w:t>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24</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60.0%</w:t>
            </w:r>
          </w:p>
        </w:tc>
        <w:tc>
          <w:tcPr>
            <w:tcW w:type="dxa" w:w="273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10.12 ± 1.24 (8–12)</w:t>
            </w:r>
          </w:p>
        </w:tc>
      </w:tr>
      <w:tr>
        <w:trPr>
          <w:cantSplit/>
        </w:trPr>
        <w:tc>
          <w:tcPr>
            <w:tcW w:type="dxa" w:w="216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316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11–12 Years (&gt; 10)</w:t>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16</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40.0%</w:t>
            </w:r>
          </w:p>
        </w:tc>
        <w:tc>
          <w:tcPr>
            <w:tcW w:type="dxa" w:w="273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w:t>
            </w:r>
          </w:p>
        </w:tc>
      </w:tr>
      <w:tr>
        <w:trPr>
          <w:cantSplit/>
        </w:trPr>
        <w:tc>
          <w:tcPr>
            <w:tcW w:type="dxa" w:w="216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Baseline DMFT</w:t>
            </w:r>
          </w:p>
        </w:tc>
        <w:tc>
          <w:tcPr>
            <w:tcW w:type="dxa" w:w="316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Caries-Free (DMFT = 0)</w:t>
              <w:br/>
              <w:t>Caries-Active (DMFT &gt; 0)</w:t>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w:t>
              <w:br/>
              <w:t>38</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5.0%</w:t>
              <w:br/>
              <w:t>95.0%</w:t>
            </w:r>
          </w:p>
        </w:tc>
        <w:tc>
          <w:tcPr>
            <w:tcW w:type="dxa" w:w="273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2.58 ± 1.24 (0–5)</w:t>
              <w:br/>
              <w:t>Median = 3.0</w:t>
            </w:r>
          </w:p>
        </w:tc>
      </w:tr>
      <w:tr>
        <w:trPr>
          <w:cantSplit/>
        </w:trPr>
        <w:tc>
          <w:tcPr>
            <w:tcW w:type="dxa" w:w="216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Baseline DMFS</w:t>
            </w:r>
          </w:p>
        </w:tc>
        <w:tc>
          <w:tcPr>
            <w:tcW w:type="dxa" w:w="316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Total Decayed/Filled Surfaces</w:t>
            </w:r>
          </w:p>
        </w:tc>
        <w:tc>
          <w:tcPr>
            <w:tcW w:type="dxa" w:w="864"/>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40</w:t>
            </w:r>
          </w:p>
        </w:tc>
        <w:tc>
          <w:tcPr>
            <w:tcW w:type="dxa" w:w="115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100.0%</w:t>
            </w:r>
          </w:p>
        </w:tc>
        <w:tc>
          <w:tcPr>
            <w:tcW w:type="dxa" w:w="2736"/>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4.88 ± 2.21 (0–8)</w:t>
              <w:br/>
              <w:t>Median = 5.0</w:t>
            </w:r>
          </w:p>
        </w:tc>
      </w:tr>
    </w:tbl>
    <w:p>
      <w:pPr>
        <w:spacing w:after="200"/>
      </w:pPr>
      <w:r>
        <w:rPr>
          <w:i/>
          <w:sz w:val="17"/>
        </w:rPr>
        <w:t>Note: SD = Standard Deviation; DMFT = Decayed, Missing, and Filled Teeth; DMFS = Decayed, Missing, and Filled Surfaces.</w:t>
      </w:r>
    </w:p>
    <w:p>
      <w:pPr>
        <w:keepNext/>
        <w:spacing w:before="120" w:after="40"/>
      </w:pPr>
      <w:r>
        <w:rPr>
          <w:rFonts w:ascii="Calibri" w:hAnsi="Calibri"/>
          <w:b/>
          <w:color w:val="3C3C3C"/>
          <w:sz w:val="23"/>
        </w:rPr>
        <w:t>Table 2. Anatomical distribution and characteristics of the included teeth (N = 118)</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88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Variables</w:t>
            </w:r>
          </w:p>
        </w:tc>
        <w:tc>
          <w:tcPr>
            <w:tcW w:type="dxa" w:w="460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Categories / Tooth Position</w:t>
            </w:r>
          </w:p>
        </w:tc>
        <w:tc>
          <w:tcPr>
            <w:tcW w:type="dxa" w:w="115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w:t>
            </w:r>
          </w:p>
        </w:tc>
        <w:tc>
          <w:tcPr>
            <w:tcW w:type="dxa" w:w="144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Jaw Location (Arch)</w:t>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Maxillary (Upper Arch)</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71</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60.2%</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Mandibular (Lower Arch)</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47</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39.8%</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Dentition &amp; Tooth Type</w:t>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Premolars (P) - Permanent</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77</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65.3%</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Molars (M) - Permanent</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41</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34.7%</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Specific Tooth Distribution</w:t>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Right First Molar (RFM)</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22</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18.6%</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Right First Premolar (RFP)</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21</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17.8%</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Left Second Premolar (LSP)</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20</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16.9%</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Left First Premolar (LFP)</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19</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16.1%</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Left First Molar (LFM)</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18</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15.3%</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Right Second Premolar (RSP)</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17</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14.4%</w:t>
            </w:r>
          </w:p>
        </w:tc>
      </w:tr>
      <w:tr>
        <w:trPr>
          <w:cantSplit/>
        </w:trPr>
        <w:tc>
          <w:tcPr>
            <w:tcW w:type="dxa" w:w="288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r>
          </w:p>
        </w:tc>
        <w:tc>
          <w:tcPr>
            <w:tcW w:type="dxa" w:w="460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Right Second Molar (RSM)</w:t>
            </w:r>
          </w:p>
        </w:tc>
        <w:tc>
          <w:tcPr>
            <w:tcW w:type="dxa" w:w="115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w:t>
            </w:r>
          </w:p>
        </w:tc>
        <w:tc>
          <w:tcPr>
            <w:tcW w:type="dxa" w:w="144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0.8%</w:t>
            </w:r>
          </w:p>
        </w:tc>
      </w:tr>
    </w:tbl>
    <w:p>
      <w:pPr>
        <w:spacing w:after="200"/>
      </w:pPr>
      <w:r>
        <w:rPr>
          <w:i/>
          <w:sz w:val="17"/>
        </w:rPr>
        <w:t>Note: Mean number of sealed teeth per participant was 2.95 ± 1.80 (Range: 1–8 teeth).</w:t>
      </w:r>
    </w:p>
    <w:p>
      <w:pPr>
        <w:keepNext/>
        <w:spacing w:before="120" w:after="40"/>
      </w:pPr>
      <w:r>
        <w:rPr>
          <w:rFonts w:ascii="Calibri" w:hAnsi="Calibri"/>
          <w:b/>
          <w:color w:val="3C3C3C"/>
          <w:sz w:val="23"/>
        </w:rPr>
        <w:t>Table 3. Overall retention rates (Simonsen's criteria) and caries incidence at 3 months (N = 118)</w:t>
      </w:r>
    </w:p>
    <w:tbl>
      <w:tblPr>
        <w:tblW w:type="auto" w:w="0"/>
        <w:jc w:val="center"/>
        <w:tblLook w:firstColumn="1" w:firstRow="1" w:lastColumn="0" w:lastRow="0" w:noHBand="0" w:noVBand="1" w:val="04A0"/>
      </w:tblPr>
      <w:tblGrid>
        <w:gridCol w:w="3120"/>
        <w:gridCol w:w="3120"/>
        <w:gridCol w:w="3120"/>
      </w:tblGrid>
      <w:tr>
        <w:trPr>
          <w:cantSplit/>
          <w:tblHeader/>
        </w:trPr>
        <w:tc>
          <w:tcPr>
            <w:tcW w:type="dxa" w:w="3744"/>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Clinical Parameter</w:t>
            </w:r>
          </w:p>
        </w:tc>
        <w:tc>
          <w:tcPr>
            <w:tcW w:type="dxa" w:w="403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Condition / Category</w:t>
            </w:r>
          </w:p>
        </w:tc>
        <w:tc>
          <w:tcPr>
            <w:tcW w:type="dxa" w:w="2304"/>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N (%)</w:t>
            </w:r>
          </w:p>
        </w:tc>
      </w:tr>
      <w:tr>
        <w:trPr>
          <w:cantSplit/>
        </w:trPr>
        <w:tc>
          <w:tcPr>
            <w:tcW w:type="dxa" w:w="374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Sealant Retention Status</w:t>
            </w:r>
          </w:p>
        </w:tc>
        <w:tc>
          <w:tcPr>
            <w:tcW w:type="dxa" w:w="403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Score 0: Complete Retention</w:t>
            </w:r>
          </w:p>
        </w:tc>
        <w:tc>
          <w:tcPr>
            <w:tcW w:type="dxa" w:w="230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85 (72.0%)</w:t>
            </w:r>
          </w:p>
        </w:tc>
      </w:tr>
      <w:tr>
        <w:trPr>
          <w:cantSplit/>
        </w:trPr>
        <w:tc>
          <w:tcPr>
            <w:tcW w:type="dxa" w:w="374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403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Score 1: Partial Retention</w:t>
            </w:r>
          </w:p>
        </w:tc>
        <w:tc>
          <w:tcPr>
            <w:tcW w:type="dxa" w:w="230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28 (23.7%)</w:t>
            </w:r>
          </w:p>
        </w:tc>
      </w:tr>
      <w:tr>
        <w:trPr>
          <w:cantSplit/>
        </w:trPr>
        <w:tc>
          <w:tcPr>
            <w:tcW w:type="dxa" w:w="374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r>
          </w:p>
        </w:tc>
        <w:tc>
          <w:tcPr>
            <w:tcW w:type="dxa" w:w="403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Score 2: Complete Loss</w:t>
            </w:r>
          </w:p>
        </w:tc>
        <w:tc>
          <w:tcPr>
            <w:tcW w:type="dxa" w:w="230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5 (4.2%)</w:t>
            </w:r>
          </w:p>
        </w:tc>
      </w:tr>
      <w:tr>
        <w:trPr>
          <w:cantSplit/>
        </w:trPr>
        <w:tc>
          <w:tcPr>
            <w:tcW w:type="dxa" w:w="374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Satisfactory Retention</w:t>
            </w:r>
          </w:p>
        </w:tc>
        <w:tc>
          <w:tcPr>
            <w:tcW w:type="dxa" w:w="403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Combined Score 0 + Score 1</w:t>
            </w:r>
          </w:p>
        </w:tc>
        <w:tc>
          <w:tcPr>
            <w:tcW w:type="dxa" w:w="230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113 (95.8%)</w:t>
            </w:r>
          </w:p>
        </w:tc>
      </w:tr>
      <w:tr>
        <w:trPr>
          <w:cantSplit/>
        </w:trPr>
        <w:tc>
          <w:tcPr>
            <w:tcW w:type="dxa" w:w="374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Dental Caries Status</w:t>
            </w:r>
          </w:p>
        </w:tc>
        <w:tc>
          <w:tcPr>
            <w:tcW w:type="dxa" w:w="403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Caries-Free (Sound Tooth)</w:t>
            </w:r>
          </w:p>
        </w:tc>
        <w:tc>
          <w:tcPr>
            <w:tcW w:type="dxa" w:w="230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113 (95.8%)</w:t>
            </w:r>
          </w:p>
        </w:tc>
      </w:tr>
      <w:tr>
        <w:trPr>
          <w:cantSplit/>
        </w:trPr>
        <w:tc>
          <w:tcPr>
            <w:tcW w:type="dxa" w:w="3744"/>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r>
          </w:p>
        </w:tc>
        <w:tc>
          <w:tcPr>
            <w:tcW w:type="dxa" w:w="403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Caries Incidence (Decayed)</w:t>
            </w:r>
          </w:p>
        </w:tc>
        <w:tc>
          <w:tcPr>
            <w:tcW w:type="dxa" w:w="2304"/>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(4.2%)</w:t>
            </w:r>
          </w:p>
        </w:tc>
      </w:tr>
    </w:tbl>
    <w:p>
      <w:pPr>
        <w:spacing w:after="200"/>
      </w:pPr>
      <w:r>
        <w:rPr>
          <w:i/>
          <w:sz w:val="17"/>
        </w:rPr>
        <w:t>Note: Complete retention alone was 72.0% (n = 85); satisfactory retention (complete + partial retention) was 95.8% (n = 113).</w:t>
      </w:r>
    </w:p>
    <w:p>
      <w:pPr>
        <w:keepNext/>
        <w:spacing w:before="120" w:after="40"/>
      </w:pPr>
      <w:r>
        <w:rPr>
          <w:rFonts w:ascii="Calibri" w:hAnsi="Calibri"/>
          <w:b/>
          <w:color w:val="3C3C3C"/>
          <w:sz w:val="23"/>
        </w:rPr>
        <w:t>Table 4. Comparison of sealant retention according to anatomical factors: Jaw Location and Tooth Type (N = 118)</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59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Variables</w:t>
            </w:r>
          </w:p>
        </w:tc>
        <w:tc>
          <w:tcPr>
            <w:tcW w:type="dxa" w:w="1584"/>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0 (Complete)</w:t>
              <w:br/>
              <w:t>N (%)</w:t>
            </w:r>
          </w:p>
        </w:tc>
        <w:tc>
          <w:tcPr>
            <w:tcW w:type="dxa" w:w="144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1 (Partial)</w:t>
              <w:br/>
              <w:t>N (%)</w:t>
            </w:r>
          </w:p>
        </w:tc>
        <w:tc>
          <w:tcPr>
            <w:tcW w:type="dxa" w:w="144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2 (Missing)</w:t>
              <w:br/>
              <w:t>N (%)</w:t>
            </w:r>
          </w:p>
        </w:tc>
        <w:tc>
          <w:tcPr>
            <w:tcW w:type="dxa" w:w="115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Mann-Whitney U</w:t>
            </w:r>
          </w:p>
        </w:tc>
        <w:tc>
          <w:tcPr>
            <w:tcW w:type="dxa" w:w="864"/>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Z-value</w:t>
            </w:r>
          </w:p>
        </w:tc>
        <w:tc>
          <w:tcPr>
            <w:tcW w:type="dxa" w:w="100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Maxillary (Upper, n=71)</w:t>
            </w:r>
          </w:p>
        </w:tc>
        <w:tc>
          <w:tcPr>
            <w:tcW w:type="dxa" w:w="158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52 (73.2%)</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17 (23.9%)</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 (2.8%)</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1603.5</w:t>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-0.456</w:t>
            </w:r>
          </w:p>
        </w:tc>
        <w:tc>
          <w:tcPr>
            <w:tcW w:type="dxa" w:w="10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0.648 (NS)</w:t>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Mandibular (Lower, n=47)</w:t>
            </w:r>
          </w:p>
        </w:tc>
        <w:tc>
          <w:tcPr>
            <w:tcW w:type="dxa" w:w="158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33 (70.2%)</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11 (23.4%)</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3 (6.4%)</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r>
          </w:p>
        </w:tc>
        <w:tc>
          <w:tcPr>
            <w:tcW w:type="dxa" w:w="10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Premolars (n=77)</w:t>
            </w:r>
          </w:p>
        </w:tc>
        <w:tc>
          <w:tcPr>
            <w:tcW w:type="dxa" w:w="158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62 (80.5%)</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15 (19.5%)</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 (0.0%)</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1155.5</w:t>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-3.054</w:t>
            </w:r>
          </w:p>
        </w:tc>
        <w:tc>
          <w:tcPr>
            <w:tcW w:type="dxa" w:w="10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0.002 **</w:t>
            </w:r>
          </w:p>
        </w:tc>
      </w:tr>
      <w:tr>
        <w:trPr>
          <w:cantSplit/>
        </w:trPr>
        <w:tc>
          <w:tcPr>
            <w:tcW w:type="dxa" w:w="259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Molars (n=41)</w:t>
            </w:r>
          </w:p>
        </w:tc>
        <w:tc>
          <w:tcPr>
            <w:tcW w:type="dxa" w:w="1584"/>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23 (56.1%)</w:t>
            </w:r>
          </w:p>
        </w:tc>
        <w:tc>
          <w:tcPr>
            <w:tcW w:type="dxa" w:w="144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13 (31.7%)</w:t>
            </w:r>
          </w:p>
        </w:tc>
        <w:tc>
          <w:tcPr>
            <w:tcW w:type="dxa" w:w="144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(12.2%)</w:t>
            </w:r>
          </w:p>
        </w:tc>
        <w:tc>
          <w:tcPr>
            <w:tcW w:type="dxa" w:w="115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864"/>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00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200"/>
      </w:pPr>
      <w:r>
        <w:rPr>
          <w:i/>
          <w:sz w:val="17"/>
        </w:rPr>
        <w:t>Note: ** Statistically significant at p &lt; 0.01; NS = Not statistically significant (p &gt; 0.05). Mean ranks: Upper arch = 58.58, Lower arch = 60.88; Premolars = 54.01, Molars = 69.82.</w:t>
      </w:r>
    </w:p>
    <w:p>
      <w:pPr>
        <w:keepNext/>
        <w:spacing w:before="120" w:after="40"/>
      </w:pPr>
      <w:r>
        <w:rPr>
          <w:rFonts w:ascii="Calibri" w:hAnsi="Calibri"/>
          <w:b/>
          <w:color w:val="3C3C3C"/>
          <w:sz w:val="23"/>
        </w:rPr>
        <w:t>Table 5. Comparison of sealant retention according to demographic variables: Gender and Age Subgroups (N = 118)</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59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Demographic Factors</w:t>
            </w:r>
          </w:p>
        </w:tc>
        <w:tc>
          <w:tcPr>
            <w:tcW w:type="dxa" w:w="1584"/>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0 (Complete)</w:t>
              <w:br/>
              <w:t>N (%)</w:t>
            </w:r>
          </w:p>
        </w:tc>
        <w:tc>
          <w:tcPr>
            <w:tcW w:type="dxa" w:w="144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1 (Partial)</w:t>
              <w:br/>
              <w:t>N (%)</w:t>
            </w:r>
          </w:p>
        </w:tc>
        <w:tc>
          <w:tcPr>
            <w:tcW w:type="dxa" w:w="144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Score 2 (Missing)</w:t>
              <w:br/>
              <w:t>N (%)</w:t>
            </w:r>
          </w:p>
        </w:tc>
        <w:tc>
          <w:tcPr>
            <w:tcW w:type="dxa" w:w="115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Mann-Whitney U</w:t>
            </w:r>
          </w:p>
        </w:tc>
        <w:tc>
          <w:tcPr>
            <w:tcW w:type="dxa" w:w="864"/>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Z-value</w:t>
            </w:r>
          </w:p>
        </w:tc>
        <w:tc>
          <w:tcPr>
            <w:tcW w:type="dxa" w:w="100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p-value</w:t>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Male Teeth (n=75)</w:t>
            </w:r>
          </w:p>
        </w:tc>
        <w:tc>
          <w:tcPr>
            <w:tcW w:type="dxa" w:w="158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57 (76.0%)</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15 (20.0%)</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3 (4.0%)</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1441.5</w:t>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-1.221</w:t>
            </w:r>
          </w:p>
        </w:tc>
        <w:tc>
          <w:tcPr>
            <w:tcW w:type="dxa" w:w="10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0.222 (NS)</w:t>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Female Teeth (n=43)</w:t>
            </w:r>
          </w:p>
        </w:tc>
        <w:tc>
          <w:tcPr>
            <w:tcW w:type="dxa" w:w="158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28 (65.1%)</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13 (30.2%)</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 (4.7%)</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r>
          </w:p>
        </w:tc>
        <w:tc>
          <w:tcPr>
            <w:tcW w:type="dxa" w:w="10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Age ≤ 10 Years (n=53)</w:t>
            </w:r>
          </w:p>
        </w:tc>
        <w:tc>
          <w:tcPr>
            <w:tcW w:type="dxa" w:w="158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32 (60.4%)</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16 (30.2%)</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5 (9.4%)</w:t>
            </w:r>
          </w:p>
        </w:tc>
        <w:tc>
          <w:tcPr>
            <w:tcW w:type="dxa" w:w="115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1328.0</w:t>
            </w:r>
          </w:p>
        </w:tc>
        <w:tc>
          <w:tcPr>
            <w:tcW w:type="dxa" w:w="86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-2.726</w:t>
            </w:r>
          </w:p>
        </w:tc>
        <w:tc>
          <w:tcPr>
            <w:tcW w:type="dxa" w:w="10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0.006 **</w:t>
            </w:r>
          </w:p>
        </w:tc>
      </w:tr>
      <w:tr>
        <w:trPr>
          <w:cantSplit/>
        </w:trPr>
        <w:tc>
          <w:tcPr>
            <w:tcW w:type="dxa" w:w="259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Age &gt; 10 Years (n=65)</w:t>
            </w:r>
          </w:p>
        </w:tc>
        <w:tc>
          <w:tcPr>
            <w:tcW w:type="dxa" w:w="1584"/>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53 (81.5%)</w:t>
            </w:r>
          </w:p>
        </w:tc>
        <w:tc>
          <w:tcPr>
            <w:tcW w:type="dxa" w:w="144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12 (18.5%)</w:t>
            </w:r>
          </w:p>
        </w:tc>
        <w:tc>
          <w:tcPr>
            <w:tcW w:type="dxa" w:w="144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 (0.0%)</w:t>
            </w:r>
          </w:p>
        </w:tc>
        <w:tc>
          <w:tcPr>
            <w:tcW w:type="dxa" w:w="115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864"/>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c>
          <w:tcPr>
            <w:tcW w:type="dxa" w:w="100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200"/>
      </w:pPr>
      <w:r>
        <w:rPr>
          <w:i/>
          <w:sz w:val="17"/>
        </w:rPr>
        <w:t>Note: ** Statistically significant at p &lt; 0.01; NS = Not significant (p &gt; 0.05). Mean ranks: Male = 57.22, Female = 63.48; Age ≤ 10 = 66.94, Age &gt; 10 = 53.43.</w:t>
      </w:r>
    </w:p>
    <w:p>
      <w:pPr>
        <w:keepNext/>
        <w:spacing w:before="120" w:after="40"/>
      </w:pPr>
      <w:r>
        <w:rPr>
          <w:rFonts w:ascii="Calibri" w:hAnsi="Calibri"/>
          <w:b/>
          <w:color w:val="3C3C3C"/>
          <w:sz w:val="23"/>
        </w:rPr>
        <w:t>Table 6. Cross-tabulation and association between sealant retention and 3-month caries incidence (N = 118)</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88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Retention Status (Simonsen's)</w:t>
            </w:r>
          </w:p>
        </w:tc>
        <w:tc>
          <w:tcPr>
            <w:tcW w:type="dxa" w:w="2016"/>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Caries-Free (Sound)</w:t>
              <w:br/>
              <w:t>N (%)</w:t>
            </w:r>
          </w:p>
        </w:tc>
        <w:tc>
          <w:tcPr>
            <w:tcW w:type="dxa" w:w="172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Caries Incidence</w:t>
              <w:br/>
              <w:t>N (%)</w:t>
            </w:r>
          </w:p>
        </w:tc>
        <w:tc>
          <w:tcPr>
            <w:tcW w:type="dxa" w:w="144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Total Evaluated</w:t>
            </w:r>
          </w:p>
        </w:tc>
        <w:tc>
          <w:tcPr>
            <w:tcW w:type="dxa" w:w="172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Primary Exact Test</w:t>
            </w:r>
          </w:p>
        </w:tc>
        <w:tc>
          <w:tcPr>
            <w:tcW w:type="dxa" w:w="172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Secondary Asymptotic</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Score 0: Completely Retained</w:t>
            </w:r>
          </w:p>
        </w:tc>
        <w:tc>
          <w:tcPr>
            <w:tcW w:type="dxa" w:w="201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85 (100.0%)</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 (0.0%)</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85 (100.0%)</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Fisher-Freeman-Halton</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Pearson χ² = 118.00</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Score 1: Partially Retained</w:t>
            </w:r>
          </w:p>
        </w:tc>
        <w:tc>
          <w:tcPr>
            <w:tcW w:type="dxa" w:w="201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28 (100.0%)</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 (0.0%)</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28 (100.0%)</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Exact Test:</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df = 2</w:t>
            </w:r>
          </w:p>
        </w:tc>
      </w:tr>
      <w:tr>
        <w:trPr>
          <w:cantSplit/>
        </w:trPr>
        <w:tc>
          <w:tcPr>
            <w:tcW w:type="dxa" w:w="288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Score 2: Completely Missing</w:t>
            </w:r>
          </w:p>
        </w:tc>
        <w:tc>
          <w:tcPr>
            <w:tcW w:type="dxa" w:w="201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 (0.0%)</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5 (100.0%)</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5 (100.0%)</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p &lt; 0.0001 ***</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p &lt; 0.0001</w:t>
            </w:r>
          </w:p>
        </w:tc>
      </w:tr>
      <w:tr>
        <w:trPr>
          <w:cantSplit/>
        </w:trPr>
        <w:tc>
          <w:tcPr>
            <w:tcW w:type="dxa" w:w="288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Total Overall</w:t>
            </w:r>
          </w:p>
        </w:tc>
        <w:tc>
          <w:tcPr>
            <w:tcW w:type="dxa" w:w="2016"/>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113 (95.8%)</w:t>
            </w:r>
          </w:p>
        </w:tc>
        <w:tc>
          <w:tcPr>
            <w:tcW w:type="dxa" w:w="172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 (4.2%)</w:t>
            </w:r>
          </w:p>
        </w:tc>
        <w:tc>
          <w:tcPr>
            <w:tcW w:type="dxa" w:w="144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118 (100.0%)</w:t>
            </w:r>
          </w:p>
        </w:tc>
        <w:tc>
          <w:tcPr>
            <w:tcW w:type="dxa" w:w="172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(Exact p = 5.75 × 10⁻⁹)</w:t>
            </w:r>
          </w:p>
        </w:tc>
        <w:tc>
          <w:tcPr>
            <w:tcW w:type="dxa" w:w="172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r>
          </w:p>
        </w:tc>
      </w:tr>
    </w:tbl>
    <w:p>
      <w:pPr>
        <w:spacing w:after="200"/>
      </w:pPr>
      <w:r>
        <w:rPr>
          <w:i/>
          <w:sz w:val="17"/>
        </w:rPr>
        <w:t>Note: *** Highly statistically significant. Primary test: Fisher-Freeman-Halton exact test (p &lt; 0.0001) due to sparse cell frequencies (&lt; 5) and zero cells; Pearson Chi-Square is reported as supporting secondary analysis. 100% of caries occurred in the complete loss group.</w:t>
      </w:r>
    </w:p>
    <w:p>
      <w:pPr>
        <w:keepNext/>
        <w:spacing w:before="120" w:after="40"/>
      </w:pPr>
      <w:r>
        <w:rPr>
          <w:rFonts w:ascii="Calibri" w:hAnsi="Calibri"/>
          <w:b/>
          <w:color w:val="3C3C3C"/>
          <w:sz w:val="23"/>
        </w:rPr>
        <w:t>Table 7. Baseline caries indices (DMFT and DMFS) stratified by 3-month sealant retention status</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Retention Group (Simonsen's)</w:t>
            </w:r>
          </w:p>
        </w:tc>
        <w:tc>
          <w:tcPr>
            <w:tcW w:type="dxa" w:w="100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Sample Size (Teeth)</w:t>
            </w:r>
          </w:p>
        </w:tc>
        <w:tc>
          <w:tcPr>
            <w:tcW w:type="dxa" w:w="2016"/>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Baseline DMFT (Mean ± SD)</w:t>
            </w:r>
          </w:p>
        </w:tc>
        <w:tc>
          <w:tcPr>
            <w:tcW w:type="dxa" w:w="2016"/>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Baseline DMFS (Mean ± SD)</w:t>
            </w:r>
          </w:p>
        </w:tc>
        <w:tc>
          <w:tcPr>
            <w:tcW w:type="dxa" w:w="187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Kruskal-Wallis Test (Primary)</w:t>
            </w:r>
          </w:p>
        </w:tc>
        <w:tc>
          <w:tcPr>
            <w:tcW w:type="dxa" w:w="187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ANOVA (Supporting)</w:t>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Score 0: Completely Retained</w:t>
            </w:r>
          </w:p>
        </w:tc>
        <w:tc>
          <w:tcPr>
            <w:tcW w:type="dxa" w:w="10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85</w:t>
            </w:r>
          </w:p>
        </w:tc>
        <w:tc>
          <w:tcPr>
            <w:tcW w:type="dxa" w:w="201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2.24 ± 1.19</w:t>
            </w:r>
          </w:p>
        </w:tc>
        <w:tc>
          <w:tcPr>
            <w:tcW w:type="dxa" w:w="201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4.52 ± 2.33</w:t>
            </w:r>
          </w:p>
        </w:tc>
        <w:tc>
          <w:tcPr>
            <w:tcW w:type="dxa" w:w="187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DMFT: H = 0.566, p = 0.753</w:t>
            </w:r>
          </w:p>
        </w:tc>
        <w:tc>
          <w:tcPr>
            <w:tcW w:type="dxa" w:w="187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DMFT: F = 0.187, p = 0.830</w:t>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Score 1: Partially Retained</w:t>
            </w:r>
          </w:p>
        </w:tc>
        <w:tc>
          <w:tcPr>
            <w:tcW w:type="dxa" w:w="100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28</w:t>
            </w:r>
          </w:p>
        </w:tc>
        <w:tc>
          <w:tcPr>
            <w:tcW w:type="dxa" w:w="201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2.39 ± 1.20</w:t>
            </w:r>
          </w:p>
        </w:tc>
        <w:tc>
          <w:tcPr>
            <w:tcW w:type="dxa" w:w="2016"/>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4.89 ± 2.20</w:t>
            </w:r>
          </w:p>
        </w:tc>
        <w:tc>
          <w:tcPr>
            <w:tcW w:type="dxa" w:w="187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DMFS: H = 0.601, p = 0.740</w:t>
            </w:r>
          </w:p>
        </w:tc>
        <w:tc>
          <w:tcPr>
            <w:tcW w:type="dxa" w:w="187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DMFS: F = 0.345, p = 0.709</w:t>
            </w:r>
          </w:p>
        </w:tc>
      </w:tr>
      <w:tr>
        <w:trPr>
          <w:cantSplit/>
        </w:trPr>
        <w:tc>
          <w:tcPr>
            <w:tcW w:type="dxa" w:w="259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Score 2: Completely Missing</w:t>
            </w:r>
          </w:p>
        </w:tc>
        <w:tc>
          <w:tcPr>
            <w:tcW w:type="dxa" w:w="100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5</w:t>
            </w:r>
          </w:p>
        </w:tc>
        <w:tc>
          <w:tcPr>
            <w:tcW w:type="dxa" w:w="2016"/>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2.20 ± 1.64</w:t>
            </w:r>
          </w:p>
        </w:tc>
        <w:tc>
          <w:tcPr>
            <w:tcW w:type="dxa" w:w="2016"/>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4.20 ± 3.19</w:t>
            </w:r>
          </w:p>
        </w:tc>
        <w:tc>
          <w:tcPr>
            <w:tcW w:type="dxa" w:w="187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(df = 2, Non-Significant)</w:t>
            </w:r>
          </w:p>
        </w:tc>
        <w:tc>
          <w:tcPr>
            <w:tcW w:type="dxa" w:w="187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(df = 2, 115, NS)</w:t>
            </w:r>
          </w:p>
        </w:tc>
      </w:tr>
    </w:tbl>
    <w:p>
      <w:pPr>
        <w:spacing w:after="200"/>
      </w:pPr>
      <w:r>
        <w:rPr>
          <w:i/>
          <w:sz w:val="17"/>
        </w:rPr>
        <w:t>Note: Non-parametric Kruskal-Wallis H-test is reported as primary due to small group size in Score 2 (n = 5). Baseline caries experience did not differ significantly across retention groups (p &gt; 0.05), demonstrating no baseline confounding.</w:t>
      </w:r>
    </w:p>
    <w:p>
      <w:pPr>
        <w:keepNext/>
        <w:spacing w:before="120" w:after="40"/>
      </w:pPr>
      <w:r>
        <w:rPr>
          <w:rFonts w:ascii="Calibri" w:hAnsi="Calibri"/>
          <w:b/>
          <w:color w:val="3C3C3C"/>
          <w:sz w:val="23"/>
        </w:rPr>
        <w:t>Table 8. Clustered sensitivity analysis using Generalized Estimating Equations (GEE) adjusting for 40 patient clusters (N = 118 teeth)</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left"/>
            </w:pPr>
            <w:r>
              <w:rPr>
                <w:rFonts w:ascii="Calibri" w:hAnsi="Calibri"/>
                <w:b/>
                <w:color w:val="143C78"/>
                <w:sz w:val="19"/>
              </w:rPr>
              <w:t>Independent Predictor</w:t>
            </w:r>
          </w:p>
        </w:tc>
        <w:tc>
          <w:tcPr>
            <w:tcW w:type="dxa" w:w="172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Unadjusted Tooth-Level p-value</w:t>
            </w:r>
          </w:p>
        </w:tc>
        <w:tc>
          <w:tcPr>
            <w:tcW w:type="dxa" w:w="1728"/>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GEE Robust Coef (SE)</w:t>
            </w:r>
          </w:p>
        </w:tc>
        <w:tc>
          <w:tcPr>
            <w:tcW w:type="dxa" w:w="144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Robust z-statistic</w:t>
            </w:r>
          </w:p>
        </w:tc>
        <w:tc>
          <w:tcPr>
            <w:tcW w:type="dxa" w:w="1584"/>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Cluster-Adjusted p-value</w:t>
            </w:r>
          </w:p>
        </w:tc>
        <w:tc>
          <w:tcPr>
            <w:tcW w:type="dxa" w:w="2160"/>
            <w:vAlign w:val="center"/>
            <w:tcMar>
              <w:top w:w="120" w:type="dxa"/>
              <w:bottom w:w="120" w:type="dxa"/>
              <w:left w:w="160" w:type="dxa"/>
              <w:right w:w="160" w:type="dxa"/>
            </w:tcMar>
            <w:tcBorders>
              <w:top w:val="single" w:sz="12" w:space="0" w:color="143C78"/>
              <w:left w:val="none"/>
              <w:bottom w:val="single" w:sz="10" w:space="0" w:color="143C78"/>
              <w:right w:val="none"/>
              <w:insideH w:val="none"/>
              <w:insideV w:val="none"/>
            </w:tcBorders>
            <w:shd w:fill="F0F4F8"/>
          </w:tcPr>
          <w:p>
            <w:pPr>
              <w:spacing w:before="40" w:after="40" w:line="252" w:lineRule="auto"/>
              <w:jc w:val="center"/>
            </w:pPr>
            <w:r>
              <w:rPr>
                <w:rFonts w:ascii="Calibri" w:hAnsi="Calibri"/>
                <w:b/>
                <w:color w:val="143C78"/>
                <w:sz w:val="19"/>
              </w:rPr>
              <w:t>Adjusted Odds Ratio (95% CI)</w:t>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Tooth Type (Molars vs. Premolars)</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p = 0.002 **</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-1.133 (0.401)</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-2.828</w:t>
            </w:r>
          </w:p>
        </w:tc>
        <w:tc>
          <w:tcPr>
            <w:tcW w:type="dxa" w:w="158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p = 0.005 **</w:t>
            </w:r>
          </w:p>
        </w:tc>
        <w:tc>
          <w:tcPr>
            <w:tcW w:type="dxa" w:w="216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0.322 (0.147 – 0.706)</w:t>
            </w:r>
          </w:p>
        </w:tc>
      </w:tr>
      <w:tr>
        <w:trPr>
          <w:cantSplit/>
        </w:trPr>
        <w:tc>
          <w:tcPr>
            <w:tcW w:type="dxa" w:w="2592"/>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left"/>
            </w:pPr>
            <w:r>
              <w:rPr>
                <w:rFonts w:ascii="Calibri" w:hAnsi="Calibri"/>
                <w:sz w:val="19"/>
              </w:rPr>
              <w:t>Age Group (&gt; 10 vs. ≤ 10 Years)</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p = 0.006 **</w:t>
            </w:r>
          </w:p>
        </w:tc>
        <w:tc>
          <w:tcPr>
            <w:tcW w:type="dxa" w:w="1728"/>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+1.140 (0.314)</w:t>
            </w:r>
          </w:p>
        </w:tc>
        <w:tc>
          <w:tcPr>
            <w:tcW w:type="dxa" w:w="144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+3.626</w:t>
            </w:r>
          </w:p>
        </w:tc>
        <w:tc>
          <w:tcPr>
            <w:tcW w:type="dxa" w:w="1584"/>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p = 0.0003 ***</w:t>
            </w:r>
          </w:p>
        </w:tc>
        <w:tc>
          <w:tcPr>
            <w:tcW w:type="dxa" w:w="2160"/>
            <w:vAlign w:val="center"/>
            <w:tcMar>
              <w:top w:w="120" w:type="dxa"/>
              <w:bottom w:w="120" w:type="dxa"/>
              <w:left w:w="160" w:type="dxa"/>
              <w:right w:w="160" w:type="dxa"/>
            </w:tcMar>
            <w:tcBorders>
              <w:top w:val="none"/>
              <w:left w:val="none"/>
              <w:bottom w:val="single" w:sz="4" w:space="0" w:color="E0E0E0"/>
              <w:right w:val="none"/>
              <w:insideH w:val="none"/>
              <w:insideV w:val="none"/>
            </w:tcBorders>
          </w:tcPr>
          <w:p>
            <w:pPr>
              <w:spacing w:before="40" w:after="40" w:line="252" w:lineRule="auto"/>
              <w:jc w:val="center"/>
            </w:pPr>
            <w:r>
              <w:rPr>
                <w:rFonts w:ascii="Calibri" w:hAnsi="Calibri"/>
                <w:sz w:val="19"/>
              </w:rPr>
              <w:t>3.126 (1.688 – 5.790)</w:t>
            </w:r>
          </w:p>
        </w:tc>
      </w:tr>
      <w:tr>
        <w:trPr>
          <w:cantSplit/>
        </w:trPr>
        <w:tc>
          <w:tcPr>
            <w:tcW w:type="dxa" w:w="2592"/>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left"/>
            </w:pPr>
            <w:r>
              <w:rPr>
                <w:rFonts w:ascii="Calibri" w:hAnsi="Calibri"/>
                <w:sz w:val="19"/>
              </w:rPr>
              <w:t>Jaw Location (Upper vs. Lower Arch)</w:t>
            </w:r>
          </w:p>
        </w:tc>
        <w:tc>
          <w:tcPr>
            <w:tcW w:type="dxa" w:w="172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p = 0.648 (NS)</w:t>
            </w:r>
          </w:p>
        </w:tc>
        <w:tc>
          <w:tcPr>
            <w:tcW w:type="dxa" w:w="1728"/>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-0.131 (0.508)</w:t>
            </w:r>
          </w:p>
        </w:tc>
        <w:tc>
          <w:tcPr>
            <w:tcW w:type="dxa" w:w="144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-0.258</w:t>
            </w:r>
          </w:p>
        </w:tc>
        <w:tc>
          <w:tcPr>
            <w:tcW w:type="dxa" w:w="1584"/>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p = 0.797 (NS)</w:t>
            </w:r>
          </w:p>
        </w:tc>
        <w:tc>
          <w:tcPr>
            <w:tcW w:type="dxa" w:w="2160"/>
            <w:vAlign w:val="center"/>
            <w:tcMar>
              <w:top w:w="120" w:type="dxa"/>
              <w:bottom w:w="120" w:type="dxa"/>
              <w:left w:w="160" w:type="dxa"/>
              <w:right w:w="160" w:type="dxa"/>
            </w:tcMar>
            <w:tcBorders>
              <w:top w:val="none"/>
              <w:left w:val="none"/>
              <w:bottom w:val="single" w:sz="12" w:space="0" w:color="143C78"/>
              <w:right w:val="none"/>
              <w:insideH w:val="none"/>
              <w:insideV w:val="none"/>
            </w:tcBorders>
          </w:tcPr>
          <w:p>
            <w:pPr>
              <w:spacing w:before="40" w:after="40" w:line="252" w:lineRule="auto"/>
              <w:jc w:val="center"/>
            </w:pPr>
            <w:r>
              <w:rPr>
                <w:rFonts w:ascii="Calibri" w:hAnsi="Calibri"/>
                <w:sz w:val="19"/>
              </w:rPr>
              <w:t>0.877 (0.324 – 2.373)</w:t>
            </w:r>
          </w:p>
        </w:tc>
      </w:tr>
    </w:tbl>
    <w:p>
      <w:pPr>
        <w:spacing w:after="280"/>
      </w:pPr>
      <w:r>
        <w:rPr>
          <w:i/>
          <w:sz w:val="17"/>
        </w:rPr>
        <w:t>Note: GEE models specified Binomial family, logit link, exchangeable correlation structure across 40 patient clusters (mean cluster size = 2.95 teeth). All statistical conclusions remain completely robust.</w:t>
      </w:r>
    </w:p>
    <w:p>
      <w:pPr>
        <w:keepNext/>
        <w:spacing w:before="280" w:after="80"/>
      </w:pPr>
      <w:r>
        <w:rPr>
          <w:rFonts w:ascii="Calibri" w:hAnsi="Calibri"/>
          <w:b/>
          <w:color w:val="143C78"/>
          <w:sz w:val="32"/>
        </w:rPr>
        <w:t>4. Comprehensive Academic Discussion</w:t>
      </w:r>
    </w:p>
    <w:p>
      <w:pPr>
        <w:keepNext/>
        <w:spacing w:before="200" w:after="60"/>
      </w:pPr>
      <w:r>
        <w:rPr>
          <w:rFonts w:ascii="Calibri" w:hAnsi="Calibri"/>
          <w:b/>
          <w:color w:val="285A96"/>
          <w:sz w:val="26"/>
        </w:rPr>
        <w:t>4.1 Overall Retention and Clinical Associations with Caries Incidence</w:t>
      </w:r>
    </w:p>
    <w:p>
      <w:r>
        <w:t>The current longitudinal investigation demonstrated a 3-month complete retention rate of 72.0% and a satisfactory retention rate (complete plus partial retention) of 95.8%. These clinical findings are in robust agreement with contemporary pediatric dental literature, confirming that resin-based pit and fissure sealants provide an effective mechanical barrier during the initial healing and adaptation period. The caries incidence at 3 months was restricted to 4.2% (n = 5), with 95.8% of sealed teeth remaining entirely caries-free.</w:t>
      </w:r>
    </w:p>
    <w:p>
      <w:r>
        <w:t>Cross-tabulation analysis revealed a definitive association between sealant retention status and 3-month caries incidence (Fisher-Freeman-Halton exact test p &lt; 0.0001; Pearson χ² = 118.00, p &lt; 0.0001). While 100% of teeth exhibiting complete (Score 0) or partial (Score 1) sealant retention remained caries-free, 100% of carious lesions developed exclusively in teeth that suffered complete sealant loss (Score 2). Because this was a 3-month observational study without an untreated control group, these findings establish a strong clinical association between sealant retention and caries-free status rather than causal prevention, recognizing that oral hygiene habits, diet, and salivary factors also contribute to individual caries risk.</w:t>
      </w:r>
    </w:p>
    <w:p>
      <w:pPr>
        <w:keepNext/>
        <w:spacing w:before="200" w:after="60"/>
      </w:pPr>
      <w:r>
        <w:rPr>
          <w:rFonts w:ascii="Calibri" w:hAnsi="Calibri"/>
          <w:b/>
          <w:color w:val="285A96"/>
          <w:sz w:val="26"/>
        </w:rPr>
        <w:t>4.2 Anatomical Determinants: Premolars versus Molars</w:t>
      </w:r>
    </w:p>
    <w:p>
      <w:r>
        <w:t>A major finding of this study is the statistically significant disparity in sealant retention between premolars and molars (Mann-Whitney U = 1155.5, Z = -3.054, p = 0.002; GEE cluster-adjusted p = 0.005). Premolars demonstrated superior retention (80.5% complete retention, 19.5% partial retention, and 0.0% complete loss), whereas molars exhibited 56.1% complete retention, 31.7% partial loss, and all 5 cases of total sealant loss (12.2%).</w:t>
      </w:r>
    </w:p>
    <w:p>
      <w:r>
        <w:t>This biological and technical difference is explained by multiple clinical factors:</w:t>
      </w:r>
    </w:p>
    <w:p>
      <w:pPr>
        <w:pStyle w:val="ListBullet"/>
      </w:pPr>
      <w:r>
        <w:rPr>
          <w:b/>
        </w:rPr>
        <w:t xml:space="preserve">Fissure Depth and Morphology: </w:t>
      </w:r>
      <w:r>
        <w:t>Permanent molars possess significantly deeper, narrower, and more tortuous 'I-type' and 'K-type' fissure anatomies containing organic plugs and trapped debris, which impede deep acid etchant and resin penetration compared to the shallower, flatter groove anatomy of premolars.</w:t>
      </w:r>
    </w:p>
    <w:p>
      <w:pPr>
        <w:pStyle w:val="ListBullet"/>
      </w:pPr>
      <w:r>
        <w:rPr>
          <w:b/>
        </w:rPr>
        <w:t xml:space="preserve">Moisture Control and Field Isolation: </w:t>
      </w:r>
      <w:r>
        <w:t>Moisture control in the posterior molar region is technically demanding in pediatric patients due to saliva pooling in the posterior vestibule and active tongue movement, predisposing molar enamel to salivary contamination and impaired resin-tag micromechanical interlocking.</w:t>
      </w:r>
    </w:p>
    <w:p>
      <w:pPr>
        <w:pStyle w:val="ListBullet"/>
      </w:pPr>
      <w:r>
        <w:rPr>
          <w:b/>
        </w:rPr>
        <w:t xml:space="preserve">Crown Eruption Status: </w:t>
      </w:r>
      <w:r>
        <w:t>Newly emerged permanent first molars often exhibit an operculum or partially erupted distal marginal ridge, making moisture isolation and etch placement clinically challenging.</w:t>
      </w:r>
    </w:p>
    <w:p>
      <w:pPr>
        <w:pStyle w:val="ListBullet"/>
      </w:pPr>
      <w:r>
        <w:rPr>
          <w:b/>
        </w:rPr>
        <w:t xml:space="preserve">Occlusal Masticatory Forces: </w:t>
      </w:r>
      <w:r>
        <w:t>Permanent first molars bear the heaviest masticatory stress and primary vertical crushing loads during chewing, increasing the risk of mechanical sealant shearing and micro-fractures.</w:t>
      </w:r>
    </w:p>
    <w:p>
      <w:pPr>
        <w:keepNext/>
        <w:spacing w:before="200" w:after="60"/>
      </w:pPr>
      <w:r>
        <w:rPr>
          <w:rFonts w:ascii="Calibri" w:hAnsi="Calibri"/>
          <w:b/>
          <w:color w:val="285A96"/>
          <w:sz w:val="26"/>
        </w:rPr>
        <w:t>4.3 Arch Location: Maxillary versus Mandibular Distribution</w:t>
      </w:r>
    </w:p>
    <w:p>
      <w:r>
        <w:t>In contrast to tooth type, jaw location (Maxillary vs. Mandibular arch) exerted no statistically significant influence on sealant retention (Mann-Whitney U = 1603.5, p = 0.648; GEE cluster-adjusted p = 0.797). Maxillary teeth demonstrated 73.2% complete retention and 2.8% total loss, while mandibular teeth demonstrated 70.2% complete retention and 6.4% total loss. This finding aligns with the published literature, indicating that when standardized quadrant cotton-roll isolation and suction protocols are meticulously maintained, the arch location does not compromise clinical retention.</w:t>
      </w:r>
    </w:p>
    <w:p>
      <w:pPr>
        <w:keepNext/>
        <w:spacing w:before="200" w:after="60"/>
      </w:pPr>
      <w:r>
        <w:rPr>
          <w:rFonts w:ascii="Calibri" w:hAnsi="Calibri"/>
          <w:b/>
          <w:color w:val="285A96"/>
          <w:sz w:val="26"/>
        </w:rPr>
        <w:t>4.4 Age Subgroup Influence and Behavioral Cooperation</w:t>
      </w:r>
    </w:p>
    <w:p>
      <w:r>
        <w:t>A statistically significant difference in retention was identified across age groups (Mann-Whitney U = 1328.0, Z = -2.726, p = 0.006; GEE cluster-adjusted p = 0.0003). Children older than 10 years (11–12 years) achieved 81.5% complete retention and 0.0% total loss, whereas children aged ≤ 10 years (8–10 years) exhibited 60.4% complete retention and all 5 cases of total loss (9.4%).</w:t>
      </w:r>
    </w:p>
    <w:p>
      <w:r>
        <w:t>This outcome reflects two intertwined factors: first, older pediatric patients demonstrate greater psychological maturity and behavioral cooperation in the dental chair, facilitating superior moisture control. Second, permanent premolars and second molars in older children have achieved full clinical crown eruption, eliminating the subgingival distal operculum often present in newly erupted first molars of younger children.</w:t>
      </w:r>
    </w:p>
    <w:p>
      <w:pPr>
        <w:keepNext/>
        <w:spacing w:before="200" w:after="60"/>
      </w:pPr>
      <w:r>
        <w:rPr>
          <w:rFonts w:ascii="Calibri" w:hAnsi="Calibri"/>
          <w:b/>
          <w:color w:val="285A96"/>
          <w:sz w:val="26"/>
        </w:rPr>
        <w:t>4.5 Methodological Strengths and Clustering Sensitivity</w:t>
      </w:r>
    </w:p>
    <w:p>
      <w:r>
        <w:t>A key methodological consideration in oral health research is the nested nature of multi-tooth interventions within patients. By conducting both primary tooth-level non-parametric tests and cluster-adjusted Generalized Estimating Equations (GEE), our study verified that intra-subject correlation (clustering within the 40 participants) did not alter any statistical inferences. Both the molar disadvantage (GEE p = 0.005) and the older age benefit (GEE p = 0.0003) remained robustly significant, providing strong methodological validity.</w:t>
      </w:r>
    </w:p>
    <w:p>
      <w:pPr>
        <w:keepNext/>
        <w:spacing w:before="280" w:after="80"/>
      </w:pPr>
      <w:r>
        <w:rPr>
          <w:rFonts w:ascii="Calibri" w:hAnsi="Calibri"/>
          <w:b/>
          <w:color w:val="143C78"/>
          <w:sz w:val="32"/>
        </w:rPr>
        <w:t>5. Conclusions &amp; Clinical Recommendations</w:t>
      </w:r>
    </w:p>
    <w:p>
      <w:pPr>
        <w:pStyle w:val="ListBullet"/>
      </w:pPr>
      <w:r>
        <w:rPr>
          <w:b/>
        </w:rPr>
        <w:t xml:space="preserve">High Clinical Efficacy: </w:t>
      </w:r>
      <w:r>
        <w:t>Light-curing resin-based pit and fissure sealants provide high short-term clinical retention (95.8% satisfactory retention) in pediatric dental practice.</w:t>
      </w:r>
    </w:p>
    <w:p>
      <w:pPr>
        <w:pStyle w:val="ListBullet"/>
      </w:pPr>
      <w:r>
        <w:rPr>
          <w:b/>
        </w:rPr>
        <w:t xml:space="preserve">Retention-Caries Association: </w:t>
      </w:r>
      <w:r>
        <w:t>Complete and partial sealant retention was associated with complete caries-free status (100%) at 3 months, whereas complete sealant loss was significantly associated with early carious lesion development.</w:t>
      </w:r>
    </w:p>
    <w:p>
      <w:pPr>
        <w:pStyle w:val="ListBullet"/>
      </w:pPr>
      <w:r>
        <w:rPr>
          <w:b/>
        </w:rPr>
        <w:t xml:space="preserve">Clinical Priority for Molars and Younger Children: </w:t>
      </w:r>
      <w:r>
        <w:t>Enhanced moisture isolation techniques (such as rubber dam or isolation adjuncts) and scheduled 3- to 6-month recall evaluations are strongly recommended when sealing permanent molars in children under 10 years of age.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808080"/>
        <w:sz w:val="18"/>
      </w:rPr>
      <w:t xml:space="preserve">Pit &amp; Fissure Sealants - 3-Month Clinical Statistical Report | 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