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</w:pPr>
      <w:r>
        <w:t xml:space="preserve">Signal &amp; Noise 2026 — findings</w:t>
      </w:r>
    </w:p>
    <w:p>
      <w:pPr>
        <w:pStyle w:val="Subtitle"/>
      </w:pPr>
      <w:r>
        <w:t xml:space="preserve">How social media talked about LLMs, Jan–Sep 2026 · Northbank Media Lab research desk</w:t>
      </w:r>
    </w:p>
    <w:p>
      <w:pPr>
        <w:pStyle w:val="Normal"/>
        <w:shd w:val="clear" w:color="auto" w:fill="F7F4EE"/>
        <w:rPr>
          <w:i/>
          <w:iCs/>
          <w:color w:val="8A8FA3"/>
          <w:sz w:val="18"/>
          <w:szCs w:val="18"/>
        </w:rPr>
      </w:pPr>
      <w:r>
        <w:rPr>
          <w:i/>
          <w:iCs/>
          <w:color w:val="8A8FA3"/>
          <w:sz w:val="18"/>
          <w:szCs w:val="18"/>
        </w:rPr>
        <w:t xml:space="preserve">Illustrative report. All numbers come from a synthetic sample of 387 fictional posts. The report quotes no real people and describes no real product releases.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Agentic coding is now the main topic in the LLM conversation. Its share of the conversation grew from 9% in January to 20% in September. Reasoning &amp; test-time compute fell from 18% to 6%. The focus moved from how models think to what models do.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Agentic coding grew most:</w:t>
      </w:r>
      <w:r>
        <w:t xml:space="preserve"> 9% of the conversation in January, 20% in September. It is the largest theme, with 15% of all posts.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Reasoning &amp; test-time compute fell:</w:t>
      </w:r>
      <w:r>
        <w:t xml:space="preserve"> 18% to 6%. It went from the largest theme to one of the smallest.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Benchmarks &amp; evals also fell:</w:t>
      </w:r>
      <w:r>
        <w:t xml:space="preserve"> 12% to 6%.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Three themes grew slowly:</w:t>
      </w:r>
      <w:r>
        <w:t xml:space="preserve"> Compute &amp; energy and Multimodal &amp; voice each went from 9% to 12%. On-device AI went from 6% to 8%.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Prices &amp; tokens is the most negative theme:</w:t>
      </w:r>
      <w:r>
        <w:t xml:space="preserve"> 53% of its posts are negative. That is more than twice the 23% average.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Regulation &amp; policy peaked in July:</w:t>
      </w:r>
      <w:r>
        <w:t xml:space="preserve"> 12% of the conversation.</w:t>
      </w:r>
    </w:p>
    <w:p>
      <w:pPr>
        <w:pStyle w:val="Heading1"/>
        <w:numPr>
          <w:ilvl w:val="0"/>
          <w:numId w:val="0"/>
        </w:numPr>
      </w:pPr>
      <w:r>
        <w:t xml:space="preserve">Sample and method</w:t>
      </w:r>
    </w:p>
    <w:p>
      <w:pPr>
        <w:pStyle w:val="Normal"/>
      </w:pPr>
      <w:r>
        <w:t xml:space="preserve">The sample has 387 hand-coded posts from 6 platforms. The sample represents a much larger stream of posts. Each post has 1 of 10 themes and 1 sentiment label: positive, neutral or negative.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Share of the conversation:</w:t>
      </w:r>
      <w:r>
        <w:t xml:space="preserve"> the percentage of a month's posts that have a given theme.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% negative:</w:t>
      </w:r>
      <w:r>
        <w:t xml:space="preserve"> the percentage of a theme's posts that have a negative label.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Tools:</w:t>
      </w:r>
      <w:r>
        <w:t xml:space="preserve"> GridCraft calculated all percentages with COUNTIFS formulas. WordCraft typed and formatted this report.</w:t>
      </w:r>
    </w:p>
    <w:p>
      <w:pPr>
        <w:pStyle w:val="Heading1"/>
        <w:numPr>
          <w:ilvl w:val="0"/>
          <w:numId w:val="0"/>
        </w:numPr>
      </w:pPr>
      <w:r>
        <w:br w:type="page"/>
        <w:t xml:space="preserve">Share of the conversation by theme</w:t>
      </w:r>
    </w:p>
    <w:p>
      <w:pPr>
        <w:pStyle w:val="Caption"/>
      </w:pPr>
      <w:r>
        <w:t xml:space="preserve">Table 1. Share of the conversation in January, September and overall, and % negative per theme. Synthetic data.</w:t>
      </w:r>
    </w:p>
    <w:tbl>
      <w:tblPr>
        <w:tblStyle w:val="TableGrid"/>
        <w:tblW w:w="0" w:type="auto"/>
        <w:tblBorders>
          <w:top w:val="single" w:sz="4" w:space="0" w:color="C9CCD6"/>
          <w:left w:val="single" w:sz="4" w:space="0" w:color="C9CCD6"/>
          <w:bottom w:val="single" w:sz="4" w:space="0" w:color="C9CCD6"/>
          <w:right w:val="single" w:sz="4" w:space="0" w:color="C9CCD6"/>
          <w:insideH w:val="single" w:sz="4" w:space="0" w:color="C9CCD6"/>
          <w:insideV w:val="single" w:sz="4" w:space="0" w:color="C9CCD6"/>
        </w:tblBorders>
        <w:tblLook w:val="04A0" w:firstRow="1" w:lastRow="0" w:firstColumn="1" w:lastColumn="0" w:noHBand="0" w:noVBand="1"/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w="3360" w:type="dxa"/>
            <w:shd w:val="clear" w:color="auto" w:fill="1B1F3B"/>
          </w:tcPr>
          <w:p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w="1200" w:type="dxa"/>
            <w:shd w:val="clear" w:color="auto" w:fill="1B1F3B"/>
          </w:tcPr>
          <w:p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Jan</w:t>
            </w:r>
          </w:p>
        </w:tc>
        <w:tc>
          <w:tcPr>
            <w:tcW w:w="1200" w:type="dxa"/>
            <w:shd w:val="clear" w:color="auto" w:fill="1B1F3B"/>
          </w:tcPr>
          <w:p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Sep</w:t>
            </w:r>
          </w:p>
        </w:tc>
        <w:tc>
          <w:tcPr>
            <w:tcW w:w="1200" w:type="dxa"/>
            <w:shd w:val="clear" w:color="auto" w:fill="1B1F3B"/>
          </w:tcPr>
          <w:p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w="1200" w:type="dxa"/>
            <w:shd w:val="clear" w:color="auto" w:fill="1B1F3B"/>
          </w:tcPr>
          <w:p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Jan–Sep</w:t>
            </w:r>
          </w:p>
        </w:tc>
        <w:tc>
          <w:tcPr>
            <w:tcW w:w="1200" w:type="dxa"/>
            <w:shd w:val="clear" w:color="auto" w:fill="1B1F3B"/>
          </w:tcPr>
          <w:p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% negative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Agentic coding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9%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20%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+11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15%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10.3%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Open-weight models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0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20.8%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Multimodal &amp; voice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9%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+3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11%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18.6%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Compute &amp; energy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9%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+3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11%</w:t>
            </w:r>
          </w:p>
        </w:tc>
        <w:tc>
          <w:tcPr>
            <w:tcW w:w="1200" w:type="dxa"/>
            <w:shd w:val="clear" w:color="auto" w:fill="FFD9D0"/>
          </w:tcPr>
          <w:p>
            <w:r>
              <w:rPr>
                <w:b w:val="0"/>
                <w:bCs w:val="0"/>
                <w:color w:val="auto"/>
              </w:rPr>
              <w:t xml:space="preserve">41.5%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Reasoning &amp; test-time compute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18%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6%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−12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10%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12.5%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Prices &amp; tokens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8%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−4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9%</w:t>
            </w:r>
          </w:p>
        </w:tc>
        <w:tc>
          <w:tcPr>
            <w:tcW w:w="1200" w:type="dxa"/>
            <w:shd w:val="clear" w:color="auto" w:fill="FFD9D0"/>
          </w:tcPr>
          <w:p>
            <w:r>
              <w:rPr>
                <w:b w:val="0"/>
                <w:bCs w:val="0"/>
                <w:color w:val="auto"/>
              </w:rPr>
              <w:t xml:space="preserve">52.8%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Regulation &amp; policy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6%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8%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+2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8%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12.5%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Benchmarks &amp; evals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12%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6%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−6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8%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3.1%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Safety &amp; trust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6%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8%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+2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8%</w:t>
            </w:r>
          </w:p>
        </w:tc>
        <w:tc>
          <w:tcPr>
            <w:tcW w:w="1200" w:type="dxa"/>
            <w:shd w:val="clear" w:color="auto" w:fill="FFD9D0"/>
          </w:tcPr>
          <w:p>
            <w:r>
              <w:rPr>
                <w:b w:val="0"/>
                <w:bCs w:val="0"/>
                <w:color w:val="auto"/>
              </w:rPr>
              <w:t xml:space="preserve">46.7%</w:t>
            </w:r>
          </w:p>
        </w:tc>
      </w:tr>
      <w:tr>
        <w:tc>
          <w:tcPr>
            <w:tcW w:w="3360" w:type="dxa"/>
          </w:tcPr>
          <w:p>
            <w:r>
              <w:rPr>
                <w:b w:val="0"/>
                <w:bCs w:val="0"/>
                <w:color w:val="auto"/>
              </w:rPr>
              <w:t xml:space="preserve">On-device AI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6%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8%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+2 pts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7%</w:t>
            </w:r>
          </w:p>
        </w:tc>
        <w:tc>
          <w:tcPr>
            <w:tcW w:w="1200" w:type="dxa"/>
          </w:tcPr>
          <w:p>
            <w:r>
              <w:rPr>
                <w:b w:val="0"/>
                <w:bCs w:val="0"/>
                <w:color w:val="auto"/>
              </w:rPr>
              <w:t xml:space="preserve">22.2%</w:t>
            </w:r>
          </w:p>
        </w:tc>
      </w:tr>
      <w:tr>
        <w:tc>
          <w:tcPr>
            <w:tcW w:w="3360" w:type="dxa"/>
            <w:shd w:val="clear" w:color="auto" w:fill="F7F4EE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color w:val="auto"/>
              </w:rPr>
              <w:t xml:space="preserve">All themes</w:t>
            </w:r>
          </w:p>
        </w:tc>
        <w:tc>
          <w:tcPr>
            <w:tcW w:w="1200" w:type="dxa"/>
            <w:shd w:val="clear" w:color="auto" w:fill="F7F4EE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color w:val="auto"/>
              </w:rPr>
              <w:t xml:space="preserve">100%</w:t>
            </w:r>
          </w:p>
        </w:tc>
        <w:tc>
          <w:tcPr>
            <w:tcW w:w="1200" w:type="dxa"/>
            <w:shd w:val="clear" w:color="auto" w:fill="F7F4EE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color w:val="auto"/>
              </w:rPr>
              <w:t xml:space="preserve">100%</w:t>
            </w:r>
          </w:p>
        </w:tc>
        <w:tc>
          <w:tcPr>
            <w:tcW w:w="1200" w:type="dxa"/>
            <w:shd w:val="clear" w:color="auto" w:fill="F7F4EE"/>
          </w:tcPr>
          <w:p>
            <w:pPr>
              <w:rPr>
                <w:b w:val="0"/>
                <w:bCs w:val="0"/>
                <w:color w:val="auto"/>
              </w:rPr>
            </w:pPr>
          </w:p>
        </w:tc>
        <w:tc>
          <w:tcPr>
            <w:tcW w:w="1200" w:type="dxa"/>
            <w:shd w:val="clear" w:color="auto" w:fill="F7F4EE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color w:val="auto"/>
              </w:rPr>
              <w:t xml:space="preserve">100%</w:t>
            </w:r>
          </w:p>
        </w:tc>
        <w:tc>
          <w:tcPr>
            <w:tcW w:w="1200" w:type="dxa"/>
            <w:shd w:val="clear" w:color="auto" w:fill="F7F4EE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color w:val="auto"/>
              </w:rPr>
              <w:t xml:space="preserve">23.3%</w:t>
            </w:r>
          </w:p>
        </w:tc>
      </w:tr>
    </w:tbl>
    <w:p>
      <w:pPr>
        <w:pStyle w:val="Normal"/>
      </w:pPr>
      <w:r>
        <w:t xml:space="preserve">Figure 1 shows the monthly share of the conversation for 4 key themes. Agentic coding (coral) rises. Reasoning (violet) and Benchmarks (pink) fall.</w:t>
      </w:r>
    </w:p>
    <w:p>
      <w:pPr>
        <w:pStyle w:val="Normal"/>
        <w:jc w:val="center"/>
      </w:pPr>
      <w:r>
        <w:drawing>
          <wp:inline distT="0" distB="0" distL="0" distR="0">
            <wp:extent cx="5461000" cy="2576589"/>
            <wp:effectExtent l="0" t="0" r="0" b="0"/>
            <wp:docPr id="1" name="Picture 1" descr="Line chart: share of the conversation for 4 key themes, January to September 2026"/>
            <wp:cNvGraphicFramePr/>
            <a:graphic>
              <a:graphicData uri="http://schemas.openxmlformats.org/drawingml/2006/picture">
                <pic:pic>
                  <pic:nvPicPr>
                    <pic:cNvPr id="0" name="image1.png" descr="Line chart: share of the conversation for 4 key themes, January to September 2026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5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 xml:space="preserve">Figure 1. Share of the conversation for 4 key themes, Jan–Sep 2026. GridCraft made the chart from the workbook.</w:t>
      </w:r>
    </w:p>
    <w:p>
      <w:pPr>
        <w:pStyle w:val="Heading1"/>
        <w:jc w:val="left"/>
      </w:pPr>
      <w:r>
        <w:t xml:space="preserve">Findings</w:t>
      </w:r>
    </w:p>
    <w:p>
      <w:pPr>
        <w:pStyle w:val="Heading2"/>
        <w:jc w:val="left"/>
      </w:pPr>
      <w:r>
        <w:t xml:space="preserve">1. Agentic coding became the main topic</w:t>
      </w:r>
    </w:p>
    <w:p>
      <w:pPr>
        <w:pStyle w:val="Normal"/>
        <w:jc w:val="left"/>
      </w:pPr>
      <w:r>
        <w:t xml:space="preserve">Agentic coding grew from 9% of the conversation in January to 20% in September. It is also one of the most positive themes: 48% positive, 10% negative. Posts describe agents that open pull requests. The test suite becomes the real specification.</w:t>
      </w:r>
    </w:p>
    <w:p>
      <w:pPr>
        <w:pStyle w:val="Heading2"/>
        <w:jc w:val="left"/>
      </w:pPr>
      <w:r>
        <w:t xml:space="preserve">2. Reasoning became routine</w:t>
      </w:r>
    </w:p>
    <w:p>
      <w:pPr>
        <w:pStyle w:val="Normal"/>
        <w:jc w:val="left"/>
      </w:pPr>
      <w:r>
        <w:t xml:space="preserve">Reasoning &amp; test-time compute fell from 18% of the conversation to 6%. More than half of its posts are neutral (53%). Posts treat longer thinking as a paid setting, not as news.</w:t>
      </w:r>
    </w:p>
    <w:p>
      <w:pPr>
        <w:pStyle w:val="Heading2"/>
        <w:jc w:val="left"/>
      </w:pPr>
      <w:r>
        <w:t xml:space="preserve">3. Benchmarks &amp; evals fell</w:t>
      </w:r>
    </w:p>
    <w:p>
      <w:pPr>
        <w:pStyle w:val="Normal"/>
        <w:jc w:val="left"/>
      </w:pPr>
      <w:r>
        <w:t xml:space="preserve">Benchmarks &amp; evals fell from 12% of the conversation to 6%. It is also the least negative theme: only 3% of its posts are negative.</w:t>
      </w:r>
    </w:p>
    <w:p>
      <w:pPr>
        <w:pStyle w:val="Heading2"/>
        <w:jc w:val="left"/>
      </w:pPr>
      <w:r>
        <w:t xml:space="preserve">4. Compute, devices and voice grew slowly</w:t>
      </w:r>
    </w:p>
    <w:p>
      <w:pPr>
        <w:pStyle w:val="Normal"/>
        <w:jc w:val="left"/>
      </w:pPr>
      <w:r>
        <w:t xml:space="preserve">Compute &amp; energy grew from 9% to 12% of the conversation. On-device AI grew from 6% to 8%. Multimodal &amp; voice grew from 9% to 12%. Energy posts lean negative (41%): power contracts, not GPU waitlists, are now the main complaint.</w:t>
      </w:r>
    </w:p>
    <w:p>
      <w:pPr>
        <w:pStyle w:val="Heading2"/>
        <w:jc w:val="left"/>
      </w:pPr>
      <w:r>
        <w:t xml:space="preserve">5. Prices &amp; tokens: price per token down, bill up</w:t>
      </w:r>
    </w:p>
    <w:p>
      <w:pPr>
        <w:pStyle w:val="Normal"/>
        <w:jc w:val="left"/>
      </w:pPr>
      <w:r>
        <w:t xml:space="preserve">Prices &amp; tokens is the most negative theme. 53% of its posts are negative, more than twice the 23% average. Safety &amp; trust (47%) and Compute &amp; energy (41%) also lean negative.</w:t>
      </w:r>
    </w:p>
    <w:p>
      <w:pPr>
        <w:pStyle w:val="Normal"/>
        <w:jc w:val="center"/>
      </w:pPr>
      <w:r>
        <w:drawing>
          <wp:inline distT="0" distB="0" distL="0" distR="0">
            <wp:extent cx="5207000" cy="2695900"/>
            <wp:effectExtent l="0" t="0" r="0" b="0"/>
            <wp:docPr id="2" name="Picture 2" descr="Bar chart: percentage of each theme's posts that are negative"/>
            <wp:cNvGraphicFramePr/>
            <a:graphic>
              <a:graphicData uri="http://schemas.openxmlformats.org/drawingml/2006/picture">
                <pic:pic>
                  <pic:nvPicPr>
                    <pic:cNvPr id="0" name="image2.png" descr="Bar chart: percentage of each theme's posts that are negativ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26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 xml:space="preserve">Figure 2. % of each theme's posts that are negative. The average for all themes is 23%.</w:t>
      </w:r>
    </w:p>
    <w:p>
      <w:pPr>
        <w:pStyle w:val="Heading2"/>
        <w:jc w:val="left"/>
      </w:pPr>
      <w:r>
        <w:t xml:space="preserve">6. Regulation &amp; policy peaked in July</w:t>
      </w:r>
    </w:p>
    <w:p>
      <w:pPr>
        <w:pStyle w:val="Normal"/>
        <w:jc w:val="left"/>
      </w:pPr>
      <w:r>
        <w:t xml:space="preserve">Regulation &amp; policy grew from 6% of the conversation in January to 12% in July. It then dropped to 8% in August and September.</w:t>
      </w:r>
    </w:p>
    <w:p>
      <w:pPr>
        <w:pStyle w:val="Heading1"/>
        <w:jc w:val="left"/>
      </w:pPr>
      <w:r>
        <w:t xml:space="preserve">Platforms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Bluesky, Mastodon, Hacker News and Threads: about 18% of the sample each.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Reddit and LinkedIn: about 14% of the sample each.</w:t>
      </w:r>
    </w:p>
    <w:p>
      <w:pPr>
        <w:pStyle w:val="Heading1"/>
        <w:numPr>
          <w:ilvl w:val="0"/>
          <w:numId w:val="0"/>
        </w:numPr>
        <w:jc w:val="left"/>
      </w:pPr>
      <w:r>
        <w:t xml:space="preserve">Limitations and next steps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The data is synthetic. Use the numbers to see the workflow, not as evidence.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The sample is small. One post more or less changes a monthly share by 2 to 3 points.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Each post has only 1 theme and 1 sentiment label. Real posts often mix themes.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Next: track the share of agentic coding each month. Add a cost-per-task view to Prices &amp; tokens.</w:t>
      </w:r>
    </w:p>
    <w:p>
      <w:pPr>
        <w:numPr>
          <w:ilvl w:val="0"/>
          <w:numId w:val="0"/>
        </w:numPr>
        <w:jc w:val="left"/>
        <w:rPr>
          <w:i/>
          <w:iCs/>
          <w:color w:val="8A8FA3"/>
          <w:sz w:val="18"/>
          <w:szCs w:val="18"/>
        </w:rPr>
      </w:pPr>
      <w:r>
        <w:rPr>
          <w:i/>
          <w:iCs/>
          <w:color w:val="8A8FA3"/>
          <w:sz w:val="18"/>
          <w:szCs w:val="18"/>
        </w:rPr>
        <w:t xml:space="preserve">Signal &amp; Noise 2026 is an illustrative project of the fictional Northbank Media Lab. All data is synthetic.</w:t>
      </w:r>
    </w:p>
    <w:sectPr>
      <w:footerReference w:type="default" r:id="rId3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Footer"/>
    </w:pPr>
    <w:r>
      <w:t xml:space="preserve">Signal &amp; Noise 2026 · illustrative report, synthetic sample of 387 posts · 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  <w:pPr>
      <w:widowControl/>
      <w:spacing w:after="120"/>
    </w:pPr>
    <w:rPr>
      <w:rFonts w:ascii="Segoe UI" w:hAnsi="Segoe UI"/>
      <w:color w:val="1B1F3B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280" w:after="120"/>
      <w:outlineLvl w:val="0"/>
    </w:pPr>
    <w:rPr>
      <w:rFonts w:ascii="Segoe UI" w:hAnsi="Segoe UI"/>
      <w:b/>
      <w:bCs/>
      <w:color w:val="FF6B4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200" w:after="80"/>
      <w:outlineLvl w:val="1"/>
    </w:pPr>
    <w:rPr>
      <w:rFonts w:ascii="Segoe UI" w:hAnsi="Segoe UI"/>
      <w:b/>
      <w:bCs/>
      <w:color w:val="2BB3A3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Segoe UI" w:hAnsi="Segoe UI"/>
      <w:b/>
      <w:bCs/>
      <w:color w:val="1B1F3B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Segoe UI" w:hAnsi="Segoe UI"/>
      <w:i/>
      <w:iCs/>
      <w:color w:val="8A8FA3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rFonts w:ascii="Segoe UI" w:hAnsi="Segoe UI"/>
      <w:i/>
      <w:iCs/>
      <w:color w:val="8A8FA3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firstCol">
      <w:rPr>
        <w:b/>
        <w:bCs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firstCol">
      <w:rPr>
        <w:b/>
        <w:bCs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769</Words>
  <Paragraphs>117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&amp; Noise 2026 — findings</dc:title>
  <dc:subject>How social media talked about LLMs, Jan–Sep 2026</dc:subject>
  <dc:creator>Northbank Media Lab (fictional)</dc:creator>
  <cp:keywords>synthetic data; share of the conversation; showcase</cp:keywords>
  <dc:description>Illustrative report. All data is synthetic.</dc:description>
  <cp:lastModifiedBy>WordCraft User</cp:lastModifiedBy>
  <cp:revision>1</cp:revision>
  <dcterms:created xsi:type="dcterms:W3CDTF">2026-10-11T15:25:13Z</dcterms:created>
  <dcterms:modified xsi:type="dcterms:W3CDTF">2026-10-11T15:25:13Z</dcterms:modified>
</cp:coreProperties>
</file>