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9EDB" w14:textId="77777777" w:rsidR="009B71C4" w:rsidRPr="0041248E" w:rsidRDefault="009B71C4" w:rsidP="009B71C4">
      <w:pPr>
        <w:jc w:val="center"/>
        <w:rPr>
          <w:rFonts w:ascii="Times New Roman" w:hAnsi="Times New Roman" w:cs="Times New Roman"/>
          <w:b/>
          <w:bCs/>
          <w:color w:val="000000" w:themeColor="text1"/>
        </w:rPr>
      </w:pPr>
      <w:r w:rsidRPr="0041248E">
        <w:rPr>
          <w:rFonts w:ascii="Times New Roman" w:hAnsi="Times New Roman" w:cs="Times New Roman"/>
          <w:b/>
          <w:bCs/>
          <w:color w:val="000000" w:themeColor="text1"/>
        </w:rPr>
        <w:t>RELIANCE OIL AND GAS INDUSTRY</w:t>
      </w:r>
    </w:p>
    <w:p w14:paraId="46C4FEAA" w14:textId="77777777" w:rsidR="009B71C4" w:rsidRPr="0041248E" w:rsidRDefault="009B71C4" w:rsidP="009B71C4">
      <w:pPr>
        <w:jc w:val="both"/>
        <w:rPr>
          <w:rFonts w:ascii="Times New Roman" w:hAnsi="Times New Roman" w:cs="Times New Roman"/>
          <w:color w:val="000000" w:themeColor="text1"/>
        </w:rPr>
      </w:pPr>
    </w:p>
    <w:p w14:paraId="5B3029D2" w14:textId="3278F186" w:rsidR="00843D5B" w:rsidRPr="0041248E" w:rsidRDefault="009B71C4" w:rsidP="00313716">
      <w:pPr>
        <w:jc w:val="both"/>
        <w:rPr>
          <w:rFonts w:ascii="Times New Roman" w:hAnsi="Times New Roman" w:cs="Times New Roman"/>
          <w:color w:val="000000" w:themeColor="text1"/>
        </w:rPr>
      </w:pPr>
      <w:r w:rsidRPr="0041248E">
        <w:rPr>
          <w:rFonts w:ascii="Times New Roman" w:hAnsi="Times New Roman" w:cs="Times New Roman"/>
          <w:b/>
          <w:bCs/>
          <w:i/>
          <w:iCs/>
          <w:color w:val="000000" w:themeColor="text1"/>
        </w:rPr>
        <w:t>“This is not merely a refinery and petrochemical complex. It is not just another large plant. It is an inspiring temple of resurgent India.”</w:t>
      </w:r>
      <w:r w:rsidRPr="0041248E">
        <w:rPr>
          <w:rFonts w:ascii="Times New Roman" w:hAnsi="Times New Roman" w:cs="Times New Roman"/>
          <w:color w:val="000000" w:themeColor="text1"/>
        </w:rPr>
        <w:t xml:space="preserve"> </w:t>
      </w:r>
      <w:r w:rsidRPr="0041248E">
        <w:rPr>
          <w:rFonts w:ascii="Times New Roman" w:hAnsi="Times New Roman" w:cs="Times New Roman"/>
          <w:color w:val="000000" w:themeColor="text1"/>
        </w:rPr>
        <w:tab/>
      </w:r>
      <w:r w:rsidRPr="0041248E">
        <w:rPr>
          <w:rFonts w:ascii="Times New Roman" w:hAnsi="Times New Roman" w:cs="Times New Roman"/>
          <w:color w:val="000000" w:themeColor="text1"/>
        </w:rPr>
        <w:tab/>
      </w:r>
      <w:r w:rsidRPr="0041248E">
        <w:rPr>
          <w:rFonts w:ascii="Times New Roman" w:hAnsi="Times New Roman" w:cs="Times New Roman"/>
          <w:color w:val="000000" w:themeColor="text1"/>
        </w:rPr>
        <w:tab/>
      </w:r>
      <w:r w:rsidRPr="0041248E">
        <w:rPr>
          <w:rFonts w:ascii="Times New Roman" w:hAnsi="Times New Roman" w:cs="Times New Roman"/>
          <w:color w:val="000000" w:themeColor="text1"/>
        </w:rPr>
        <w:tab/>
        <w:t xml:space="preserve">      </w:t>
      </w:r>
      <w:r w:rsidRPr="0041248E">
        <w:rPr>
          <w:rFonts w:ascii="Times New Roman" w:hAnsi="Times New Roman" w:cs="Times New Roman"/>
          <w:color w:val="000000" w:themeColor="text1"/>
        </w:rPr>
        <w:tab/>
      </w:r>
      <w:r w:rsidR="00313716" w:rsidRPr="0041248E">
        <w:rPr>
          <w:rFonts w:ascii="Times New Roman" w:hAnsi="Times New Roman" w:cs="Times New Roman"/>
          <w:color w:val="000000" w:themeColor="text1"/>
        </w:rPr>
        <w:t xml:space="preserve">           -</w:t>
      </w:r>
      <w:r w:rsidRPr="0041248E">
        <w:rPr>
          <w:rFonts w:ascii="Times New Roman" w:hAnsi="Times New Roman" w:cs="Times New Roman"/>
          <w:color w:val="000000" w:themeColor="text1"/>
        </w:rPr>
        <w:tab/>
      </w:r>
      <w:r w:rsidRPr="0041248E">
        <w:rPr>
          <w:rFonts w:ascii="Times New Roman" w:hAnsi="Times New Roman" w:cs="Times New Roman"/>
          <w:b/>
          <w:bCs/>
          <w:i/>
          <w:iCs/>
          <w:color w:val="000000" w:themeColor="text1"/>
        </w:rPr>
        <w:t>Dhirubhai Ambani</w:t>
      </w:r>
    </w:p>
    <w:p w14:paraId="355C15D5" w14:textId="4338A637" w:rsidR="00EC7259" w:rsidRPr="00FA3295" w:rsidRDefault="00EC7259" w:rsidP="00EC7259">
      <w:pPr>
        <w:jc w:val="both"/>
        <w:rPr>
          <w:rFonts w:ascii="Times New Roman" w:hAnsi="Times New Roman" w:cs="Times New Roman"/>
          <w:b/>
          <w:bCs/>
          <w:color w:val="000000" w:themeColor="text1"/>
        </w:rPr>
      </w:pPr>
      <w:r w:rsidRPr="00FA3295">
        <w:rPr>
          <w:rFonts w:ascii="Times New Roman" w:hAnsi="Times New Roman" w:cs="Times New Roman"/>
          <w:b/>
          <w:bCs/>
          <w:color w:val="000000" w:themeColor="text1"/>
        </w:rPr>
        <w:t>INDUSTRY OVERVIEW</w:t>
      </w:r>
    </w:p>
    <w:p w14:paraId="5B0054E8" w14:textId="77777777" w:rsidR="00101107" w:rsidRDefault="003E18AD" w:rsidP="00EC7259">
      <w:pPr>
        <w:jc w:val="both"/>
        <w:rPr>
          <w:rFonts w:ascii="Times New Roman" w:hAnsi="Times New Roman" w:cs="Times New Roman"/>
          <w:color w:val="000000" w:themeColor="text1"/>
        </w:rPr>
      </w:pPr>
      <w:r w:rsidRPr="00FA3295">
        <w:rPr>
          <w:rFonts w:ascii="Times New Roman" w:hAnsi="Times New Roman" w:cs="Times New Roman"/>
          <w:color w:val="000000" w:themeColor="text1"/>
        </w:rPr>
        <w:t>Covid-19 restrictions lowered the demand from transport and other sectors which in turn created turbulence for global oil and gas industries. April 2020 witnessed an oversupply of ~20 MMb/d that pushed Brent prices to US$18.5/bbl before the year-end saw a recovery to US$63.5/bbl. The market observed an overall collapse of 8.7MMb/d demand in 2020. Brent and West Texas Intermediate (WTI) crude averaged at US$42.0/bbl and US$39.2/bbl respectively which was lower than that of 2019 price by US$15/bbl.</w:t>
      </w:r>
      <w:r w:rsidR="00EC7259" w:rsidRPr="00FA3295">
        <w:rPr>
          <w:rFonts w:ascii="Times New Roman" w:hAnsi="Times New Roman" w:cs="Times New Roman"/>
          <w:color w:val="000000" w:themeColor="text1"/>
        </w:rPr>
        <w:t xml:space="preserve"> </w:t>
      </w:r>
      <w:r w:rsidRPr="00FA3295">
        <w:rPr>
          <w:rFonts w:ascii="Times New Roman" w:hAnsi="Times New Roman" w:cs="Times New Roman"/>
          <w:color w:val="000000" w:themeColor="text1"/>
        </w:rPr>
        <w:t xml:space="preserve">The emerging trends and business response includes </w:t>
      </w:r>
      <w:r w:rsidRPr="00FA3295">
        <w:rPr>
          <w:rFonts w:ascii="Times New Roman" w:hAnsi="Times New Roman" w:cs="Times New Roman"/>
          <w:i/>
          <w:iCs/>
          <w:color w:val="000000" w:themeColor="text1"/>
        </w:rPr>
        <w:t>Clean</w:t>
      </w:r>
      <w:r w:rsidRPr="00FA3295">
        <w:rPr>
          <w:rFonts w:ascii="Times New Roman" w:hAnsi="Times New Roman" w:cs="Times New Roman"/>
          <w:b/>
          <w:bCs/>
          <w:i/>
          <w:iCs/>
          <w:color w:val="000000" w:themeColor="text1"/>
        </w:rPr>
        <w:t xml:space="preserve"> </w:t>
      </w:r>
      <w:r w:rsidRPr="00FA3295">
        <w:rPr>
          <w:rFonts w:ascii="Times New Roman" w:hAnsi="Times New Roman" w:cs="Times New Roman"/>
          <w:i/>
          <w:iCs/>
          <w:color w:val="000000" w:themeColor="text1"/>
        </w:rPr>
        <w:t>Energy</w:t>
      </w:r>
      <w:r w:rsidRPr="00FA3295">
        <w:rPr>
          <w:rFonts w:ascii="Times New Roman" w:hAnsi="Times New Roman" w:cs="Times New Roman"/>
          <w:color w:val="000000" w:themeColor="text1"/>
        </w:rPr>
        <w:t xml:space="preserve"> that focuses on green energy to address environmental concerns to reduce GHG emissions, </w:t>
      </w:r>
      <w:r w:rsidRPr="00FA3295">
        <w:rPr>
          <w:rFonts w:ascii="Times New Roman" w:hAnsi="Times New Roman" w:cs="Times New Roman"/>
          <w:i/>
          <w:iCs/>
          <w:color w:val="000000" w:themeColor="text1"/>
        </w:rPr>
        <w:t xml:space="preserve">Brownfield Developments </w:t>
      </w:r>
      <w:r w:rsidRPr="00FA3295">
        <w:rPr>
          <w:rFonts w:ascii="Times New Roman" w:hAnsi="Times New Roman" w:cs="Times New Roman"/>
          <w:color w:val="000000" w:themeColor="text1"/>
        </w:rPr>
        <w:t xml:space="preserve">to reduce costs and </w:t>
      </w:r>
      <w:r w:rsidRPr="00FA3295">
        <w:rPr>
          <w:rFonts w:ascii="Times New Roman" w:hAnsi="Times New Roman" w:cs="Times New Roman"/>
          <w:i/>
          <w:iCs/>
          <w:color w:val="000000" w:themeColor="text1"/>
        </w:rPr>
        <w:t>Digital Technologies</w:t>
      </w:r>
      <w:r w:rsidRPr="00FA3295">
        <w:rPr>
          <w:rFonts w:ascii="Times New Roman" w:hAnsi="Times New Roman" w:cs="Times New Roman"/>
          <w:color w:val="000000" w:themeColor="text1"/>
        </w:rPr>
        <w:t xml:space="preserve"> for improved efficiencies. </w:t>
      </w:r>
    </w:p>
    <w:p w14:paraId="6DCADEE7" w14:textId="30482BEB" w:rsidR="00EC7259" w:rsidRPr="00FA3295" w:rsidRDefault="003E18AD" w:rsidP="00EC7259">
      <w:pPr>
        <w:jc w:val="both"/>
        <w:rPr>
          <w:rFonts w:ascii="Times New Roman" w:hAnsi="Times New Roman" w:cs="Times New Roman"/>
          <w:color w:val="000000" w:themeColor="text1"/>
        </w:rPr>
      </w:pPr>
      <w:r w:rsidRPr="00FA3295">
        <w:rPr>
          <w:rFonts w:ascii="Times New Roman" w:hAnsi="Times New Roman" w:cs="Times New Roman"/>
          <w:color w:val="000000" w:themeColor="text1"/>
        </w:rPr>
        <w:t>RIL petroleum focuses on building a gas-based portfolio. The company attempts to leverage its infrastructure in the KG Basin to develop three projects in Block KG D6. Through adoption of latest technologies and enhancing capabilities in Digital Twin, Autonomous Fields, Virtual Command Centres, and other cutting-edge technologies.</w:t>
      </w:r>
      <w:r w:rsidR="00965CB8">
        <w:rPr>
          <w:rFonts w:ascii="Times New Roman" w:hAnsi="Times New Roman" w:cs="Times New Roman"/>
          <w:color w:val="000000" w:themeColor="text1"/>
        </w:rPr>
        <w:t xml:space="preserve"> </w:t>
      </w:r>
      <w:r w:rsidR="00EC7259" w:rsidRPr="00FA3295">
        <w:rPr>
          <w:rFonts w:ascii="Times New Roman" w:hAnsi="Times New Roman" w:cs="Times New Roman"/>
          <w:color w:val="000000" w:themeColor="text1"/>
        </w:rPr>
        <w:t>Though the resurgence in COVID-19 cases is slowing the rebound to normalcy, widespread vaccination,</w:t>
      </w:r>
      <w:r w:rsidR="00EC7259" w:rsidRPr="00FA3295">
        <w:rPr>
          <w:rFonts w:ascii="Times New Roman" w:hAnsi="Times New Roman" w:cs="Times New Roman"/>
          <w:color w:val="000000" w:themeColor="text1"/>
          <w:shd w:val="clear" w:color="auto" w:fill="FFFFFF"/>
        </w:rPr>
        <w:t xml:space="preserve"> acceleration in economic activity coupled with OPEC+ decision to delay further easing of cuts and Saudi Arabia’s additional supply reduction of 1 MMb/d is expected to spur stronger growth in coming time</w:t>
      </w:r>
      <w:r w:rsidR="00EC7259" w:rsidRPr="00FA3295">
        <w:rPr>
          <w:rFonts w:ascii="Times New Roman" w:hAnsi="Times New Roman" w:cs="Times New Roman"/>
          <w:color w:val="000000" w:themeColor="text1"/>
        </w:rPr>
        <w:t xml:space="preserve"> and the demand is expected to recover.</w:t>
      </w:r>
    </w:p>
    <w:p w14:paraId="0EF4DE38" w14:textId="77777777" w:rsidR="00EC7259" w:rsidRPr="00FA3295" w:rsidRDefault="00EC7259" w:rsidP="00EC7259">
      <w:pPr>
        <w:jc w:val="both"/>
        <w:rPr>
          <w:rFonts w:ascii="Times New Roman" w:hAnsi="Times New Roman" w:cs="Times New Roman"/>
          <w:color w:val="000000" w:themeColor="text1"/>
        </w:rPr>
      </w:pPr>
    </w:p>
    <w:p w14:paraId="2970460B" w14:textId="44B4473F" w:rsidR="00EC7259" w:rsidRPr="00FA3295" w:rsidRDefault="00EC7259" w:rsidP="00EC7259">
      <w:pPr>
        <w:rPr>
          <w:rFonts w:ascii="Times New Roman" w:hAnsi="Times New Roman" w:cs="Times New Roman"/>
          <w:b/>
          <w:bCs/>
          <w:color w:val="000000" w:themeColor="text1"/>
        </w:rPr>
      </w:pPr>
      <w:r w:rsidRPr="00FA3295">
        <w:rPr>
          <w:rFonts w:ascii="Times New Roman" w:hAnsi="Times New Roman" w:cs="Times New Roman"/>
          <w:b/>
          <w:bCs/>
          <w:color w:val="000000" w:themeColor="text1"/>
        </w:rPr>
        <w:t>RELIANCE OIL AND GAS E&amp;P</w:t>
      </w:r>
    </w:p>
    <w:p w14:paraId="531E137A" w14:textId="3A038532" w:rsidR="00EC7259" w:rsidRPr="00FA3295" w:rsidRDefault="00EC7259" w:rsidP="00EC7259">
      <w:pPr>
        <w:jc w:val="both"/>
        <w:rPr>
          <w:rFonts w:ascii="Times New Roman" w:hAnsi="Times New Roman" w:cs="Times New Roman"/>
          <w:color w:val="000000" w:themeColor="text1"/>
        </w:rPr>
      </w:pPr>
      <w:r w:rsidRPr="00FA3295">
        <w:rPr>
          <w:rFonts w:ascii="Times New Roman" w:hAnsi="Times New Roman" w:cs="Times New Roman"/>
          <w:color w:val="000000" w:themeColor="text1"/>
          <w:shd w:val="clear" w:color="auto" w:fill="FFFFFF"/>
        </w:rPr>
        <w:t>In 2000, Reliance commissioned the world's largest grassroots refinery in a record 36 months: the Jamnagar petrochemicals and integrated refinery complex, that positioned India on the Global Refining Map.</w:t>
      </w:r>
      <w:r w:rsidRPr="00FA3295">
        <w:rPr>
          <w:rFonts w:ascii="Times New Roman" w:hAnsi="Times New Roman" w:cs="Times New Roman"/>
          <w:color w:val="000000" w:themeColor="text1"/>
        </w:rPr>
        <w:t xml:space="preserve"> </w:t>
      </w:r>
      <w:r w:rsidRPr="00FA3295">
        <w:rPr>
          <w:rFonts w:ascii="Times New Roman" w:hAnsi="Times New Roman" w:cs="Times New Roman"/>
          <w:color w:val="000000" w:themeColor="text1"/>
          <w:shd w:val="clear" w:color="auto" w:fill="FFFFFF"/>
        </w:rPr>
        <w:t>2009 witnessed the production of hydrocarbons in its KGD6 block - against all odds - in just over two years of its discovery, making it the world’s fastest green-field deep-water oil development project. With this development, Reliance completes an unprecedented backward integration journey. Reliance Oil and Gas E&amp;P envisions to be India’s Leading Player and a major contributor to its Gas based economy supplying &gt;25% of India’s production.</w:t>
      </w:r>
    </w:p>
    <w:p w14:paraId="444E5528" w14:textId="165D5848" w:rsidR="008725D4" w:rsidRPr="00FA3295" w:rsidRDefault="008725D4" w:rsidP="008A6D4E">
      <w:pPr>
        <w:jc w:val="both"/>
        <w:rPr>
          <w:rFonts w:ascii="Times New Roman" w:hAnsi="Times New Roman" w:cs="Times New Roman"/>
          <w:b/>
          <w:bCs/>
          <w:color w:val="000000" w:themeColor="text1"/>
        </w:rPr>
      </w:pPr>
      <w:r w:rsidRPr="00FA3295">
        <w:rPr>
          <w:rFonts w:ascii="Times New Roman" w:hAnsi="Times New Roman" w:cs="Times New Roman"/>
          <w:b/>
          <w:bCs/>
          <w:color w:val="000000" w:themeColor="text1"/>
        </w:rPr>
        <w:drawing>
          <wp:inline distT="0" distB="0" distL="0" distR="0" wp14:anchorId="4E959C41" wp14:editId="4D367BBF">
            <wp:extent cx="2647262" cy="227050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8436" cy="2288662"/>
                    </a:xfrm>
                    <a:prstGeom prst="rect">
                      <a:avLst/>
                    </a:prstGeom>
                  </pic:spPr>
                </pic:pic>
              </a:graphicData>
            </a:graphic>
          </wp:inline>
        </w:drawing>
      </w:r>
      <w:r w:rsidR="00E7165F" w:rsidRPr="00FA3295">
        <w:rPr>
          <w:rFonts w:ascii="Times New Roman" w:hAnsi="Times New Roman" w:cs="Times New Roman"/>
          <w:noProof/>
          <w:color w:val="000000" w:themeColor="text1"/>
        </w:rPr>
        <w:t xml:space="preserve"> </w:t>
      </w:r>
      <w:r w:rsidR="00E7165F" w:rsidRPr="00FA3295">
        <w:rPr>
          <w:rFonts w:ascii="Times New Roman" w:hAnsi="Times New Roman" w:cs="Times New Roman"/>
          <w:b/>
          <w:bCs/>
          <w:color w:val="000000" w:themeColor="text1"/>
        </w:rPr>
        <w:drawing>
          <wp:inline distT="0" distB="0" distL="0" distR="0" wp14:anchorId="0ECAE516" wp14:editId="5E36DD7C">
            <wp:extent cx="2962054" cy="2123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8494" cy="2134912"/>
                    </a:xfrm>
                    <a:prstGeom prst="rect">
                      <a:avLst/>
                    </a:prstGeom>
                  </pic:spPr>
                </pic:pic>
              </a:graphicData>
            </a:graphic>
          </wp:inline>
        </w:drawing>
      </w:r>
    </w:p>
    <w:p w14:paraId="4ADB6778" w14:textId="5408A47B" w:rsidR="003E18AD" w:rsidRPr="00FA3295" w:rsidRDefault="003E18AD" w:rsidP="00EC7259">
      <w:pPr>
        <w:jc w:val="both"/>
        <w:rPr>
          <w:rFonts w:ascii="Times New Roman" w:hAnsi="Times New Roman" w:cs="Times New Roman"/>
          <w:color w:val="000000" w:themeColor="text1"/>
        </w:rPr>
      </w:pPr>
      <w:r w:rsidRPr="00FA3295">
        <w:rPr>
          <w:rFonts w:ascii="Times New Roman" w:hAnsi="Times New Roman" w:cs="Times New Roman"/>
          <w:color w:val="000000" w:themeColor="text1"/>
          <w:shd w:val="clear" w:color="auto" w:fill="FFFFFF"/>
        </w:rPr>
        <w:t>Reliance aims to conduct bus</w:t>
      </w:r>
      <w:r w:rsidRPr="00FA3295">
        <w:rPr>
          <w:rFonts w:ascii="Times New Roman" w:hAnsi="Times New Roman" w:cs="Times New Roman"/>
          <w:color w:val="000000" w:themeColor="text1"/>
        </w:rPr>
        <w:t xml:space="preserve">iness in a manner that protects the environment as well as the health and safety of employees, contractors, and the local communities in which they do the business. The strategical and competitive strengths of RIL such as deep-water hub infrastructure in the East Coast, </w:t>
      </w:r>
      <w:r w:rsidRPr="00FA3295">
        <w:rPr>
          <w:rFonts w:ascii="Times New Roman" w:hAnsi="Times New Roman" w:cs="Times New Roman"/>
          <w:color w:val="000000" w:themeColor="text1"/>
        </w:rPr>
        <w:lastRenderedPageBreak/>
        <w:t>Gas based portfolio as well as Block KG UDW1 and partnership with BP revitalised RIL’s Oil and Gas E&amp;P.</w:t>
      </w:r>
    </w:p>
    <w:p w14:paraId="5EB1411B" w14:textId="0131A64E" w:rsidR="00C34F2C" w:rsidRPr="00FA3295" w:rsidRDefault="00EC7259" w:rsidP="008A6D4E">
      <w:pPr>
        <w:jc w:val="both"/>
        <w:rPr>
          <w:rFonts w:ascii="Times New Roman" w:hAnsi="Times New Roman" w:cs="Times New Roman"/>
          <w:b/>
          <w:bCs/>
          <w:color w:val="000000" w:themeColor="text1"/>
        </w:rPr>
      </w:pPr>
      <w:r w:rsidRPr="00FA3295">
        <w:rPr>
          <w:rFonts w:ascii="Times New Roman" w:hAnsi="Times New Roman" w:cs="Times New Roman"/>
          <w:b/>
          <w:bCs/>
          <w:color w:val="000000" w:themeColor="text1"/>
        </w:rPr>
        <w:t>PERFORMANCE HIGHLIGHTS</w:t>
      </w:r>
    </w:p>
    <w:p w14:paraId="049B5BB7" w14:textId="77777777" w:rsidR="008424CB" w:rsidRPr="00FA3295" w:rsidRDefault="004E2651" w:rsidP="008A6D4E">
      <w:pPr>
        <w:jc w:val="both"/>
        <w:rPr>
          <w:rFonts w:ascii="Times New Roman" w:hAnsi="Times New Roman" w:cs="Times New Roman"/>
          <w:color w:val="000000" w:themeColor="text1"/>
        </w:rPr>
      </w:pPr>
      <w:r w:rsidRPr="00FA3295">
        <w:rPr>
          <w:rFonts w:ascii="Times New Roman" w:hAnsi="Times New Roman" w:cs="Times New Roman"/>
          <w:b/>
          <w:bCs/>
          <w:i/>
          <w:iCs/>
          <w:color w:val="000000" w:themeColor="text1"/>
        </w:rPr>
        <w:t xml:space="preserve">Financial </w:t>
      </w:r>
      <w:r w:rsidR="000E7A08" w:rsidRPr="00FA3295">
        <w:rPr>
          <w:rFonts w:ascii="Times New Roman" w:hAnsi="Times New Roman" w:cs="Times New Roman"/>
          <w:b/>
          <w:bCs/>
          <w:i/>
          <w:iCs/>
          <w:color w:val="000000" w:themeColor="text1"/>
        </w:rPr>
        <w:t>Performance</w:t>
      </w:r>
      <w:r w:rsidR="000E7A08" w:rsidRPr="00FA3295">
        <w:rPr>
          <w:rFonts w:ascii="Times New Roman" w:hAnsi="Times New Roman" w:cs="Times New Roman"/>
          <w:i/>
          <w:iCs/>
          <w:color w:val="000000" w:themeColor="text1"/>
        </w:rPr>
        <w:t>:</w:t>
      </w:r>
      <w:r w:rsidRPr="00FA3295">
        <w:rPr>
          <w:rFonts w:ascii="Times New Roman" w:hAnsi="Times New Roman" w:cs="Times New Roman"/>
          <w:color w:val="000000" w:themeColor="text1"/>
        </w:rPr>
        <w:t xml:space="preserve"> The revenue for the financial year 2020-21 was lower</w:t>
      </w:r>
      <w:r w:rsidR="000E7A08" w:rsidRPr="00FA3295">
        <w:rPr>
          <w:rFonts w:ascii="Times New Roman" w:hAnsi="Times New Roman" w:cs="Times New Roman"/>
          <w:color w:val="000000" w:themeColor="text1"/>
        </w:rPr>
        <w:t xml:space="preserve"> by 33.4% y-o-y to Rs.2140 crore due to lower volumes from conventional fields and overall lower commodity price realisation. EBITDA for the year declined by 26.9% to Rs.258 crore.</w:t>
      </w:r>
    </w:p>
    <w:p w14:paraId="2182195B" w14:textId="7F9723C5" w:rsidR="000E7A08" w:rsidRPr="00FA3295" w:rsidRDefault="000E7A08" w:rsidP="008A6D4E">
      <w:pPr>
        <w:jc w:val="both"/>
        <w:rPr>
          <w:rFonts w:ascii="Times New Roman" w:hAnsi="Times New Roman" w:cs="Times New Roman"/>
          <w:color w:val="000000" w:themeColor="text1"/>
        </w:rPr>
      </w:pPr>
      <w:r w:rsidRPr="00FA3295">
        <w:rPr>
          <w:rFonts w:ascii="Times New Roman" w:hAnsi="Times New Roman" w:cs="Times New Roman"/>
          <w:b/>
          <w:bCs/>
          <w:i/>
          <w:iCs/>
          <w:color w:val="000000" w:themeColor="text1"/>
        </w:rPr>
        <w:t>Operational Performance</w:t>
      </w:r>
      <w:r w:rsidRPr="00FA3295">
        <w:rPr>
          <w:rFonts w:ascii="Times New Roman" w:hAnsi="Times New Roman" w:cs="Times New Roman"/>
          <w:i/>
          <w:iCs/>
          <w:color w:val="000000" w:themeColor="text1"/>
        </w:rPr>
        <w:t>:</w:t>
      </w:r>
      <w:r w:rsidRPr="00FA3295">
        <w:rPr>
          <w:rFonts w:ascii="Times New Roman" w:hAnsi="Times New Roman" w:cs="Times New Roman"/>
          <w:color w:val="000000" w:themeColor="text1"/>
        </w:rPr>
        <w:t xml:space="preserve"> Domestic production was at 27.8BCFe, </w:t>
      </w:r>
      <w:r w:rsidR="008424CB" w:rsidRPr="00FA3295">
        <w:rPr>
          <w:rFonts w:ascii="Times New Roman" w:hAnsi="Times New Roman" w:cs="Times New Roman"/>
          <w:color w:val="000000" w:themeColor="text1"/>
        </w:rPr>
        <w:t xml:space="preserve">lowered by </w:t>
      </w:r>
      <w:r w:rsidRPr="00FA3295">
        <w:rPr>
          <w:rFonts w:ascii="Times New Roman" w:hAnsi="Times New Roman" w:cs="Times New Roman"/>
          <w:color w:val="000000" w:themeColor="text1"/>
        </w:rPr>
        <w:t>28.4% y-o-y</w:t>
      </w:r>
      <w:r w:rsidR="008424CB" w:rsidRPr="00FA3295">
        <w:rPr>
          <w:rFonts w:ascii="Times New Roman" w:hAnsi="Times New Roman" w:cs="Times New Roman"/>
          <w:color w:val="000000" w:themeColor="text1"/>
        </w:rPr>
        <w:t xml:space="preserve"> due to expiry of Panna Mukta production Sharing Contract and cessation of production from KG D6 field. The share of RIL in US Shale went up by 22.9% on a y-o-y basis.</w:t>
      </w:r>
    </w:p>
    <w:p w14:paraId="64444861" w14:textId="491CB6A8" w:rsidR="00313716" w:rsidRPr="00FA3295" w:rsidRDefault="00313716" w:rsidP="008A6D4E">
      <w:pPr>
        <w:jc w:val="both"/>
        <w:rPr>
          <w:rFonts w:ascii="Times New Roman" w:hAnsi="Times New Roman" w:cs="Times New Roman"/>
          <w:color w:val="000000" w:themeColor="text1"/>
        </w:rPr>
      </w:pPr>
      <w:r w:rsidRPr="00FA3295">
        <w:rPr>
          <w:rFonts w:ascii="Times New Roman" w:hAnsi="Times New Roman" w:cs="Times New Roman"/>
          <w:color w:val="000000" w:themeColor="text1"/>
        </w:rPr>
        <w:drawing>
          <wp:inline distT="0" distB="0" distL="0" distR="0" wp14:anchorId="6D983521" wp14:editId="6C32E2FD">
            <wp:extent cx="2867025" cy="192179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752" cy="1985286"/>
                    </a:xfrm>
                    <a:prstGeom prst="rect">
                      <a:avLst/>
                    </a:prstGeom>
                  </pic:spPr>
                </pic:pic>
              </a:graphicData>
            </a:graphic>
          </wp:inline>
        </w:drawing>
      </w:r>
    </w:p>
    <w:p w14:paraId="29B36F8D" w14:textId="5890B7E2" w:rsidR="008424CB" w:rsidRPr="00FA3295" w:rsidRDefault="00EC7259" w:rsidP="008A6D4E">
      <w:pPr>
        <w:jc w:val="both"/>
        <w:rPr>
          <w:rFonts w:ascii="Times New Roman" w:hAnsi="Times New Roman" w:cs="Times New Roman"/>
          <w:b/>
          <w:bCs/>
          <w:color w:val="000000" w:themeColor="text1"/>
        </w:rPr>
      </w:pPr>
      <w:r w:rsidRPr="00FA3295">
        <w:rPr>
          <w:rFonts w:ascii="Times New Roman" w:hAnsi="Times New Roman" w:cs="Times New Roman"/>
          <w:b/>
          <w:bCs/>
          <w:color w:val="000000" w:themeColor="text1"/>
        </w:rPr>
        <w:t>BUSINESS PERFORMANCE</w:t>
      </w:r>
    </w:p>
    <w:p w14:paraId="2DCEE1A5" w14:textId="7AC866B6" w:rsidR="003E18AD" w:rsidRPr="00FA3295" w:rsidRDefault="000775AF" w:rsidP="008A6D4E">
      <w:pPr>
        <w:jc w:val="both"/>
        <w:rPr>
          <w:rFonts w:ascii="Times New Roman" w:hAnsi="Times New Roman" w:cs="Times New Roman"/>
          <w:color w:val="000000" w:themeColor="text1"/>
        </w:rPr>
      </w:pPr>
      <w:r w:rsidRPr="00FA3295">
        <w:rPr>
          <w:rFonts w:ascii="Times New Roman" w:hAnsi="Times New Roman" w:cs="Times New Roman"/>
          <w:color w:val="000000" w:themeColor="text1"/>
        </w:rPr>
        <w:t>KGD6, R Cluster Field, Development Status, Exploration Strategy, Coal Bed Methane and US Shale</w:t>
      </w:r>
      <w:r w:rsidR="00EC7259" w:rsidRPr="00FA3295">
        <w:rPr>
          <w:rFonts w:ascii="Times New Roman" w:hAnsi="Times New Roman" w:cs="Times New Roman"/>
          <w:color w:val="000000" w:themeColor="text1"/>
        </w:rPr>
        <w:t xml:space="preserve"> constitutes the Key Business Performance Indicators of Reliance Oil and Gas Industries.</w:t>
      </w:r>
    </w:p>
    <w:p w14:paraId="0573715A" w14:textId="77777777" w:rsidR="003E18AD" w:rsidRPr="00FA3295" w:rsidRDefault="000775AF" w:rsidP="003E18AD">
      <w:pPr>
        <w:pStyle w:val="ListParagraph"/>
        <w:numPr>
          <w:ilvl w:val="0"/>
          <w:numId w:val="1"/>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 xml:space="preserve">KGD6 Block has produced 3 TCFe of gas, oil and condensate while establishing several global benchmarks in terms of operational performance, including 99.9% uptime and 100% incident-free operations. </w:t>
      </w:r>
    </w:p>
    <w:p w14:paraId="01FFE4E0" w14:textId="4934B0E7" w:rsidR="00EC5372" w:rsidRPr="00FA3295" w:rsidRDefault="000775AF" w:rsidP="003E18AD">
      <w:pPr>
        <w:pStyle w:val="ListParagraph"/>
        <w:numPr>
          <w:ilvl w:val="0"/>
          <w:numId w:val="1"/>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R Cluster field located at a water depth of greater</w:t>
      </w:r>
      <w:r w:rsidR="00450508" w:rsidRPr="00FA3295">
        <w:rPr>
          <w:rFonts w:ascii="Times New Roman" w:hAnsi="Times New Roman" w:cs="Times New Roman"/>
          <w:color w:val="000000" w:themeColor="text1"/>
        </w:rPr>
        <w:t xml:space="preserve"> than 2000 meters is Asia’s deepest and India’s first ultra-deep-water gas field. The field is expected to reach plateau gas production of about 12.8 MMSCMD in 2021.</w:t>
      </w:r>
    </w:p>
    <w:p w14:paraId="41809D4E" w14:textId="77777777" w:rsidR="003E18AD" w:rsidRPr="00FA3295" w:rsidRDefault="00450508" w:rsidP="003E18AD">
      <w:pPr>
        <w:pStyle w:val="ListParagraph"/>
        <w:numPr>
          <w:ilvl w:val="0"/>
          <w:numId w:val="1"/>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Development status of MJ Field is underway with its first installation campaign commenced in 4Q FY 2021 and final installation campaign planned in 4Q FY 2022. D1D3 field ceased production in February 2020 and field decommissioning plan subject to OISD’s approval.</w:t>
      </w:r>
    </w:p>
    <w:p w14:paraId="1BDF7CB6" w14:textId="77777777" w:rsidR="003E18AD" w:rsidRPr="00FA3295" w:rsidRDefault="00313716" w:rsidP="003E18AD">
      <w:pPr>
        <w:pStyle w:val="ListParagraph"/>
        <w:numPr>
          <w:ilvl w:val="0"/>
          <w:numId w:val="1"/>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 xml:space="preserve">3D Seismic Acquisition Campaign and licensing for RIL-BP joint venture are the key indicators in exploration strategy. </w:t>
      </w:r>
    </w:p>
    <w:p w14:paraId="29467526" w14:textId="7E1F8FE0" w:rsidR="00C30D0D" w:rsidRPr="00FA3295" w:rsidRDefault="00313716" w:rsidP="003E18AD">
      <w:pPr>
        <w:pStyle w:val="ListParagraph"/>
        <w:numPr>
          <w:ilvl w:val="0"/>
          <w:numId w:val="1"/>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Coal Bed Methane production from RIL’s Block SP aims to sustain pla</w:t>
      </w:r>
      <w:r w:rsidR="00C30D0D" w:rsidRPr="00FA3295">
        <w:rPr>
          <w:rFonts w:ascii="Times New Roman" w:hAnsi="Times New Roman" w:cs="Times New Roman"/>
          <w:color w:val="000000" w:themeColor="text1"/>
        </w:rPr>
        <w:t xml:space="preserve">teau production along with Reliance Gas Pipelines Limited by connecting the CBM gas fields with the Indian gas grid. </w:t>
      </w:r>
    </w:p>
    <w:p w14:paraId="4FE4E21E" w14:textId="6D41220B" w:rsidR="00EC7259" w:rsidRPr="00FA3295" w:rsidRDefault="00C30D0D" w:rsidP="00EC7259">
      <w:pPr>
        <w:pStyle w:val="ListParagraph"/>
        <w:numPr>
          <w:ilvl w:val="0"/>
          <w:numId w:val="1"/>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 xml:space="preserve">Reliance sold its interest in Marcellus JV to EQT Aurora LLC and Northern OIL &amp; Gas in </w:t>
      </w:r>
      <w:r w:rsidR="003E18AD" w:rsidRPr="00FA3295">
        <w:rPr>
          <w:rFonts w:ascii="Times New Roman" w:hAnsi="Times New Roman" w:cs="Times New Roman"/>
          <w:color w:val="000000" w:themeColor="text1"/>
        </w:rPr>
        <w:t xml:space="preserve">4Q FY 2021. </w:t>
      </w:r>
    </w:p>
    <w:p w14:paraId="55FBDB01" w14:textId="77777777" w:rsidR="00EC7259" w:rsidRPr="00FA3295" w:rsidRDefault="003E18AD" w:rsidP="00EC7259">
      <w:pPr>
        <w:pStyle w:val="ListParagraph"/>
        <w:numPr>
          <w:ilvl w:val="0"/>
          <w:numId w:val="1"/>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 xml:space="preserve">As Ensign JV exited during 2Q FY 2021, Reliance and Ensign acquired its participating interest proportionately. </w:t>
      </w:r>
    </w:p>
    <w:p w14:paraId="7590D29C" w14:textId="77777777" w:rsidR="00EC7259" w:rsidRPr="00FA3295" w:rsidRDefault="003E18AD" w:rsidP="00EC7259">
      <w:pPr>
        <w:pStyle w:val="ListParagraph"/>
        <w:numPr>
          <w:ilvl w:val="0"/>
          <w:numId w:val="1"/>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Shale Gas subsidiaries have impaired their assets, including unavoidable costs based on contractual commitments.</w:t>
      </w:r>
    </w:p>
    <w:p w14:paraId="76C3E812" w14:textId="0C3B0FDA" w:rsidR="00EC7259" w:rsidRPr="00FA3295" w:rsidRDefault="00EC7259" w:rsidP="00EC7259">
      <w:pPr>
        <w:pStyle w:val="ListParagraph"/>
        <w:numPr>
          <w:ilvl w:val="0"/>
          <w:numId w:val="1"/>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Though the pandemic struck down development activities in joint ventures</w:t>
      </w:r>
      <w:r w:rsidR="0041248E" w:rsidRPr="00FA3295">
        <w:rPr>
          <w:rFonts w:ascii="Times New Roman" w:hAnsi="Times New Roman" w:cs="Times New Roman"/>
          <w:color w:val="000000" w:themeColor="text1"/>
        </w:rPr>
        <w:t xml:space="preserve"> its effects were minimalized by maintaining</w:t>
      </w:r>
      <w:r w:rsidRPr="00FA3295">
        <w:rPr>
          <w:rFonts w:ascii="Times New Roman" w:hAnsi="Times New Roman" w:cs="Times New Roman"/>
          <w:color w:val="000000" w:themeColor="text1"/>
        </w:rPr>
        <w:t xml:space="preserve"> strict capital discipline and curtailing developmental activities.</w:t>
      </w:r>
    </w:p>
    <w:p w14:paraId="50DBDC9C" w14:textId="1DAB3247" w:rsidR="0041248E" w:rsidRPr="00FA3295" w:rsidRDefault="0041248E" w:rsidP="0041248E">
      <w:pPr>
        <w:pStyle w:val="ListParagraph"/>
        <w:jc w:val="both"/>
        <w:rPr>
          <w:rFonts w:ascii="Times New Roman" w:hAnsi="Times New Roman" w:cs="Times New Roman"/>
          <w:color w:val="000000" w:themeColor="text1"/>
        </w:rPr>
      </w:pPr>
    </w:p>
    <w:p w14:paraId="4BB48CF5" w14:textId="651C3CC2" w:rsidR="0041248E" w:rsidRPr="00FA3295" w:rsidRDefault="0041248E" w:rsidP="0041248E">
      <w:pPr>
        <w:jc w:val="both"/>
        <w:rPr>
          <w:rFonts w:ascii="Times New Roman" w:hAnsi="Times New Roman" w:cs="Times New Roman"/>
          <w:b/>
          <w:bCs/>
          <w:color w:val="000000" w:themeColor="text1"/>
        </w:rPr>
      </w:pPr>
      <w:r w:rsidRPr="00FA3295">
        <w:rPr>
          <w:rFonts w:ascii="Times New Roman" w:hAnsi="Times New Roman" w:cs="Times New Roman"/>
          <w:b/>
          <w:bCs/>
          <w:color w:val="000000" w:themeColor="text1"/>
        </w:rPr>
        <w:lastRenderedPageBreak/>
        <w:t>TREASURY MANAGEMENT</w:t>
      </w:r>
    </w:p>
    <w:p w14:paraId="38F26235" w14:textId="0CB2E664" w:rsidR="00532EC6" w:rsidRPr="00FA3295" w:rsidRDefault="005C6C02" w:rsidP="0041248E">
      <w:pPr>
        <w:jc w:val="both"/>
        <w:rPr>
          <w:rFonts w:ascii="Times New Roman" w:hAnsi="Times New Roman" w:cs="Times New Roman"/>
          <w:color w:val="000000" w:themeColor="text1"/>
        </w:rPr>
      </w:pPr>
      <w:r w:rsidRPr="00FA3295">
        <w:rPr>
          <w:rFonts w:ascii="Times New Roman" w:hAnsi="Times New Roman" w:cs="Times New Roman"/>
          <w:color w:val="000000" w:themeColor="text1"/>
        </w:rPr>
        <w:t xml:space="preserve">Though FY 2021 was a year of unprecedented volatility in financial market and liquidity conditions, Reliance Oil and Gas could mitigate its treasury insecurities to a greater extent. The company completed one of the largest equity capital raise programmes. The debt liability of US$7.8 billion ECB borrowings was repaid. Strong liquidity position of Rs.2.5 lakh crore of cash was maintained. RIL raised its capital equity in fuel retailing business by entering a partnership with BP. </w:t>
      </w:r>
      <w:r w:rsidR="00532EC6" w:rsidRPr="00FA3295">
        <w:rPr>
          <w:rFonts w:ascii="Times New Roman" w:hAnsi="Times New Roman" w:cs="Times New Roman"/>
          <w:color w:val="000000" w:themeColor="text1"/>
        </w:rPr>
        <w:t>Above mentioned facts enabled Reliance to significantly deleverage its balance sheet and deliver on its promise of attaining zero net debt status</w:t>
      </w:r>
      <w:r w:rsidRPr="00FA3295">
        <w:rPr>
          <w:rFonts w:ascii="Times New Roman" w:hAnsi="Times New Roman" w:cs="Times New Roman"/>
          <w:color w:val="000000" w:themeColor="text1"/>
        </w:rPr>
        <w:t>.</w:t>
      </w:r>
    </w:p>
    <w:p w14:paraId="45459D9F" w14:textId="21EDCFF1" w:rsidR="00630AEF" w:rsidRPr="00FA3295" w:rsidRDefault="00532EC6" w:rsidP="0041248E">
      <w:pPr>
        <w:jc w:val="both"/>
        <w:rPr>
          <w:rFonts w:ascii="Times New Roman" w:hAnsi="Times New Roman" w:cs="Times New Roman"/>
          <w:b/>
          <w:bCs/>
          <w:color w:val="000000" w:themeColor="text1"/>
        </w:rPr>
      </w:pPr>
      <w:r w:rsidRPr="00FA3295">
        <w:rPr>
          <w:rFonts w:ascii="Times New Roman" w:hAnsi="Times New Roman" w:cs="Times New Roman"/>
          <w:b/>
          <w:bCs/>
          <w:i/>
          <w:iCs/>
          <w:color w:val="000000" w:themeColor="text1"/>
        </w:rPr>
        <w:t>C</w:t>
      </w:r>
      <w:r w:rsidR="007E3090" w:rsidRPr="00FA3295">
        <w:rPr>
          <w:rFonts w:ascii="Times New Roman" w:hAnsi="Times New Roman" w:cs="Times New Roman"/>
          <w:b/>
          <w:bCs/>
          <w:i/>
          <w:iCs/>
          <w:color w:val="000000" w:themeColor="text1"/>
        </w:rPr>
        <w:t xml:space="preserve">hallenges: </w:t>
      </w:r>
      <w:r w:rsidR="007E3090" w:rsidRPr="00FA3295">
        <w:rPr>
          <w:rFonts w:ascii="Times New Roman" w:hAnsi="Times New Roman" w:cs="Times New Roman"/>
          <w:color w:val="000000" w:themeColor="text1"/>
        </w:rPr>
        <w:t>Market volatility, large</w:t>
      </w:r>
      <w:r w:rsidRPr="00FA3295">
        <w:rPr>
          <w:rFonts w:ascii="Times New Roman" w:hAnsi="Times New Roman" w:cs="Times New Roman"/>
          <w:color w:val="000000" w:themeColor="text1"/>
        </w:rPr>
        <w:t xml:space="preserve"> scale destruction of demand in the economy</w:t>
      </w:r>
      <w:r w:rsidR="007E3090" w:rsidRPr="00FA3295">
        <w:rPr>
          <w:rFonts w:ascii="Times New Roman" w:hAnsi="Times New Roman" w:cs="Times New Roman"/>
          <w:color w:val="000000" w:themeColor="text1"/>
        </w:rPr>
        <w:t>, s</w:t>
      </w:r>
      <w:r w:rsidRPr="00FA3295">
        <w:rPr>
          <w:rFonts w:ascii="Times New Roman" w:hAnsi="Times New Roman" w:cs="Times New Roman"/>
          <w:color w:val="000000" w:themeColor="text1"/>
        </w:rPr>
        <w:t>ignificant fall in interest rates</w:t>
      </w:r>
      <w:r w:rsidR="007E3090" w:rsidRPr="00FA3295">
        <w:rPr>
          <w:rFonts w:ascii="Times New Roman" w:hAnsi="Times New Roman" w:cs="Times New Roman"/>
          <w:color w:val="000000" w:themeColor="text1"/>
        </w:rPr>
        <w:t>, w</w:t>
      </w:r>
      <w:r w:rsidRPr="00FA3295">
        <w:rPr>
          <w:rFonts w:ascii="Times New Roman" w:hAnsi="Times New Roman" w:cs="Times New Roman"/>
          <w:color w:val="000000" w:themeColor="text1"/>
        </w:rPr>
        <w:t xml:space="preserve">eakening of </w:t>
      </w:r>
      <w:r w:rsidR="007E3090" w:rsidRPr="00FA3295">
        <w:rPr>
          <w:rFonts w:ascii="Times New Roman" w:hAnsi="Times New Roman" w:cs="Times New Roman"/>
          <w:color w:val="000000" w:themeColor="text1"/>
        </w:rPr>
        <w:t>R</w:t>
      </w:r>
      <w:r w:rsidRPr="00FA3295">
        <w:rPr>
          <w:rFonts w:ascii="Times New Roman" w:hAnsi="Times New Roman" w:cs="Times New Roman"/>
          <w:color w:val="000000" w:themeColor="text1"/>
        </w:rPr>
        <w:t>upee</w:t>
      </w:r>
    </w:p>
    <w:p w14:paraId="59FEADB3" w14:textId="79CB8CAD" w:rsidR="00532EC6" w:rsidRPr="00FA3295" w:rsidRDefault="007E3090" w:rsidP="0041248E">
      <w:pPr>
        <w:jc w:val="both"/>
        <w:rPr>
          <w:rFonts w:ascii="Times New Roman" w:hAnsi="Times New Roman" w:cs="Times New Roman"/>
          <w:b/>
          <w:bCs/>
          <w:i/>
          <w:iCs/>
          <w:color w:val="000000" w:themeColor="text1"/>
        </w:rPr>
      </w:pPr>
      <w:r w:rsidRPr="00FA3295">
        <w:rPr>
          <w:rFonts w:ascii="Times New Roman" w:hAnsi="Times New Roman" w:cs="Times New Roman"/>
          <w:b/>
          <w:bCs/>
          <w:i/>
          <w:iCs/>
          <w:color w:val="000000" w:themeColor="text1"/>
        </w:rPr>
        <w:t xml:space="preserve">Managerial Adaptations: </w:t>
      </w:r>
    </w:p>
    <w:p w14:paraId="1B0C43C8" w14:textId="18BE83AB" w:rsidR="007E3090" w:rsidRPr="00FA3295" w:rsidRDefault="007E3090" w:rsidP="007E3090">
      <w:pPr>
        <w:pStyle w:val="ListParagraph"/>
        <w:numPr>
          <w:ilvl w:val="0"/>
          <w:numId w:val="2"/>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Slowdown in hydrocarbons was compensated by strong growth in consumer business</w:t>
      </w:r>
    </w:p>
    <w:p w14:paraId="7D25F94A" w14:textId="77777777" w:rsidR="007E3090" w:rsidRPr="00FA3295" w:rsidRDefault="007E3090" w:rsidP="007E3090">
      <w:pPr>
        <w:pStyle w:val="ListParagraph"/>
        <w:numPr>
          <w:ilvl w:val="0"/>
          <w:numId w:val="2"/>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Ensured liquidity to the business at the optimal risk adjusted cost</w:t>
      </w:r>
    </w:p>
    <w:p w14:paraId="5FCE01C0" w14:textId="24AEA1E1" w:rsidR="007E3090" w:rsidRPr="00FA3295" w:rsidRDefault="007E3090" w:rsidP="007E3090">
      <w:pPr>
        <w:pStyle w:val="ListParagraph"/>
        <w:numPr>
          <w:ilvl w:val="0"/>
          <w:numId w:val="2"/>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Sustained investment in low-risk liquid instruments</w:t>
      </w:r>
    </w:p>
    <w:p w14:paraId="5A84F51A" w14:textId="4897B07D" w:rsidR="007E3090" w:rsidRPr="00FA3295" w:rsidRDefault="007E3090" w:rsidP="009B2F38">
      <w:pPr>
        <w:pStyle w:val="ListParagraph"/>
        <w:numPr>
          <w:ilvl w:val="0"/>
          <w:numId w:val="2"/>
        </w:numPr>
        <w:jc w:val="both"/>
        <w:rPr>
          <w:rFonts w:ascii="Times New Roman" w:hAnsi="Times New Roman" w:cs="Times New Roman"/>
          <w:b/>
          <w:bCs/>
          <w:color w:val="000000" w:themeColor="text1"/>
        </w:rPr>
      </w:pPr>
      <w:r w:rsidRPr="00FA3295">
        <w:rPr>
          <w:rFonts w:ascii="Times New Roman" w:hAnsi="Times New Roman" w:cs="Times New Roman"/>
          <w:color w:val="000000" w:themeColor="text1"/>
        </w:rPr>
        <w:t>Execution of innovatively structured trade products</w:t>
      </w:r>
    </w:p>
    <w:p w14:paraId="381FF8CF" w14:textId="08DCBE88" w:rsidR="00532EC6" w:rsidRPr="00FA3295" w:rsidRDefault="00532EC6" w:rsidP="007E3090">
      <w:pPr>
        <w:pStyle w:val="ListParagraph"/>
        <w:numPr>
          <w:ilvl w:val="0"/>
          <w:numId w:val="2"/>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Recovery of crude oil price by the second half</w:t>
      </w:r>
    </w:p>
    <w:p w14:paraId="10630605" w14:textId="77777777" w:rsidR="009B2F38" w:rsidRPr="00FA3295" w:rsidRDefault="009B2F38" w:rsidP="009B2F38">
      <w:pPr>
        <w:pStyle w:val="ListParagraph"/>
        <w:numPr>
          <w:ilvl w:val="0"/>
          <w:numId w:val="2"/>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Use of appropriate instruments and currencies</w:t>
      </w:r>
    </w:p>
    <w:p w14:paraId="5FF44A98" w14:textId="77777777" w:rsidR="009B2F38" w:rsidRPr="00FA3295" w:rsidRDefault="009B2F38" w:rsidP="009B2F38">
      <w:pPr>
        <w:pStyle w:val="ListParagraph"/>
        <w:numPr>
          <w:ilvl w:val="0"/>
          <w:numId w:val="2"/>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Actively leveraged trade financing solutions</w:t>
      </w:r>
    </w:p>
    <w:p w14:paraId="72CF3EF9" w14:textId="27797D6A" w:rsidR="00532EC6" w:rsidRPr="00FA3295" w:rsidRDefault="00532EC6" w:rsidP="007E3090">
      <w:pPr>
        <w:pStyle w:val="ListParagraph"/>
        <w:numPr>
          <w:ilvl w:val="0"/>
          <w:numId w:val="2"/>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Access</w:t>
      </w:r>
      <w:r w:rsidR="007E3090" w:rsidRPr="00FA3295">
        <w:rPr>
          <w:rFonts w:ascii="Times New Roman" w:hAnsi="Times New Roman" w:cs="Times New Roman"/>
          <w:color w:val="000000" w:themeColor="text1"/>
        </w:rPr>
        <w:t xml:space="preserve"> to</w:t>
      </w:r>
      <w:r w:rsidRPr="00FA3295">
        <w:rPr>
          <w:rFonts w:ascii="Times New Roman" w:hAnsi="Times New Roman" w:cs="Times New Roman"/>
          <w:color w:val="000000" w:themeColor="text1"/>
        </w:rPr>
        <w:t xml:space="preserve"> finance from different markets</w:t>
      </w:r>
    </w:p>
    <w:p w14:paraId="74BD0EA2" w14:textId="045027E8" w:rsidR="00532EC6" w:rsidRPr="00FA3295" w:rsidRDefault="00532EC6" w:rsidP="007E3090">
      <w:pPr>
        <w:pStyle w:val="ListParagraph"/>
        <w:numPr>
          <w:ilvl w:val="0"/>
          <w:numId w:val="2"/>
        </w:numPr>
        <w:jc w:val="both"/>
        <w:rPr>
          <w:rFonts w:ascii="Times New Roman" w:hAnsi="Times New Roman" w:cs="Times New Roman"/>
          <w:color w:val="000000" w:themeColor="text1"/>
        </w:rPr>
      </w:pPr>
      <w:r w:rsidRPr="00FA3295">
        <w:rPr>
          <w:rFonts w:ascii="Times New Roman" w:hAnsi="Times New Roman" w:cs="Times New Roman"/>
          <w:color w:val="000000" w:themeColor="text1"/>
        </w:rPr>
        <w:t>Strong credit rating</w:t>
      </w:r>
    </w:p>
    <w:p w14:paraId="12179679" w14:textId="382D7989" w:rsidR="00046B5B" w:rsidRPr="00FA3295" w:rsidRDefault="00046B5B" w:rsidP="00046B5B">
      <w:pPr>
        <w:jc w:val="both"/>
        <w:rPr>
          <w:rFonts w:ascii="Times New Roman" w:hAnsi="Times New Roman" w:cs="Times New Roman"/>
          <w:color w:val="000000" w:themeColor="text1"/>
        </w:rPr>
      </w:pPr>
      <w:r w:rsidRPr="00FA3295">
        <w:rPr>
          <w:rFonts w:ascii="Times New Roman" w:hAnsi="Times New Roman" w:cs="Times New Roman"/>
          <w:color w:val="000000" w:themeColor="text1"/>
        </w:rPr>
        <w:drawing>
          <wp:inline distT="0" distB="0" distL="0" distR="0" wp14:anchorId="439C4945" wp14:editId="5F7A0860">
            <wp:extent cx="5731510" cy="1828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28800"/>
                    </a:xfrm>
                    <a:prstGeom prst="rect">
                      <a:avLst/>
                    </a:prstGeom>
                  </pic:spPr>
                </pic:pic>
              </a:graphicData>
            </a:graphic>
          </wp:inline>
        </w:drawing>
      </w:r>
    </w:p>
    <w:p w14:paraId="7A6795E1" w14:textId="3BF0297E" w:rsidR="00532EC6" w:rsidRPr="00FA3295" w:rsidRDefault="00532EC6" w:rsidP="0041248E">
      <w:pPr>
        <w:jc w:val="both"/>
        <w:rPr>
          <w:rFonts w:ascii="Times New Roman" w:hAnsi="Times New Roman" w:cs="Times New Roman"/>
          <w:color w:val="000000" w:themeColor="text1"/>
        </w:rPr>
      </w:pPr>
    </w:p>
    <w:p w14:paraId="279ED63E" w14:textId="5AA45FA2" w:rsidR="00665444" w:rsidRPr="00FA3295" w:rsidRDefault="0041248E" w:rsidP="0041248E">
      <w:pPr>
        <w:jc w:val="both"/>
        <w:rPr>
          <w:rFonts w:ascii="Times New Roman" w:hAnsi="Times New Roman" w:cs="Times New Roman"/>
          <w:color w:val="000000" w:themeColor="text1"/>
        </w:rPr>
      </w:pPr>
      <w:r w:rsidRPr="00FA3295">
        <w:rPr>
          <w:rFonts w:ascii="Times New Roman" w:hAnsi="Times New Roman" w:cs="Times New Roman"/>
          <w:b/>
          <w:bCs/>
          <w:color w:val="000000" w:themeColor="text1"/>
        </w:rPr>
        <w:t>RISK MANAGEMENT</w:t>
      </w:r>
    </w:p>
    <w:p w14:paraId="6E3E8428" w14:textId="6B169F5B" w:rsidR="00046B5B" w:rsidRPr="00FA3295" w:rsidRDefault="00AE7306" w:rsidP="0041248E">
      <w:pPr>
        <w:jc w:val="both"/>
        <w:rPr>
          <w:rFonts w:ascii="Times New Roman" w:hAnsi="Times New Roman" w:cs="Times New Roman"/>
          <w:color w:val="000000" w:themeColor="text1"/>
        </w:rPr>
      </w:pPr>
      <w:r w:rsidRPr="00FA3295">
        <w:rPr>
          <w:rFonts w:ascii="Times New Roman" w:hAnsi="Times New Roman" w:cs="Times New Roman"/>
          <w:color w:val="000000" w:themeColor="text1"/>
        </w:rPr>
        <w:t>The f</w:t>
      </w:r>
      <w:r w:rsidR="00665444" w:rsidRPr="00FA3295">
        <w:rPr>
          <w:rFonts w:ascii="Times New Roman" w:hAnsi="Times New Roman" w:cs="Times New Roman"/>
          <w:color w:val="000000" w:themeColor="text1"/>
        </w:rPr>
        <w:t xml:space="preserve">our major risks either </w:t>
      </w:r>
      <w:r w:rsidR="006418EB" w:rsidRPr="00FA3295">
        <w:rPr>
          <w:rFonts w:ascii="Times New Roman" w:hAnsi="Times New Roman" w:cs="Times New Roman"/>
          <w:color w:val="000000" w:themeColor="text1"/>
        </w:rPr>
        <w:t>separately</w:t>
      </w:r>
      <w:r w:rsidR="00665444" w:rsidRPr="00FA3295">
        <w:rPr>
          <w:rFonts w:ascii="Times New Roman" w:hAnsi="Times New Roman" w:cs="Times New Roman"/>
          <w:color w:val="000000" w:themeColor="text1"/>
        </w:rPr>
        <w:t xml:space="preserve"> or in com</w:t>
      </w:r>
      <w:r w:rsidR="006418EB" w:rsidRPr="00FA3295">
        <w:rPr>
          <w:rFonts w:ascii="Times New Roman" w:hAnsi="Times New Roman" w:cs="Times New Roman"/>
          <w:color w:val="000000" w:themeColor="text1"/>
        </w:rPr>
        <w:t>b</w:t>
      </w:r>
      <w:r w:rsidR="00665444" w:rsidRPr="00FA3295">
        <w:rPr>
          <w:rFonts w:ascii="Times New Roman" w:hAnsi="Times New Roman" w:cs="Times New Roman"/>
          <w:color w:val="000000" w:themeColor="text1"/>
        </w:rPr>
        <w:t>ination</w:t>
      </w:r>
      <w:r w:rsidR="006418EB" w:rsidRPr="00FA3295">
        <w:rPr>
          <w:rFonts w:ascii="Times New Roman" w:hAnsi="Times New Roman" w:cs="Times New Roman"/>
          <w:color w:val="000000" w:themeColor="text1"/>
        </w:rPr>
        <w:t xml:space="preserve"> could adversely affect the business ecosystem. Structured and proactive discussions within the risk management framework covers risk management at three levels ensuring three lines of defence along with identification of a new risk and its mitigation.</w:t>
      </w:r>
      <w:r w:rsidR="006B4322" w:rsidRPr="00FA3295">
        <w:rPr>
          <w:rFonts w:ascii="Times New Roman" w:hAnsi="Times New Roman" w:cs="Times New Roman"/>
          <w:color w:val="000000" w:themeColor="text1"/>
        </w:rPr>
        <w:t xml:space="preserve"> Day-to-day risk management functions on a continuous basis while the Business and Strategic risk management integrates risks with key business processes.</w:t>
      </w:r>
      <w:r w:rsidR="006B4322" w:rsidRPr="00FA3295">
        <w:t xml:space="preserve"> </w:t>
      </w:r>
      <w:r w:rsidR="006B4322" w:rsidRPr="00FA3295">
        <w:rPr>
          <w:rFonts w:ascii="Times New Roman" w:hAnsi="Times New Roman" w:cs="Times New Roman"/>
          <w:color w:val="000000" w:themeColor="text1"/>
        </w:rPr>
        <w:t>Oversight to the identification and management of the most significant risks, improving risk management framework and ensuring compliance are carried out by Oversight and Governance tier.</w:t>
      </w:r>
    </w:p>
    <w:p w14:paraId="5DEC63B6" w14:textId="77777777" w:rsidR="00046B5B" w:rsidRPr="00FA3295" w:rsidRDefault="00046B5B" w:rsidP="0041248E">
      <w:pPr>
        <w:jc w:val="both"/>
        <w:rPr>
          <w:rFonts w:ascii="Times New Roman" w:hAnsi="Times New Roman" w:cs="Times New Roman"/>
          <w:color w:val="000000" w:themeColor="text1"/>
        </w:rPr>
      </w:pPr>
    </w:p>
    <w:p w14:paraId="40827E90" w14:textId="6D280204" w:rsidR="006B4322" w:rsidRPr="00101107" w:rsidRDefault="00101107" w:rsidP="0041248E">
      <w:pPr>
        <w:jc w:val="both"/>
        <w:rPr>
          <w:rFonts w:ascii="Times New Roman" w:hAnsi="Times New Roman" w:cs="Times New Roman"/>
          <w:i/>
          <w:iCs/>
          <w:color w:val="000000" w:themeColor="text1"/>
        </w:rPr>
      </w:pPr>
      <w:r w:rsidRPr="00101107">
        <w:rPr>
          <w:rFonts w:ascii="Times New Roman" w:hAnsi="Times New Roman" w:cs="Times New Roman"/>
          <w:b/>
          <w:bCs/>
          <w:i/>
          <w:iCs/>
          <w:color w:val="000000" w:themeColor="text1"/>
        </w:rPr>
        <w:t>Industry Specific Risks:</w:t>
      </w:r>
    </w:p>
    <w:p w14:paraId="02EEA41F" w14:textId="50BA2E7C" w:rsidR="00C257CC" w:rsidRPr="00FA3295" w:rsidRDefault="00AE7306" w:rsidP="0041248E">
      <w:pPr>
        <w:jc w:val="both"/>
        <w:rPr>
          <w:rFonts w:ascii="Times New Roman" w:hAnsi="Times New Roman" w:cs="Times New Roman"/>
          <w:color w:val="000000" w:themeColor="text1"/>
        </w:rPr>
      </w:pPr>
      <w:r w:rsidRPr="00FA3295">
        <w:rPr>
          <w:rFonts w:ascii="Times New Roman" w:hAnsi="Times New Roman" w:cs="Times New Roman"/>
          <w:color w:val="000000" w:themeColor="text1"/>
        </w:rPr>
        <w:lastRenderedPageBreak/>
        <w:drawing>
          <wp:inline distT="0" distB="0" distL="0" distR="0" wp14:anchorId="2E076B27" wp14:editId="6CC6D721">
            <wp:extent cx="5731195" cy="179780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263" cy="1798138"/>
                    </a:xfrm>
                    <a:prstGeom prst="rect">
                      <a:avLst/>
                    </a:prstGeom>
                  </pic:spPr>
                </pic:pic>
              </a:graphicData>
            </a:graphic>
          </wp:inline>
        </w:drawing>
      </w:r>
    </w:p>
    <w:p w14:paraId="21D274EE" w14:textId="604F819E" w:rsidR="00C257CC" w:rsidRPr="00FA3295" w:rsidRDefault="00C257CC" w:rsidP="0041248E">
      <w:pPr>
        <w:jc w:val="both"/>
        <w:rPr>
          <w:rFonts w:ascii="Times New Roman" w:hAnsi="Times New Roman" w:cs="Times New Roman"/>
          <w:b/>
          <w:bCs/>
          <w:color w:val="000000" w:themeColor="text1"/>
        </w:rPr>
      </w:pPr>
      <w:r w:rsidRPr="00FA3295">
        <w:rPr>
          <w:rFonts w:ascii="Times New Roman" w:hAnsi="Times New Roman" w:cs="Times New Roman"/>
          <w:b/>
          <w:bCs/>
          <w:color w:val="000000" w:themeColor="text1"/>
        </w:rPr>
        <w:t>AWARDS</w:t>
      </w:r>
    </w:p>
    <w:p w14:paraId="7DD65E9C" w14:textId="08E2DB82" w:rsidR="00A24E12" w:rsidRPr="00FA3295" w:rsidRDefault="00A24E12" w:rsidP="0041248E">
      <w:pPr>
        <w:jc w:val="both"/>
        <w:rPr>
          <w:rFonts w:ascii="Times New Roman" w:hAnsi="Times New Roman" w:cs="Times New Roman"/>
          <w:b/>
          <w:bCs/>
          <w:color w:val="000000" w:themeColor="text1"/>
        </w:rPr>
      </w:pPr>
      <w:r w:rsidRPr="00FA3295">
        <w:rPr>
          <w:rFonts w:ascii="Times New Roman" w:hAnsi="Times New Roman" w:cs="Times New Roman"/>
          <w:color w:val="000000" w:themeColor="text1"/>
        </w:rPr>
        <w:t>Jamnagar Manufacturing Division refinery awarded the ‘Refinery of the Year’ Award by the Federation of Indian Petroleum Industry</w:t>
      </w:r>
    </w:p>
    <w:p w14:paraId="470C55E8" w14:textId="119AD068" w:rsidR="00046B5B" w:rsidRPr="00FA3295" w:rsidRDefault="0041248E" w:rsidP="0041248E">
      <w:pPr>
        <w:jc w:val="both"/>
        <w:rPr>
          <w:rFonts w:ascii="Times New Roman" w:hAnsi="Times New Roman" w:cs="Times New Roman"/>
          <w:b/>
          <w:bCs/>
          <w:color w:val="000000" w:themeColor="text1"/>
        </w:rPr>
      </w:pPr>
      <w:r w:rsidRPr="00FA3295">
        <w:rPr>
          <w:rFonts w:ascii="Times New Roman" w:hAnsi="Times New Roman" w:cs="Times New Roman"/>
          <w:b/>
          <w:bCs/>
          <w:color w:val="000000" w:themeColor="text1"/>
        </w:rPr>
        <w:t>THE FUTURE AHEAD</w:t>
      </w:r>
    </w:p>
    <w:p w14:paraId="1888F198" w14:textId="2F50717A" w:rsidR="0093659A" w:rsidRDefault="0093659A" w:rsidP="0041248E">
      <w:pPr>
        <w:jc w:val="both"/>
        <w:rPr>
          <w:rFonts w:ascii="Times New Roman" w:hAnsi="Times New Roman" w:cs="Times New Roman"/>
          <w:color w:val="000000" w:themeColor="text1"/>
        </w:rPr>
      </w:pPr>
      <w:r w:rsidRPr="00FA3295">
        <w:rPr>
          <w:rFonts w:ascii="Times New Roman" w:hAnsi="Times New Roman" w:cs="Times New Roman"/>
          <w:color w:val="000000" w:themeColor="text1"/>
        </w:rPr>
        <w:t>Oil and Gas is an important transition fuel. The share of gas expected to increase from 6% to 15% by 2030. Developments in deep-water gas projects in KG D6</w:t>
      </w:r>
      <w:r w:rsidR="002E51C7" w:rsidRPr="00FA3295">
        <w:rPr>
          <w:rFonts w:ascii="Times New Roman" w:hAnsi="Times New Roman" w:cs="Times New Roman"/>
          <w:color w:val="000000" w:themeColor="text1"/>
        </w:rPr>
        <w:t xml:space="preserve"> and Coal Bed Methane projects is expecting to reach the zenith of production of </w:t>
      </w:r>
      <w:r w:rsidR="00205DFF" w:rsidRPr="00FA3295">
        <w:rPr>
          <w:rFonts w:ascii="Times New Roman" w:hAnsi="Times New Roman" w:cs="Times New Roman"/>
          <w:color w:val="000000" w:themeColor="text1"/>
        </w:rPr>
        <w:t xml:space="preserve">30MMSCMD </w:t>
      </w:r>
      <w:r w:rsidR="002E51C7" w:rsidRPr="00FA3295">
        <w:rPr>
          <w:rFonts w:ascii="Times New Roman" w:hAnsi="Times New Roman" w:cs="Times New Roman"/>
          <w:color w:val="000000" w:themeColor="text1"/>
        </w:rPr>
        <w:t>by 2023</w:t>
      </w:r>
      <w:r w:rsidR="00205DFF" w:rsidRPr="00FA3295">
        <w:rPr>
          <w:rFonts w:ascii="Times New Roman" w:hAnsi="Times New Roman" w:cs="Times New Roman"/>
          <w:color w:val="000000" w:themeColor="text1"/>
        </w:rPr>
        <w:t xml:space="preserve"> which is </w:t>
      </w:r>
      <w:r w:rsidR="00FA3295" w:rsidRPr="00FA3295">
        <w:rPr>
          <w:rFonts w:ascii="Times New Roman" w:hAnsi="Times New Roman" w:cs="Times New Roman"/>
          <w:color w:val="000000" w:themeColor="text1"/>
        </w:rPr>
        <w:t>25% of India’s production and 15% of India’s demand.</w:t>
      </w:r>
      <w:r w:rsidR="00B67DCB">
        <w:rPr>
          <w:rFonts w:ascii="Times New Roman" w:hAnsi="Times New Roman" w:cs="Times New Roman"/>
          <w:color w:val="000000" w:themeColor="text1"/>
        </w:rPr>
        <w:t xml:space="preserve"> RIL with its </w:t>
      </w:r>
      <w:r w:rsidR="00301139">
        <w:rPr>
          <w:rFonts w:ascii="Times New Roman" w:hAnsi="Times New Roman" w:cs="Times New Roman"/>
          <w:color w:val="000000" w:themeColor="text1"/>
        </w:rPr>
        <w:t xml:space="preserve">foundations based on a strong vision and mission </w:t>
      </w:r>
      <w:r w:rsidR="006E40F5">
        <w:rPr>
          <w:rFonts w:ascii="Times New Roman" w:hAnsi="Times New Roman" w:cs="Times New Roman"/>
          <w:color w:val="000000" w:themeColor="text1"/>
        </w:rPr>
        <w:t>is foreseeing</w:t>
      </w:r>
      <w:r w:rsidR="00EB0FF4">
        <w:rPr>
          <w:rFonts w:ascii="Times New Roman" w:hAnsi="Times New Roman" w:cs="Times New Roman"/>
          <w:color w:val="000000" w:themeColor="text1"/>
        </w:rPr>
        <w:t xml:space="preserve"> a</w:t>
      </w:r>
      <w:r w:rsidR="00CE6064">
        <w:rPr>
          <w:rFonts w:ascii="Times New Roman" w:hAnsi="Times New Roman" w:cs="Times New Roman"/>
          <w:color w:val="000000" w:themeColor="text1"/>
        </w:rPr>
        <w:t xml:space="preserve"> </w:t>
      </w:r>
      <w:r w:rsidR="00C96F2F">
        <w:rPr>
          <w:rFonts w:ascii="Times New Roman" w:hAnsi="Times New Roman" w:cs="Times New Roman"/>
          <w:color w:val="000000" w:themeColor="text1"/>
        </w:rPr>
        <w:t>promising</w:t>
      </w:r>
      <w:r w:rsidR="00CE6064">
        <w:rPr>
          <w:rFonts w:ascii="Times New Roman" w:hAnsi="Times New Roman" w:cs="Times New Roman"/>
          <w:color w:val="000000" w:themeColor="text1"/>
        </w:rPr>
        <w:t xml:space="preserve"> </w:t>
      </w:r>
      <w:r w:rsidR="00C96F2F">
        <w:rPr>
          <w:rFonts w:ascii="Times New Roman" w:hAnsi="Times New Roman" w:cs="Times New Roman"/>
          <w:color w:val="000000" w:themeColor="text1"/>
        </w:rPr>
        <w:t>future</w:t>
      </w:r>
      <w:r w:rsidR="00CE6064">
        <w:rPr>
          <w:rFonts w:ascii="Times New Roman" w:hAnsi="Times New Roman" w:cs="Times New Roman"/>
          <w:color w:val="000000" w:themeColor="text1"/>
        </w:rPr>
        <w:t xml:space="preserve"> ahead by overcoming</w:t>
      </w:r>
      <w:r w:rsidR="00C96F2F">
        <w:rPr>
          <w:rFonts w:ascii="Times New Roman" w:hAnsi="Times New Roman" w:cs="Times New Roman"/>
          <w:color w:val="000000" w:themeColor="text1"/>
        </w:rPr>
        <w:t xml:space="preserve"> the challenges</w:t>
      </w:r>
      <w:r w:rsidR="007F06DB">
        <w:rPr>
          <w:rFonts w:ascii="Times New Roman" w:hAnsi="Times New Roman" w:cs="Times New Roman"/>
          <w:color w:val="000000" w:themeColor="text1"/>
        </w:rPr>
        <w:t>, preserving its assets, and exploring new</w:t>
      </w:r>
      <w:r w:rsidR="00295983">
        <w:rPr>
          <w:rFonts w:ascii="Times New Roman" w:hAnsi="Times New Roman" w:cs="Times New Roman"/>
          <w:color w:val="000000" w:themeColor="text1"/>
        </w:rPr>
        <w:t xml:space="preserve"> </w:t>
      </w:r>
      <w:r w:rsidR="007F06DB">
        <w:rPr>
          <w:rFonts w:ascii="Times New Roman" w:hAnsi="Times New Roman" w:cs="Times New Roman"/>
          <w:color w:val="000000" w:themeColor="text1"/>
        </w:rPr>
        <w:t>opportunities.</w:t>
      </w:r>
    </w:p>
    <w:p w14:paraId="2C68CB8B" w14:textId="4C344EC7" w:rsidR="00101107" w:rsidRDefault="0099247F" w:rsidP="0041248E">
      <w:pPr>
        <w:jc w:val="both"/>
        <w:rPr>
          <w:rFonts w:ascii="Times New Roman" w:hAnsi="Times New Roman" w:cs="Times New Roman"/>
          <w:b/>
          <w:bCs/>
          <w:color w:val="000000" w:themeColor="text1"/>
        </w:rPr>
      </w:pPr>
      <w:r w:rsidRPr="0099247F">
        <w:rPr>
          <w:rFonts w:ascii="Times New Roman" w:hAnsi="Times New Roman" w:cs="Times New Roman"/>
          <w:b/>
          <w:bCs/>
          <w:color w:val="000000" w:themeColor="text1"/>
        </w:rPr>
        <w:t>REPORT SUMMARY</w:t>
      </w:r>
    </w:p>
    <w:p w14:paraId="0DBF0A27" w14:textId="118A9F3A" w:rsidR="0099247F" w:rsidRDefault="0099247F" w:rsidP="0041248E">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contributions of Reliance Oil and Gas Exploration </w:t>
      </w:r>
      <w:r w:rsidR="004440E0">
        <w:rPr>
          <w:rFonts w:ascii="Times New Roman" w:hAnsi="Times New Roman" w:cs="Times New Roman"/>
          <w:color w:val="000000" w:themeColor="text1"/>
        </w:rPr>
        <w:t>and Production has always been world class.</w:t>
      </w:r>
      <w:r w:rsidR="00B35FDF">
        <w:rPr>
          <w:rFonts w:ascii="Times New Roman" w:hAnsi="Times New Roman" w:cs="Times New Roman"/>
          <w:color w:val="000000" w:themeColor="text1"/>
        </w:rPr>
        <w:t xml:space="preserve"> The single entity meets </w:t>
      </w:r>
      <w:r w:rsidR="004A49A3">
        <w:rPr>
          <w:rFonts w:ascii="Times New Roman" w:hAnsi="Times New Roman" w:cs="Times New Roman"/>
          <w:color w:val="000000" w:themeColor="text1"/>
        </w:rPr>
        <w:t>one-fourth of India’s gross oil and gas assets and</w:t>
      </w:r>
      <w:r w:rsidR="006F7E99">
        <w:rPr>
          <w:rFonts w:ascii="Times New Roman" w:hAnsi="Times New Roman" w:cs="Times New Roman"/>
          <w:color w:val="000000" w:themeColor="text1"/>
        </w:rPr>
        <w:t xml:space="preserve"> </w:t>
      </w:r>
      <w:r w:rsidR="00BE55F1">
        <w:rPr>
          <w:rFonts w:ascii="Times New Roman" w:hAnsi="Times New Roman" w:cs="Times New Roman"/>
          <w:color w:val="000000" w:themeColor="text1"/>
        </w:rPr>
        <w:t>15% of India’s demand. The compan</w:t>
      </w:r>
      <w:r w:rsidR="00965CB8">
        <w:rPr>
          <w:rFonts w:ascii="Times New Roman" w:hAnsi="Times New Roman" w:cs="Times New Roman"/>
          <w:color w:val="000000" w:themeColor="text1"/>
        </w:rPr>
        <w:t>y’s</w:t>
      </w:r>
      <w:r w:rsidR="00F2752B">
        <w:rPr>
          <w:rFonts w:ascii="Times New Roman" w:hAnsi="Times New Roman" w:cs="Times New Roman"/>
          <w:color w:val="000000" w:themeColor="text1"/>
        </w:rPr>
        <w:t xml:space="preserve"> managerial </w:t>
      </w:r>
      <w:r w:rsidR="00965CB8">
        <w:rPr>
          <w:rFonts w:ascii="Times New Roman" w:hAnsi="Times New Roman" w:cs="Times New Roman"/>
          <w:color w:val="000000" w:themeColor="text1"/>
        </w:rPr>
        <w:t xml:space="preserve">decisions and risk mitigation strategies enabled them to showcase a better performance even during the unpredictable pandemic situation. Though the numbers could not outperform the set targets, liquidity maintenance through </w:t>
      </w:r>
      <w:r w:rsidR="00965CB8" w:rsidRPr="00FA3295">
        <w:rPr>
          <w:rFonts w:ascii="Times New Roman" w:hAnsi="Times New Roman" w:cs="Times New Roman"/>
          <w:color w:val="000000" w:themeColor="text1"/>
        </w:rPr>
        <w:t>optimal risk adjusted cost</w:t>
      </w:r>
      <w:r w:rsidR="00965CB8">
        <w:rPr>
          <w:rFonts w:ascii="Times New Roman" w:hAnsi="Times New Roman" w:cs="Times New Roman"/>
          <w:color w:val="000000" w:themeColor="text1"/>
        </w:rPr>
        <w:t xml:space="preserve"> mechanism and sustained investment in low-risk liquid instruments were proactive decisions that retained the company’s integrity. The overall performance of RIL’s Oil and Gas E&amp;P for FY 2020-21 was satisfactory.</w:t>
      </w:r>
    </w:p>
    <w:p w14:paraId="0E0B3749" w14:textId="77777777" w:rsidR="00965CB8" w:rsidRPr="0099247F" w:rsidRDefault="00965CB8" w:rsidP="0041248E">
      <w:pPr>
        <w:jc w:val="both"/>
        <w:rPr>
          <w:rFonts w:ascii="Times New Roman" w:hAnsi="Times New Roman" w:cs="Times New Roman"/>
          <w:color w:val="000000" w:themeColor="text1"/>
        </w:rPr>
      </w:pPr>
    </w:p>
    <w:p w14:paraId="4282133A" w14:textId="77777777" w:rsidR="00101107" w:rsidRDefault="00101107" w:rsidP="0041248E">
      <w:pPr>
        <w:jc w:val="both"/>
        <w:rPr>
          <w:rFonts w:ascii="Times New Roman" w:hAnsi="Times New Roman" w:cs="Times New Roman"/>
          <w:color w:val="000000" w:themeColor="text1"/>
        </w:rPr>
      </w:pPr>
    </w:p>
    <w:p w14:paraId="4DD84749" w14:textId="77777777" w:rsidR="00101107" w:rsidRPr="00FA3295" w:rsidRDefault="00101107" w:rsidP="0041248E">
      <w:pPr>
        <w:jc w:val="both"/>
        <w:rPr>
          <w:rFonts w:ascii="Times New Roman" w:hAnsi="Times New Roman" w:cs="Times New Roman"/>
          <w:color w:val="000000" w:themeColor="text1"/>
        </w:rPr>
      </w:pPr>
    </w:p>
    <w:p w14:paraId="78DF3CAC" w14:textId="77777777" w:rsidR="0041248E" w:rsidRPr="00FA3295" w:rsidRDefault="0041248E" w:rsidP="0041248E">
      <w:pPr>
        <w:pStyle w:val="ListParagraph"/>
        <w:jc w:val="both"/>
        <w:rPr>
          <w:rFonts w:ascii="Times New Roman" w:hAnsi="Times New Roman" w:cs="Times New Roman"/>
          <w:color w:val="000000" w:themeColor="text1"/>
        </w:rPr>
      </w:pPr>
    </w:p>
    <w:p w14:paraId="1FFF749D" w14:textId="26297597" w:rsidR="003E18AD" w:rsidRPr="0041248E" w:rsidRDefault="003E18AD" w:rsidP="008A6D4E">
      <w:pPr>
        <w:jc w:val="both"/>
        <w:rPr>
          <w:rFonts w:ascii="Times New Roman" w:hAnsi="Times New Roman" w:cs="Times New Roman"/>
          <w:color w:val="000000" w:themeColor="text1"/>
        </w:rPr>
      </w:pPr>
    </w:p>
    <w:p w14:paraId="1F90F16E" w14:textId="77777777" w:rsidR="003E18AD" w:rsidRPr="0041248E" w:rsidRDefault="003E18AD" w:rsidP="008A6D4E">
      <w:pPr>
        <w:jc w:val="both"/>
        <w:rPr>
          <w:rFonts w:ascii="Times New Roman" w:hAnsi="Times New Roman" w:cs="Times New Roman"/>
          <w:color w:val="000000" w:themeColor="text1"/>
        </w:rPr>
      </w:pPr>
    </w:p>
    <w:p w14:paraId="7B847438" w14:textId="77777777" w:rsidR="00450508" w:rsidRPr="0041248E" w:rsidRDefault="00450508" w:rsidP="008A6D4E">
      <w:pPr>
        <w:jc w:val="both"/>
        <w:rPr>
          <w:rFonts w:ascii="Times New Roman" w:hAnsi="Times New Roman" w:cs="Times New Roman"/>
          <w:color w:val="000000" w:themeColor="text1"/>
        </w:rPr>
      </w:pPr>
    </w:p>
    <w:p w14:paraId="3384B8DB" w14:textId="77777777" w:rsidR="000775AF" w:rsidRPr="0041248E" w:rsidRDefault="000775AF" w:rsidP="008A6D4E">
      <w:pPr>
        <w:jc w:val="both"/>
        <w:rPr>
          <w:rFonts w:ascii="Times New Roman" w:hAnsi="Times New Roman" w:cs="Times New Roman"/>
          <w:color w:val="000000" w:themeColor="text1"/>
        </w:rPr>
      </w:pPr>
    </w:p>
    <w:p w14:paraId="71B442D5" w14:textId="557B8B2D" w:rsidR="00EF7AFE" w:rsidRPr="0041248E" w:rsidRDefault="00EF7AFE" w:rsidP="008A6D4E">
      <w:pPr>
        <w:jc w:val="both"/>
        <w:rPr>
          <w:rFonts w:ascii="Times New Roman" w:hAnsi="Times New Roman" w:cs="Times New Roman"/>
          <w:color w:val="000000" w:themeColor="text1"/>
        </w:rPr>
      </w:pPr>
    </w:p>
    <w:p w14:paraId="407864F8" w14:textId="77777777" w:rsidR="00906911" w:rsidRPr="0041248E" w:rsidRDefault="00906911" w:rsidP="008A6D4E">
      <w:pPr>
        <w:jc w:val="both"/>
        <w:rPr>
          <w:rFonts w:ascii="Times New Roman" w:hAnsi="Times New Roman" w:cs="Times New Roman"/>
          <w:color w:val="000000" w:themeColor="text1"/>
        </w:rPr>
      </w:pPr>
    </w:p>
    <w:p w14:paraId="0C5A8A59" w14:textId="77777777" w:rsidR="00906911" w:rsidRPr="0041248E" w:rsidRDefault="00906911" w:rsidP="008A6D4E">
      <w:pPr>
        <w:jc w:val="both"/>
        <w:rPr>
          <w:rFonts w:ascii="Times New Roman" w:hAnsi="Times New Roman" w:cs="Times New Roman"/>
          <w:color w:val="000000" w:themeColor="text1"/>
          <w:sz w:val="24"/>
          <w:szCs w:val="24"/>
        </w:rPr>
      </w:pPr>
    </w:p>
    <w:sectPr w:rsidR="00906911" w:rsidRPr="00412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46332"/>
    <w:multiLevelType w:val="hybridMultilevel"/>
    <w:tmpl w:val="E2126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4C146D"/>
    <w:multiLevelType w:val="hybridMultilevel"/>
    <w:tmpl w:val="1AB29E06"/>
    <w:lvl w:ilvl="0" w:tplc="A8A449C2">
      <w:start w:val="199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B21DFA"/>
    <w:multiLevelType w:val="hybridMultilevel"/>
    <w:tmpl w:val="D11E1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B6"/>
    <w:rsid w:val="000154B6"/>
    <w:rsid w:val="00046B5B"/>
    <w:rsid w:val="000775AF"/>
    <w:rsid w:val="00084F09"/>
    <w:rsid w:val="000B52CA"/>
    <w:rsid w:val="000E7A08"/>
    <w:rsid w:val="00101107"/>
    <w:rsid w:val="00175BFC"/>
    <w:rsid w:val="001B4AAE"/>
    <w:rsid w:val="001E4F1E"/>
    <w:rsid w:val="00205DFF"/>
    <w:rsid w:val="00295983"/>
    <w:rsid w:val="002E51C7"/>
    <w:rsid w:val="00301139"/>
    <w:rsid w:val="00313716"/>
    <w:rsid w:val="00346F55"/>
    <w:rsid w:val="00352543"/>
    <w:rsid w:val="003E18AD"/>
    <w:rsid w:val="0041248E"/>
    <w:rsid w:val="004440E0"/>
    <w:rsid w:val="00450508"/>
    <w:rsid w:val="004A49A3"/>
    <w:rsid w:val="004E2651"/>
    <w:rsid w:val="00532EC6"/>
    <w:rsid w:val="005C6C02"/>
    <w:rsid w:val="005D3A30"/>
    <w:rsid w:val="00600211"/>
    <w:rsid w:val="00630AEF"/>
    <w:rsid w:val="006418EB"/>
    <w:rsid w:val="00665444"/>
    <w:rsid w:val="006A7D57"/>
    <w:rsid w:val="006B4322"/>
    <w:rsid w:val="006E40F5"/>
    <w:rsid w:val="006F7E99"/>
    <w:rsid w:val="007414B1"/>
    <w:rsid w:val="007464A8"/>
    <w:rsid w:val="007C2F82"/>
    <w:rsid w:val="007E3090"/>
    <w:rsid w:val="007F06DB"/>
    <w:rsid w:val="008424CB"/>
    <w:rsid w:val="00843D5B"/>
    <w:rsid w:val="008725D4"/>
    <w:rsid w:val="008A6D4E"/>
    <w:rsid w:val="00906911"/>
    <w:rsid w:val="0093659A"/>
    <w:rsid w:val="00944173"/>
    <w:rsid w:val="00965CB8"/>
    <w:rsid w:val="0099247F"/>
    <w:rsid w:val="009B2F38"/>
    <w:rsid w:val="009B71C4"/>
    <w:rsid w:val="009E0558"/>
    <w:rsid w:val="00A24E12"/>
    <w:rsid w:val="00AB7F09"/>
    <w:rsid w:val="00AE7306"/>
    <w:rsid w:val="00B35FDF"/>
    <w:rsid w:val="00B67DCB"/>
    <w:rsid w:val="00BC4854"/>
    <w:rsid w:val="00BE55F1"/>
    <w:rsid w:val="00BF6765"/>
    <w:rsid w:val="00C257CC"/>
    <w:rsid w:val="00C30D0D"/>
    <w:rsid w:val="00C34F2C"/>
    <w:rsid w:val="00C96F2F"/>
    <w:rsid w:val="00CC36EA"/>
    <w:rsid w:val="00CE6064"/>
    <w:rsid w:val="00D36E0D"/>
    <w:rsid w:val="00D96185"/>
    <w:rsid w:val="00E7165F"/>
    <w:rsid w:val="00EB0FF4"/>
    <w:rsid w:val="00EC5372"/>
    <w:rsid w:val="00EC7259"/>
    <w:rsid w:val="00EF7AFE"/>
    <w:rsid w:val="00F2752B"/>
    <w:rsid w:val="00F606AE"/>
    <w:rsid w:val="00FA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38D57A"/>
  <w15:chartTrackingRefBased/>
  <w15:docId w15:val="{4C19F3A0-DB51-4580-89C8-A64AA314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1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8AD"/>
    <w:pPr>
      <w:ind w:left="720"/>
      <w:contextualSpacing/>
    </w:pPr>
  </w:style>
  <w:style w:type="paragraph" w:styleId="Revision">
    <w:name w:val="Revision"/>
    <w:hidden/>
    <w:uiPriority w:val="99"/>
    <w:semiHidden/>
    <w:rsid w:val="00965C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73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FC66115001DC4D974003B59C937921" ma:contentTypeVersion="13" ma:contentTypeDescription="Create a new document." ma:contentTypeScope="" ma:versionID="f0ee8c0352a8a2d72762cb8a04a895a9">
  <xsd:schema xmlns:xsd="http://www.w3.org/2001/XMLSchema" xmlns:xs="http://www.w3.org/2001/XMLSchema" xmlns:p="http://schemas.microsoft.com/office/2006/metadata/properties" xmlns:ns3="24512f93-8672-4ca5-9781-fd969a8e628c" xmlns:ns4="3ba1de8c-d72f-432a-b86f-01302f5f2ed5" targetNamespace="http://schemas.microsoft.com/office/2006/metadata/properties" ma:root="true" ma:fieldsID="4e03e22e88f86405c1bd1f321535739b" ns3:_="" ns4:_="">
    <xsd:import namespace="24512f93-8672-4ca5-9781-fd969a8e628c"/>
    <xsd:import namespace="3ba1de8c-d72f-432a-b86f-01302f5f2e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12f93-8672-4ca5-9781-fd969a8e62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a1de8c-d72f-432a-b86f-01302f5f2ed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5C291D-0D2A-4418-A30C-4A5B653BC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12f93-8672-4ca5-9781-fd969a8e628c"/>
    <ds:schemaRef ds:uri="3ba1de8c-d72f-432a-b86f-01302f5f2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B9235-C16F-4B94-A193-48045B6BFAF3}">
  <ds:schemaRefs>
    <ds:schemaRef ds:uri="http://schemas.microsoft.com/sharepoint/v3/contenttype/forms"/>
  </ds:schemaRefs>
</ds:datastoreItem>
</file>

<file path=customXml/itemProps3.xml><?xml version="1.0" encoding="utf-8"?>
<ds:datastoreItem xmlns:ds="http://schemas.openxmlformats.org/officeDocument/2006/customXml" ds:itemID="{F52BFA25-2C8A-4BAE-8D41-950383EBFDBC}">
  <ds:schemaRefs>
    <ds:schemaRef ds:uri="3ba1de8c-d72f-432a-b86f-01302f5f2ed5"/>
    <ds:schemaRef ds:uri="http://schemas.microsoft.com/office/2006/documentManagement/types"/>
    <ds:schemaRef ds:uri="http://schemas.openxmlformats.org/package/2006/metadata/core-properties"/>
    <ds:schemaRef ds:uri="http://www.w3.org/XML/1998/namespace"/>
    <ds:schemaRef ds:uri="http://purl.org/dc/terms/"/>
    <ds:schemaRef ds:uri="http://schemas.microsoft.com/office/infopath/2007/PartnerControls"/>
    <ds:schemaRef ds:uri="http://purl.org/dc/dcmitype/"/>
    <ds:schemaRef ds:uri="24512f93-8672-4ca5-9781-fd969a8e628c"/>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SREELAKSHMI</dc:creator>
  <cp:keywords/>
  <dc:description/>
  <cp:lastModifiedBy>S, SREELAKSHMI</cp:lastModifiedBy>
  <cp:revision>2</cp:revision>
  <dcterms:created xsi:type="dcterms:W3CDTF">2022-03-19T09:34:00Z</dcterms:created>
  <dcterms:modified xsi:type="dcterms:W3CDTF">2022-03-19T09:34:00Z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0x01010089FC66115001DC4D974003B59C937921</vt:lpwstr>
  </property>
</Properties>
</file>