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73E8"/>
          <w:sz w:val="56"/>
          <w:szCs w:val="56"/>
        </w:rPr>
        <w:t xml:space="preserve">会展场馆排期行业分析报告</w:t>
      </w:r>
    </w:p>
    <w:p>
      <w:pPr>
        <w:spacing w:after="600" w:before="200"/>
        <w:jc w:val="center"/>
      </w:pPr>
      <w:r>
        <w:rPr>
          <w:rFonts w:ascii="Arial" w:eastAsia="Microsoft YaHei" w:hAnsi="Arial"/>
          <w:color w:val="5F6368"/>
          <w:sz w:val="28"/>
          <w:szCs w:val="28"/>
        </w:rPr>
        <w:t xml:space="preserve">Venue Scheduling Industry Analysis Report</w:t>
      </w:r>
    </w:p>
    <w:p>
      <w:pPr>
        <w:spacing w:after="100" w:before="100"/>
        <w:jc w:val="center"/>
      </w:pPr>
      <w:r>
        <w:rPr>
          <w:rFonts w:ascii="Arial" w:eastAsia="Microsoft YaHei" w:hAnsi="Arial"/>
          <w:color w:val="808080"/>
          <w:sz w:val="24"/>
          <w:szCs w:val="24"/>
        </w:rPr>
        <w:t xml:space="preserve">行业痛点 · 竞品对比 · 市场机会 · 趋势展望</w:t>
      </w:r>
    </w:p>
    <w:p>
      <w:pPr>
        <w:spacing w:before="1200"/>
      </w:pPr>
    </w:p>
    <w:p>
      <w:pPr>
        <w:jc w:val="center"/>
      </w:pPr>
      <w:r>
        <w:rPr>
          <w:rFonts w:ascii="Arial" w:eastAsia="Microsoft YaHei" w:hAnsi="Arial"/>
          <w:color w:val="5F6368"/>
          <w:sz w:val="24"/>
          <w:szCs w:val="24"/>
        </w:rPr>
        <w:t xml:space="preserve">2026年10月</w:t>
      </w:r>
    </w:p>
    <w:p>
      <w:r>
        <w:br w:type="page"/>
      </w:r>
    </w:p>
    <w:p>
      <w:pPr>
        <w:pStyle w:val="Heading1"/>
      </w:pPr>
      <w:r>
        <w:t xml:space="preserve">一、行业概述</w:t>
      </w:r>
    </w:p>
    <w:p>
      <w:pPr>
        <w:pStyle w:val="Heading2"/>
      </w:pPr>
      <w:r>
        <w:t xml:space="preserve">1.1 会展场馆行业现状与规模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会展业作为现代服务业的重要组成部分，是衡量城市开放度、活跃度和综合竞争力的重要标志。近年来，随着中国经济的持续发展和对外开放水平的不断提升，会展场馆建设进入快速发展期，场馆数量和展览面积均居世界前列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据行业统计数据显示，全国规模以上会展场馆已超过350座，室内展览总面积超过1,200万平方米。其中，大型综合体场馆（单馆面积超过10万平方米）数量持续增长，形成了以上海、广州、北京、深圳为核心的会展经济带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与此同时，会展活动的数量和规模也在稳步扩大。每年举办的各类展览、会议、活动超过万场，直接经济产值数千亿元，带动相关产业（旅游、餐饮、住宿、交通等）的乘数效应显著。</w:t>
      </w:r>
    </w:p>
    <w:p>
      <w:pPr>
        <w:pStyle w:val="Heading2"/>
      </w:pPr>
      <w:r>
        <w:t xml:space="preserve">1.2 场馆排期管理的核心地位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在场馆运营体系中，排期管理是连接市场销售与现场执行的核心枢纽，其效率和准确性直接影响场馆的营收能力和客户满意度。排期管理涉及以下关键环节：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档期预订与确认：对接客户需求，锁定场馆可用时段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资源协调与分配：统筹展厅、会议室、装卸口、仓储等资源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进场/撤场安排：制定详细的布展、开展、撤展时间表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多方沟通协调：对接主办方、承建商、物流商等多个利益相关方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排期管理的质量直接决定场馆坪效、客户复购率和运营风险，是场馆运营的“生命线”。</w:t>
      </w:r>
    </w:p>
    <w:p>
      <w:pPr>
        <w:pStyle w:val="Heading2"/>
      </w:pPr>
      <w:r>
        <w:t xml:space="preserve">1.3 数字化转型的行业趋势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当前，会展场馆行业正处于数字化转型的关键阶段。头部场馆纷纷投入巨资建设智慧场馆系统，涵盖在线预订、智能排期、数字化现场管理等功能。然而，数量占绝大多数的中小型场馆仍面临以下困境：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预算有限：无法承担大型ERP/CRM系统的高昂采购和实施成本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人员能力不足：缺乏专业的数字化团队和系统运维能力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业务灵活多变：标准化系统难以适配场馆个性化的业务流程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历史包袱重：已有多套工具并行使用，替换成本和风险都很高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在这样的背景下，“零系统改造、轻量接入、快速见效”的数字化辅助方案正在成为中小场馆的迫切需求。</w:t>
      </w:r>
    </w:p>
    <w:p>
      <w:pPr>
        <w:pStyle w:val="Heading1"/>
      </w:pPr>
      <w:r>
        <w:t xml:space="preserve">二、行业痛点分析（重点）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通过对多家会展场馆的深度调研和访谈，我们总结出排期管理领域存在的七大核心痛点。这些痛点普遍存在于各类规模的场馆中，在中小型场馆尤为突出。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22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痛点类型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业务影响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多系统割裂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服务台、业务台账、文件库三套工具并存，数据分散在不同系统中，彼此不互通。排期人员需要在多个系统间来回切换，手动汇总信息。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color w:val="D93025"/>
                <w:sz w:val="22"/>
                <w:szCs w:val="22"/>
              </w:rPr>
              <w:t xml:space="preserve">效率低下，信息差导致出错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人工核对低效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排期表与邮件/微信中的客户需求不同步，每单约需35分钟逐项核对。多场次、多需求叠加时，核对时间成倍增长。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color w:val="D93025"/>
                <w:sz w:val="22"/>
                <w:szCs w:val="22"/>
              </w:rPr>
              <w:t xml:space="preserve">单均耗时35分钟，人力成本高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版本管理混乱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靠文件名后缀（如"最终版"、"最终最终版"）猜测最新版本，多人协作时极易产生版本分叉，交接时版本不一致。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color w:val="D93025"/>
                <w:sz w:val="22"/>
                <w:szCs w:val="22"/>
              </w:rPr>
              <w:t xml:space="preserve">错用旧版本，引发客户纠纷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交接责任不清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跨岗位/跨部门交接时，只发送"已处理"之类的模糊信息，接手人无法判断处理到什么程度、责任归属如何界定。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color w:val="D93025"/>
                <w:sz w:val="22"/>
                <w:szCs w:val="22"/>
              </w:rPr>
              <w:t xml:space="preserve">交接断层，问题推诿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冲突识别滞后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多个活动共用同一装卸口、同一通道、同一仓储区等资源冲突问题，往往到现场才发现，临时协调成本极高。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color w:val="D93025"/>
                <w:sz w:val="22"/>
                <w:szCs w:val="22"/>
              </w:rPr>
              <w:t xml:space="preserve">现场混乱，客户体验差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追溯困难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只保留最终摘要记录，中间调整过程无据可查。遇到审计、纠纷或复盘时，无法还原决策过程和变更轨迹。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color w:val="D93025"/>
                <w:sz w:val="22"/>
                <w:szCs w:val="22"/>
              </w:rPr>
              <w:t xml:space="preserve">审计不通过，责任无法界定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隐私与授权模糊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跨企业资料访问界限不清，主办方、承建商、场馆三方的资料互访缺乏细粒度的权限控制，存在数据泄露风险。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eastAsia="Microsoft YaHei" w:hAnsi="Arial"/>
                <w:color w:val="D93025"/>
                <w:sz w:val="22"/>
                <w:szCs w:val="22"/>
              </w:rPr>
              <w:t xml:space="preserve">合规风险，客户信任受损</w:t>
            </w:r>
          </w:p>
        </w:tc>
      </w:tr>
    </w:tbl>
    <w:p>
      <w:pPr>
        <w:spacing w:before="240"/>
      </w:pP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以上七大痛点相互关联、相互加剧：系统割裂导致人工核对，人工核对导致版本混乱，版本混乱导致交接不清，最终造成冲突频发、追溯困难、合规风险等一系列问题。</w:t>
      </w:r>
    </w:p>
    <w:p>
      <w:pPr>
        <w:pStyle w:val="Heading1"/>
      </w:pPr>
      <w:r>
        <w:t xml:space="preserve">三、竞品与解决方案对比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目前市场上针对会展场馆排期管理的解决方案大致可分为三类，各有其适用场景和局限性。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方案类型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劣势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传统 ERP/CRM 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188038"/>
                <w:sz w:val="20"/>
                <w:szCs w:val="20"/>
              </w:rPr>
              <w:t xml:space="preserve">功能全面，流程规范，数据统一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D93025"/>
                <w:sz w:val="20"/>
                <w:szCs w:val="20"/>
              </w:rPr>
              <w:t xml:space="preserve">采购成本高（数十万至上百万），实施周期长（6-12个月），定制困难，需专门团队运维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大型场馆集团，预算充足，有专业IT团队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纯 AI 自动化方案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188038"/>
                <w:sz w:val="20"/>
                <w:szCs w:val="20"/>
              </w:rPr>
              <w:t xml:space="preserve">技术先进，自动化程度高，人力投入少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D93025"/>
                <w:sz w:val="20"/>
                <w:szCs w:val="20"/>
              </w:rPr>
              <w:t xml:space="preserve">风险高，准确率不稳定，无法满足人工审核要求，缺乏过程留痕，合规性差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标准化程度极高、容错率高的边缘场景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轻量辅助工具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188038"/>
                <w:sz w:val="20"/>
                <w:szCs w:val="20"/>
              </w:rPr>
              <w:t xml:space="preserve">上手快，成本低，单点效率提升明显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D93025"/>
                <w:sz w:val="20"/>
                <w:szCs w:val="20"/>
              </w:rPr>
              <w:t xml:space="preserve">只解决单点问题，不形成闭环，数据仍分散，无法支撑全流程管理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个人或小团队的特定环节提效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0D652D"/>
                <w:sz w:val="22"/>
                <w:szCs w:val="22"/>
              </w:rPr>
              <w:t xml:space="preserve">本方案（推荐）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0D652D"/>
                <w:sz w:val="20"/>
                <w:szCs w:val="20"/>
              </w:rPr>
              <w:t xml:space="preserve">零系统改造，四周交付；AI辅助+人工确认，安全可控；全过程留痕，合规可追溯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需与现有系统配合使用，不替代核心系统；依赖数据质量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eastAsia="Microsoft YaHei" w:hAnsi="Arial"/>
                <w:color w:val="0D652D"/>
                <w:sz w:val="20"/>
                <w:szCs w:val="20"/>
              </w:rPr>
              <w:t xml:space="preserve">中小型场馆，预算有限，希望快速见效、低风险推进数字化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本方案核心定位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本方案采用“只读关联 + AI 提示 + 人工确认留痕”的创新模式，在不替换现有系统、不改变工作习惯的前提下，为排期管理人员提供智能化辅助：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只读关联：通过只读方式对接现有多套系统数据，不侵入、不修改，确保系统安全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AI 提示：利用大模型进行智能分析，主动识别冲突、异常和待办事项，提供决策建议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人工确认留痕：所有操作均需人工确认，保留完整操作日志，满足审计追溯要求</w:t>
      </w:r>
    </w:p>
    <w:p>
      <w:pPr>
        <w:pStyle w:val="Heading1"/>
      </w:pPr>
      <w:r>
        <w:t xml:space="preserve">四、市场机会</w:t>
      </w:r>
    </w:p>
    <w:p>
      <w:pPr>
        <w:pStyle w:val="Heading2"/>
      </w:pPr>
      <w:r>
        <w:t xml:space="preserve">4.1 中小场馆的数字化需求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全国范围内，中小型会展场馆占场馆总数的80%以上。这些场馆普遍具有以下特征：年营收规模在数千万级别，运营团队规模在50-200人之间，信息化程度较低，预算有限。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这类场馆对于数字化转型有强烈需求，但又面临“买不起、用不起、改不起”的困境。它们需要的不是一套大而全的系统，而是能够快速落地、解决具体痛点、投入产出比清晰的轻量化解决方案。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据估算，仅国内二三线城市的中型场馆就有近200家的潜在客户群体，市场空间可观。</w:t>
      </w:r>
    </w:p>
    <w:p>
      <w:pPr>
        <w:pStyle w:val="Heading2"/>
      </w:pPr>
      <w:r>
        <w:t xml:space="preserve">4.2 AI 辅助而非替代的市场接受度提升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经历了前几年AI概念的热潮和泡沫之后，行业对AI的认知正在趋于理性。企业用户逐渐认识到，在涉及核心业务决策和责任认定的场景中，完全的AI自动化是不现实也是不负责任的。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与此同时，“AI辅助人类工作”的模式正在获得越来越广泛的认可。这种模式下，AI负责处理重复性高、规则明确的信息汇总和异常识别工作，人类则专注于判断、决策和沟通等高价值环节。这种人机协同的方式既提升了效率，又控制了风险，与场馆排期管理的业务特性高度契合。</w:t>
      </w:r>
    </w:p>
    <w:p>
      <w:pPr>
        <w:pStyle w:val="Heading2"/>
      </w:pPr>
      <w:r>
        <w:t xml:space="preserve">4.3 合规与审计要求趋严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随着会展行业的规范化发展，以及国资背景场馆在行业中的比重提升，合规经营和审计追溯的要求正在不断加强。场馆运营方需要：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完整保留业务操作过程记录，满足内外部审计要求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建立清晰的责任认定机制，避免纠纷时各执一词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加强客户数据和商业信息的安全保护，防范泄露风险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合规趋严的大环境，为具备完整留痕和权限管控能力的解决方案提供了有利的市场条件。</w:t>
      </w:r>
    </w:p>
    <w:p>
      <w:pPr>
        <w:pStyle w:val="Heading1"/>
      </w:pPr>
      <w:r>
        <w:t xml:space="preserve">五、行业趋势</w:t>
      </w:r>
    </w:p>
    <w:p>
      <w:pPr>
        <w:pStyle w:val="ListParagraph"/>
        <w:numPr>
          <w:ilvl w:val="0"/>
          <w:numId w:val="3"/>
        </w:numPr>
        <w:spacing w:after="60" w:before="120" w:line="34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从“全自动化”到“人机协同”的认知转变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早期的AI应用倾向于追求端到端的全自动化，试图用算法完全替代人工。但实践表明，在业务复杂度高、责任链条长的场景中，全自动化方案面临准确率瓶颈、责任认定困难、用户信任不足等多重障碍。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行业正在形成共识：AI的价值不在于替代人，而在于赋能人。最佳模式是“AI做前道，人做决策”——由AI完成信息收集、初步筛选、风险提示等辅助性工作，由人完成最终判断和决策。这种模式既提升了效率，又确保了安全可控。</w:t>
      </w:r>
    </w:p>
    <w:p>
      <w:pPr>
        <w:pStyle w:val="ListParagraph"/>
        <w:numPr>
          <w:ilvl w:val="0"/>
          <w:numId w:val="3"/>
        </w:numPr>
        <w:spacing w:after="60" w:before="160" w:line="34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从“大而全”到“小而美、快验证”的实施路径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传统的企业软件实施路径是“总体规划、全面上线”，周期长、投入大、风险高。在数字化转型加速、业务快速变化的今天，这种模式越来越难以适应市场需求。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越来越多的企业开始接受“小步快跑、快速验证”的实施理念：从最痛的单点切入，用最短的时间交付最小可用产品，验证价值后再逐步扩展。这种方式降低了决策门槛和实施风险，也更符合中小企业的预算节奏和管理能力。</w:t>
      </w:r>
    </w:p>
    <w:p>
      <w:pPr>
        <w:pStyle w:val="ListParagraph"/>
        <w:numPr>
          <w:ilvl w:val="0"/>
          <w:numId w:val="3"/>
        </w:numPr>
        <w:spacing w:after="60" w:before="160" w:line="340"/>
      </w:pPr>
      <w:r>
        <w:rPr>
          <w:rFonts w:ascii="Arial" w:eastAsia="Microsoft YaHei" w:hAnsi="Arial"/>
          <w:b/>
          <w:bCs/>
          <w:sz w:val="24"/>
          <w:szCs w:val="24"/>
        </w:rPr>
        <w:t xml:space="preserve">数据隐私与合规要求持续升级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随着《数据安全法》《个人信息保护法》等法规的落地实施，企业对数据安全和合规的重视程度空前提高。在会展行业，客户信息、合同数据、活动方案等都属于敏感商业信息，对数据安全有更高的要求。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这一趋势对解决方案提出了更严格的要求：必须具备完善的权限管理、数据加密、操作审计等能力。同时，“只读不写”的数据接入方式由于不触碰核心业务数据，安全性更高，将更受客户青睐。</w:t>
      </w:r>
    </w:p>
    <w:p>
      <w:pPr>
        <w:pStyle w:val="ListParagraph"/>
        <w:numPr>
          <w:ilvl w:val="0"/>
          <w:numId w:val="3"/>
        </w:numPr>
        <w:spacing w:after="60" w:before="160" w:line="340"/>
      </w:pPr>
      <w:r>
        <w:rPr>
          <w:rFonts w:ascii="Arial" w:eastAsia="Microsoft YaHei" w:hAnsi="Arial"/>
          <w:b/>
          <w:bCs/>
          <w:sz w:val="24"/>
          <w:szCs w:val="24"/>
        </w:rPr>
        <w:t xml:space="preserve">按效果付费/功能点计价等新模式出现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SaaS模式的普及培育了用户的订阅制付费习惯，也降低了企业软件的采购门槛。与此同时，客户对软件价值的要求越来越明确，不愿再为“用不上的功能”买单。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按效果付费、按功能点计价、按需订阅等灵活的商业模式正在兴起。这种模式下，客户可以从最小的投入开始尝试，看到明确效果后再逐步扩大使用范围，供需双方的风险都更低，合作更容易达成。</w:t>
      </w:r>
    </w:p>
    <w:p>
      <w:pPr>
        <w:pStyle w:val="Heading1"/>
      </w:pPr>
      <w:r>
        <w:t xml:space="preserve">六、风险与挑战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在推进场馆排期智能化方案的过程中，需要正视以下风险与挑战，提前制定应对策略。</w:t>
      </w:r>
    </w:p>
    <w:p>
      <w:pPr>
        <w:pStyle w:val="ListParagraph"/>
        <w:numPr>
          <w:ilvl w:val="0"/>
          <w:numId w:val="4"/>
        </w:numPr>
        <w:spacing w:after="60" w:before="120" w:line="340"/>
      </w:pPr>
      <w:r>
        <w:rPr>
          <w:rFonts w:ascii="Arial" w:eastAsia="Microsoft YaHei" w:hAnsi="Arial"/>
          <w:b/>
          <w:bCs/>
          <w:sz w:val="24"/>
          <w:szCs w:val="24"/>
        </w:rPr>
        <w:t xml:space="preserve">业务口径确认难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场馆排期业务看似简单，实则涉及大量隐性规则和特殊情况。要实现准确的AI辅助，需要先明确至少5项前置业务口径：</w:t>
      </w:r>
    </w:p>
    <w:p>
      <w:pPr>
        <w:pStyle w:val="ListParagraph"/>
        <w:numPr>
          <w:ilvl w:val="0"/>
          <w:numId w:val="2"/>
        </w:numPr>
        <w:spacing w:after="40" w:before="40" w:line="320"/>
        <w:ind w:left="720"/>
      </w:pPr>
      <w:r>
        <w:rPr>
          <w:rFonts w:ascii="Arial" w:eastAsia="Microsoft YaHei" w:hAnsi="Arial"/>
          <w:sz w:val="22"/>
          <w:szCs w:val="22"/>
        </w:rPr>
        <w:t xml:space="preserve">排期冲突的判定规则（时间重叠、资源重叠的具体定义）</w:t>
      </w:r>
    </w:p>
    <w:p>
      <w:pPr>
        <w:pStyle w:val="ListParagraph"/>
        <w:numPr>
          <w:ilvl w:val="0"/>
          <w:numId w:val="2"/>
        </w:numPr>
        <w:spacing w:after="40" w:before="40" w:line="320"/>
        <w:ind w:left="720"/>
      </w:pPr>
      <w:r>
        <w:rPr>
          <w:rFonts w:ascii="Arial" w:eastAsia="Microsoft YaHei" w:hAnsi="Arial"/>
          <w:sz w:val="22"/>
          <w:szCs w:val="22"/>
        </w:rPr>
        <w:t xml:space="preserve">优先级排序规则（不同客户、不同类型活动的优先级）</w:t>
      </w:r>
    </w:p>
    <w:p>
      <w:pPr>
        <w:pStyle w:val="ListParagraph"/>
        <w:numPr>
          <w:ilvl w:val="0"/>
          <w:numId w:val="2"/>
        </w:numPr>
        <w:spacing w:after="40" w:before="40" w:line="320"/>
        <w:ind w:left="720"/>
      </w:pPr>
      <w:r>
        <w:rPr>
          <w:rFonts w:ascii="Arial" w:eastAsia="Microsoft YaHei" w:hAnsi="Arial"/>
          <w:sz w:val="22"/>
          <w:szCs w:val="22"/>
        </w:rPr>
        <w:t xml:space="preserve">进撤场时间的计算标准（含布展、撤展的缓冲时间规则）</w:t>
      </w:r>
    </w:p>
    <w:p>
      <w:pPr>
        <w:pStyle w:val="ListParagraph"/>
        <w:numPr>
          <w:ilvl w:val="0"/>
          <w:numId w:val="2"/>
        </w:numPr>
        <w:spacing w:after="40" w:before="40" w:line="320"/>
        <w:ind w:left="720"/>
      </w:pPr>
      <w:r>
        <w:rPr>
          <w:rFonts w:ascii="Arial" w:eastAsia="Microsoft YaHei" w:hAnsi="Arial"/>
          <w:sz w:val="22"/>
          <w:szCs w:val="22"/>
        </w:rPr>
        <w:t xml:space="preserve">资源分类与属性定义（展厅、会议室、装卸口等资源的具体参数）</w:t>
      </w:r>
    </w:p>
    <w:p>
      <w:pPr>
        <w:pStyle w:val="ListParagraph"/>
        <w:numPr>
          <w:ilvl w:val="0"/>
          <w:numId w:val="2"/>
        </w:numPr>
        <w:spacing w:after="40" w:before="40" w:line="320"/>
        <w:ind w:left="720"/>
      </w:pPr>
      <w:r>
        <w:rPr>
          <w:rFonts w:ascii="Arial" w:eastAsia="Microsoft YaHei" w:hAnsi="Arial"/>
          <w:sz w:val="22"/>
          <w:szCs w:val="22"/>
        </w:rPr>
        <w:t xml:space="preserve">审批流程与权限划分（各岗位的操作权限和审批层级）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这些口径往往没有成文规定，而是存在于老员工的经验中，需要通过深度访谈和梳理才能明确。</w:t>
      </w:r>
    </w:p>
    <w:p>
      <w:pPr>
        <w:pStyle w:val="ListParagraph"/>
        <w:numPr>
          <w:ilvl w:val="0"/>
          <w:numId w:val="4"/>
        </w:numPr>
        <w:spacing w:after="60" w:before="160" w:line="340"/>
      </w:pPr>
      <w:r>
        <w:rPr>
          <w:rFonts w:ascii="Arial" w:eastAsia="Microsoft YaHei" w:hAnsi="Arial"/>
          <w:b/>
          <w:bCs/>
          <w:sz w:val="24"/>
          <w:szCs w:val="24"/>
        </w:rPr>
        <w:t xml:space="preserve">数据质量参差不齐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AI辅助方案的效果高度依赖输入数据的质量。然而，由于历史原因，很多场馆的数据存在以下问题：字段不规范、信息不完整、格式不统一、历史数据缺失等。数据质量问题可能导致AI识别准确率下降，影响用户体验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应对策略：在项目初期进行数据质量评估，设定合理的预期；优先从数据质量较好的业务环节切入；在使用过程中逐步引导用户规范数据录入。</w:t>
      </w:r>
    </w:p>
    <w:p>
      <w:pPr>
        <w:pStyle w:val="ListParagraph"/>
        <w:numPr>
          <w:ilvl w:val="0"/>
          <w:numId w:val="4"/>
        </w:numPr>
        <w:spacing w:after="60" w:before="160" w:line="340"/>
      </w:pPr>
      <w:r>
        <w:rPr>
          <w:rFonts w:ascii="Arial" w:eastAsia="Microsoft YaHei" w:hAnsi="Arial"/>
          <w:b/>
          <w:bCs/>
          <w:sz w:val="24"/>
          <w:szCs w:val="24"/>
        </w:rPr>
        <w:t xml:space="preserve">客户方人员配合度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任何新工具的推广都需要用户改变习惯，而改变习惯总是困难的。特别是对于已经有固定工作模式的老员工来说，接受新工具可能存在抵触情绪。如果客户方核心人员配合度不高，项目推进将面临很大阻力。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应对策略：选择有变革意愿的客户作为试点；从“减少重复劳动”的角度切入，让用户先感受到实实在在的便利；提供充分的培训和支持，降低使用门槛。</w:t>
      </w:r>
    </w:p>
    <w:p>
      <w:pPr>
        <w:pStyle w:val="ListParagraph"/>
        <w:numPr>
          <w:ilvl w:val="0"/>
          <w:numId w:val="4"/>
        </w:numPr>
        <w:spacing w:after="60" w:before="160" w:line="340"/>
      </w:pPr>
      <w:r>
        <w:rPr>
          <w:rFonts w:ascii="Arial" w:eastAsia="Microsoft YaHei" w:hAnsi="Arial"/>
          <w:b/>
          <w:bCs/>
          <w:sz w:val="24"/>
          <w:szCs w:val="24"/>
        </w:rPr>
        <w:t xml:space="preserve">试点效果的归因难度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排期管理的效率提升往往难以精确量化。影响排期效率的因素很多（业务量、人员能力、活动复杂度等），很难将效果完全归因于新工具的引入。如果试点效果无法清晰衡量，可能影响后续的推广和付费决策。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应对策略：在试点前建立明确的基线数据（如单均处理时间、冲突发现率、版本错误次数等）；试点过程中做好数据对比；选择可量化的指标作为效果评估依据。</w:t>
      </w:r>
    </w:p>
    <w:p>
      <w:pPr>
        <w:pStyle w:val="Heading1"/>
      </w:pPr>
      <w:r>
        <w:t xml:space="preserve">七、总结与建议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综合以上分析，会展场馆排期管理领域存在明确且普遍的痛点，现有解决方案无法有效满足中小场馆的需求，轻量化AI辅助方案具有良好的市场机会。为确保项目顺利推进，提出以下建议：</w:t>
      </w:r>
    </w:p>
    <w:p>
      <w:pPr>
        <w:pStyle w:val="Heading2"/>
      </w:pPr>
      <w:r>
        <w:t xml:space="preserve">建议一：从单场馆单批次试点切入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不追求一次性覆盖全部业务和全部场馆，而是选择一家有代表性的场馆、选取一个业务批次作为试点。这样做的好处是：实施范围小、周期短（四周可交付）、风险可控；同时可以快速验证方案价值，收集真实反馈，为后续迭代提供依据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试点场馆的选择标准：业务规模适中、数据基础较好、有数字化意愿、配合度高。</w:t>
      </w:r>
    </w:p>
    <w:p>
      <w:pPr>
        <w:pStyle w:val="Heading2"/>
      </w:pPr>
      <w:r>
        <w:t xml:space="preserve">建议二：优先解决交接点和冲突识别两个最高频痛点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在七大痛点中，“交接责任不清”和“冲突识别滞后”是出现频率最高、影响最直接的两个痛点，也是用户感知最强的痛点。优先解决这两个痛点，可以在最短时间内让用户感受到价值，建立用户对方案的信心。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具体而言：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交接点：建立标准化的交接单模板，自动汇总交接内容，明确责任划分，保留交接记录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冲突识别：通过AI自动比对排期数据，提前发现时间冲突、资源冲突等问题，生成预警提示</w:t>
      </w:r>
    </w:p>
    <w:p>
      <w:pPr>
        <w:pStyle w:val="Heading2"/>
      </w:pPr>
      <w:r>
        <w:t xml:space="preserve">建议三：保留人工确认，降低推进阻力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在方案设计中，始终坚持“AI辅助、人做决策”的原则。所有AI给出的建议都需要人工确认后才生效，系统不自动修改任何业务数据。这样做有三重意义：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降低风险：避免AI误判导致的业务损失，责任始终由人承担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减少抵触：让用户感受到是“多了个助手”而不是“被替代”，更容易接受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满足合规：人工确认的过程就是留痕的过程，天然满足审计追溯要求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sz w:val="24"/>
          <w:szCs w:val="24"/>
        </w:rPr>
        <w:t xml:space="preserve">通过以上策略，可以在低风险、低成本的前提下，快速验证方案价值，为后续的产品迭代和市场推广奠定坚实基础。</w:t>
      </w:r>
    </w:p>
    <w:p>
      <w:pPr>
        <w:spacing w:before="600"/>
      </w:pPr>
    </w:p>
    <w:p>
      <w:pPr>
        <w:pBdr>
          <w:top w:val="single" w:color="CCCCCC" w:sz="1" w:space="10"/>
        </w:pBdr>
        <w:spacing w:after="200" w:before="200"/>
        <w:jc w:val="center"/>
      </w:pPr>
      <w:r>
        <w:rPr>
          <w:rFonts w:ascii="Arial" w:eastAsia="Microsoft YaHei" w:hAnsi="Arial"/>
          <w:color w:val="808080"/>
          <w:sz w:val="20"/>
          <w:szCs w:val="20"/>
        </w:rPr>
        <w:t xml:space="preserve">— 报告完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08080"/>
        <w:sz w:val="18"/>
        <w:szCs w:val="18"/>
      </w:rPr>
      <w:t xml:space="preserve">第 </w:t>
    </w:r>
    <w:r>
      <w:rPr>
        <w:rFonts w:ascii="Arial" w:eastAsia="Microsoft YaHei" w:hAnsi="Arial"/>
        <w:color w:val="808080"/>
        <w:sz w:val="18"/>
        <w:szCs w:val="18"/>
      </w:rPr>
      <w:fldChar w:fldCharType="begin"/>
    </w:r>
    <w:r>
      <w:rPr>
        <w:rFonts w:ascii="Arial" w:eastAsia="Microsoft YaHei" w:hAnsi="Arial"/>
        <w:color w:val="808080"/>
        <w:sz w:val="18"/>
        <w:szCs w:val="18"/>
      </w:rPr>
      <w:instrText xml:space="preserve">PAGE</w:instrText>
    </w:r>
    <w:r>
      <w:rPr>
        <w:rFonts w:ascii="Arial" w:eastAsia="Microsoft YaHei" w:hAnsi="Arial"/>
        <w:color w:val="808080"/>
        <w:sz w:val="18"/>
        <w:szCs w:val="18"/>
      </w:rPr>
      <w:fldChar w:fldCharType="separate"/>
    </w:r>
    <w:r>
      <w:rPr>
        <w:rFonts w:ascii="Arial" w:eastAsia="Microsoft YaHei" w:hAnsi="Arial"/>
        <w:color w:val="808080"/>
        <w:sz w:val="18"/>
        <w:szCs w:val="18"/>
      </w:rPr>
      <w:fldChar w:fldCharType="end"/>
    </w:r>
    <w:r>
      <w:rPr>
        <w:rFonts w:ascii="Arial" w:eastAsia="Microsoft YaHei" w:hAnsi="Arial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08080"/>
        <w:sz w:val="18"/>
        <w:szCs w:val="18"/>
      </w:rPr>
      <w:t xml:space="preserve">会展场馆排期行业分析报告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pBdr>
        <w:bottom w:val="single" w:color="1A73E8" w:sz="6" w:space="8"/>
      </w:pBdr>
      <w:spacing w:after="240" w:before="360"/>
      <w:outlineLvl w:val="0"/>
    </w:pPr>
    <w:rPr>
      <w:rFonts w:ascii="Arial" w:eastAsia="Microsoft YaHei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02124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5F636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2026-10-23T04:32:17.451Z</dcterms:created>
  <dcterms:modified xsi:type="dcterms:W3CDTF">2026-10-23T04:32:17.452Z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