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Monday, 11/05/2026</w:t>
      </w:r>
    </w:p>
    <w:p/>
    <w:p>
      <w:pPr>
        <w:spacing w:after="60"/>
      </w:pPr>
      <w:r>
        <w:rPr>
          <w:rFonts w:ascii="Times New Roman" w:hAnsi="Times New Roman"/>
          <w:b/>
          <w:sz w:val="26"/>
        </w:rPr>
        <w:t>1. Relief for lawyers as Uttarakhand continues offline document registration</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 /Dehradun The Uttarakhand government has clarified that property and document registration in the State will continue in both online and offline modes. The decision came after advocates raised concerns that making the system fully online would affect their work and business. A recent official letter stated that the registration process should not be made completely online at present. The secretary of the Bar Association of Dehradun, Ajay Bisht said that their demand also includes making wills and marriage certificates available through the offline mode, as these services are still being processed online. He said that an order has now been issued regarding property and document registration. He added that the association has demanded both online and offline methods so that people can choose whichever mode is more comfortable for them. He also said that the online system has affected the work of many advocates, typists and stamp vendors. According to officials, making the process fully online may affect advocates, deed writers and people who depend on offline registration work. Because of this, the old offline system will continue along with the online facility. Officials also referred to the Uttarakhand Rules, 2023, under which identity verification of people involved in registration can be done through Aadhaar-based biometric methods. This includes fingerprint scan, iris scan and other digital verification systems. According to the government, the aim of biometric verification is to confirm the identity of the person signing the document and to stop fraud cases, fake registrations and impersonation. At the same time, the order also mentions that citizens will have the option to choose from either system. People can register their documents online or complete the process through the traditional offline method.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Yogi Adityanath's Cabinet expansion sharpens BJP's micro-caste strategy ahead of 2027 polls</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Governance - 2 min read This strategy aims for incremental electoral gains. The expansion reflects BJP's focus on micro-social coalitions. It ensures caste and geographic spread. The move counters Akhilesh Yadav's PDA outreach. It seeks to strengthen BJP's position ahead of assembly elections. Jatin Takkar - ET Bureau - Published On May 11, 2026 at 10:49 AM IST Copy Link Share on WhatsApp Share on Linkedin Share on X Share on Telegram Share on Facebook Yogi Adityanath New Delhi: In a finely calibrated social engineering exercise, the Yogi Adityanath-led Uttar Pradesh government has expanded its Cabinet with a clear emphasis on smaller, less politically dominant, caste groups within the OBC and Scheduled Caste segments that may not individually command large vote banks but offer significant incremental gains in tightly contested elections. The expansion, which includes six fresh inductions and two promotions, reflects BJP's continued focus on aggregating micro-social coalitions across regions, ensuring both caste and geographic spread. With barely a year left for UP assembly elections, the exercise is being seen as BJP's attempt to counter Samajwadi Party chief Akhilesh Yadav 's PDA (Pichda, Dalit, Alpsankhyak) outreach strategy. Significantly, several of the caste groups accommodated in the reshuffle are believed to have drifted away from BJP during the Lok Sabha elections, prompting the party to recalibrate its social coalition ahead of the 2027 contest. Advt From eastern UP, Hansraj Vishwakarma, an MLC from Varanasi, representing the Vishwakarma OBC community has been elevated. A grassroots leader with deep organisational roots, his elevation signals the party's intent to reward loyal cadre while strengthening its hold in the Purvanchal belt. Given his proximity to the central leadership, he may be assigned a significant portfolio. Western UP finds representation in Surendra Diler, MLA from Khurja in Bulandshahr, who is a Valmiki Scheduled Caste. His induction bolsters the party's outreach among sanitation-linked Dalit communities. From Bundelkhand, Krishna Paswan, MLA from Khaga, brings in representation from the Pasi community -- an influential but often underrepresented Scheduled Caste group in the region. Her inclusion underlines BJP's continued push to consolidate support among non-dominant Dalit sub-castes in this belt. The OBC matrix is further broadened with Kailash Rajput (Lodh), a community with influence in central and western UP, while the promotion of Somendra Tomar (Gurjar) strengthens the party's position in western UP, particularly in districts where Gurjars play a decisive role. Ajit Pal (Pal community), with influence in parts of central and eastern UP, was also elevated, reinforcing outreach among the pastoral OBC groups. Adding organisational heft with regional balance, Bhupendra Singh Chaudhary, a prominent Jat leader from western UP and former state BJP president, brings both caste and regional weight. He enjoys the confidence of BJP's central leadership. In contrast, upper-caste representation remains measured. Manoj Pandey, a Brahmin leader from Awadh region who recently crossed over from the Samajwadi Party during the Rajya Sabha bypolls, is the lone general category induction. His inclusion appears more politically strategic than representational. Notably, there has been no fresh inclusion from the Thakur community, a move that signals a conscious attempt to avoid perceptions of over-concentration of power within any single dominant group. Jatin Takkar , --&gt; - By - See more on: - 2027 UP Assembly Elections , - Yogi Adityanath , - BJP Social Engineering , - Uttar Pradesh Cabinet Expansion , - Akhilesh Yadav , - yogi cabinet expansion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to help upgrade Hope habitat in Ladakh for training Gaganyaan astronauts - India Today</w:t>
      </w:r>
    </w:p>
    <w:p>
      <w:pPr>
        <w:spacing w:after="60"/>
      </w:pPr>
      <w:r>
        <w:rPr>
          <w:rFonts w:ascii="Times New Roman" w:hAnsi="Times New Roman"/>
          <w:i/>
          <w:sz w:val="20"/>
        </w:rPr>
        <w:t>"ISRO OR NRSC OR IIRS after:2026-05-10"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ambitions for human spaceflight are driving new upgrades deep in the high-altitude cold desert of Ladakh, where a remote analogue habitat designed to simulate the harsh conditions of space is being expanded to support future astronaut training missions linked to the Indian Space Research Organisation's (Isro) Gaganyaan programme. The Hope Habitat, set up in the Tso Kar valley of Ladakh and developed by space research company Protoplanet, is now being upgraded after completing an earlier analogue isolation mission with help from the Indian space agency. The Hope habitat in Ladakh's Tso Kar valley. (Photo: Sibu Tripathi) Read Full Story According to Dr. Siddharth Pandey, founder of Protoplanet, the initiative is being carried out in collaboration with Isro's Human Space Flight Centre to help astronauts prepare for the physical and psychological challenges of spaceflight. Pandey said the project gained momentum after the successful Hope analogue mission conducted in 2025. The programme later evolved into a specialised training exercise involving Isro engineers and astronauts, aimed at studying how teams function under stressful and isolated conditions similar to those encountered during long-duration space missions. WHY IS LADAKH IDEAL FOR SPACE TRAINING? The Ladakh environment was chosen because it replicates several spaceflight stressors. The region's extreme isolation, low atmospheric pressure, oxygen scarcity, freezing temperatures, and sharp thermal swings create conditions that affect both physical performance and group dynamics. Researchers are particularly interested in understanding how astronauts collaborate and make decisions in such environments. Protoplanet was recently involved in a simulation mission involving all four designated Gaganyaan astronauts, making it a rare opportunity for researchers to observe actual spaceflight crews instead of analogue participants alone. While earlier missions primarily tested the habitat and infrastructure, the recent programme focused heavily on behavioural studies and teamwork. The four astronauts part of Gaganyaan Mission. (Photo: India Today) HOPE HABITAT TO BE UPGRADED To support the future Hope mission, Protoplanet is working on upgrading the communications systems, power infrastructure, and data monitoring capabilities inside the habitat. The station will also be equipped with surveillance systems, cameras, and wearable biometric devices to study how astronauts respond physiologically and psychologically to prolonged isolation. Psychologists from the Institute of Aerospace Medicine in Bengaluru will also be stationed at the site during the future test mission. The company plans a major expansion of the Hope Habitat over the next two years. The upgrades will allow more personnel to stay at the station while centralising the collection of scientific and behavioural data. Some improvements are expected to be completed during the current summer season in Ladakh, with additional work continuing into next year. Discussions are underway with Isro to make such analogue missions a recurring component of astronaut training for future human spaceflight missions as part of Gaganyaan. - Ends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LPSC Recruitment 2026 : Apply for Scientist, Engineer posts - Dailyhunt</w:t>
      </w:r>
    </w:p>
    <w:p>
      <w:pPr>
        <w:spacing w:after="60"/>
      </w:pPr>
      <w:r>
        <w:rPr>
          <w:rFonts w:ascii="Times New Roman" w:hAnsi="Times New Roman"/>
          <w:i/>
          <w:sz w:val="20"/>
        </w:rPr>
        <w:t>"ISRO OR NRSC OR IIRS after:2026-05-10" - Google News</w:t>
      </w:r>
    </w:p>
    <w:p>
      <w:pPr>
        <w:spacing w:after="80"/>
        <w:jc w:val="left"/>
      </w:pPr>
      <w:hyperlink r:id="rId1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Applications are invited for recruitment of various technical positions or career in ISRO LPSC in 2026. Indian Space Research Organisation- Liquid Propulsion Systems Centre (ISRO LPSC) is inviting applications from eligible candidates for recruitment to the posts or career of Scientists / Engineers in 2026.</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Rosatom 3D Printer India: RusBeam 2800 Commissioned for ISRO Programmes - Manufactur3D</w:t>
      </w:r>
    </w:p>
    <w:p>
      <w:pPr>
        <w:spacing w:after="60"/>
      </w:pPr>
      <w:r>
        <w:rPr>
          <w:rFonts w:ascii="Times New Roman" w:hAnsi="Times New Roman"/>
          <w:i/>
          <w:sz w:val="20"/>
        </w:rPr>
        <w:t>"ISRO OR NRSC OR IIRS after:2026-05-10"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Rosatom 3D Printer India: RusBeam 2800 Commissioned for ISRO Programmes Rosatom has delivered and commissioned its RusBeam 2800 electron-beam 3D printer in India, equipping ISRO with the country's largest vacuum-operated wire deposition system to support the Gaganyaan, Chandrayaan, and space station programmes. Rosatom, Russia's state nuclear and technology corporation, has delivered and commissioned its RusBeam 2800 industrial 3D printer in India, equipping the Indian Space Research Organisation (ISRO) with the country's largest vacuum-operated electron-beam wire deposition system for aerospace component production. The Rosatom 3D printer India deployment, awarded through a competitive international tender, marks the corporation's formal entry into the Indian additive manufacturing market. The system, based on Electron Beam Additive Manufacturing (EBAM) technology, is intended to support ISRO's Gaganyaan crewed spaceflight mission, the Bharatiya Antariksh Space Station programme, and the Chandrayaan lunar missions. Rosatom 3D Printer India Capabilities India's largest vacuum-operated electron-beam wire deposition system - capable of fabricating metal parts up to 2.8 metres tall and four tonnes in weight / Source: Economic Times The RusBeam 2800 is custom-built for its Indian client and operates on software developed by Rosatom. The system can fabricate metal parts up to 2.8 metres in height and weighing up to four tonnes, including components with complex geometries that are difficult or impossible to produce through conventional casting or machining. With a print speed of up to 50 mm/s, the machine can produce a 50 kg component in approximately five hours, offering significantly faster turnaround than traditional subtractive manufacturing processes. The printer is compatible with titanium-, nickel-, and cobalt-chrome-based alloys, as well as other refractory and reactive materials commonly used in aerospace applications requiring high strength, heat resistance, and structural reliability. The system's vacuum-controlled environment ensures metallurgical consistency, which is critical for components destined for the extreme conditions of space. "Rosatom is making a pivotal contribution to the strategic technological partnership between Russia and India. We won this tender offering not only cutting-edge Russian hardware but also our technological expertise, materials, and service, all tailored to the customer's requirements. We are already in discussions with our Indian partners regarding further supplies, joint R&amp;D in additive technologies, as well as potential localisation of equipment manufacturing in India." - Alexey Likhachev, Director General, Rosatom EBAM Technology for Gaganyaan Mission India's growing EBAM capability, a technology now further strengthened by the Rosatom 3D Printer India deployment, on display at Aero India / Source: Twitter For ISRO, the acquisition represents the latest in a series of capability upgrades (building on the organisation's growing investment in additive manufacturing) at a time when India is preparing for long-duration human spaceflight and expanded deep-space exploration. An engineer at ISRO's Vikram Sarabhai Space Centre in Thiruvananthapuram described the EBAM system as enabling a significant improvement in the organisation's ability to fabricate large-scale, near-net-shape components from advanced alloys. The technology is expected to reduce lead times for complex aerospace structures from months to days while maintaining the material integrity required for space environments. ISRO has identified the system as a key asset for achieving rapid prototyping and production goals essential to its future orbital infrastructure programmes. EBAM deposits only the required volume of material rather than machining from solid billets, with metal utilisation rates approaching 90%. Complex parts that previously required multiple welded elements can now be fabricated as single components. India-Russia AM Partnership Expands Complex aerospace structures like these titanium grid fins can now be fabricated as single components, a capability the Rosatom 3D Printer India system is designed to scale / Source: Twitter The delivery forms part of a broader framework between Indian organisations and Rosatom covering additive manufacturing technologies and materials, valued at approximately ₹20 crore. The deal follows the December 2025 summit between Russian President Vladimir Putin and Indian Prime Minister Narendra Modi, which emphasised deeper cooperation in both nuclear and non-nuclear technologies. Rosatom has indicated that discussions are already underway with Indian partners regarding further equipment supplies, joint research and development in additive technologies, and the potential localisation of equipment manufacturing in India. In March 2026, the corporation signed a memorandum of university with HMT Limited, a public-sector engineering company, to manufacture additive technology machines domestically, a move aligned with India's Make in India initiative for the aerospace and defence sectors. Rosatom's export proposition is built around a fully integrated additive manufacturing ecosystem combining proprietary hardware, software, materials, services, and turnkey technology centres. As India accelerates its space ambitions through programmes like Gaganyaan and Chandrayaan, the Rosatom 3D printer India deployment positions ISRO to reshape how mission-critical aerospace components are designed, manufactured, and qualified, reducing reliance on conventional production methods and shortening development cycles for the country's most demanding space missions.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ISRO's Shukrayaan mission will find volcanoes, craters on Venus - MSN</w:t>
      </w:r>
    </w:p>
    <w:p>
      <w:pPr>
        <w:spacing w:after="60"/>
      </w:pPr>
      <w:r>
        <w:rPr>
          <w:rFonts w:ascii="Times New Roman" w:hAnsi="Times New Roman"/>
          <w:i/>
          <w:sz w:val="20"/>
        </w:rPr>
        <w:t>"ISRO OR NRSC OR IIRS after:2026-05-10"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ISRO's Shukrayaan mission will find volcanoes, craters on Venus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ISRO provides updates on planned planetary exploration missions - MSN</w:t>
      </w:r>
    </w:p>
    <w:p>
      <w:pPr>
        <w:spacing w:after="60"/>
      </w:pPr>
      <w:r>
        <w:rPr>
          <w:rFonts w:ascii="Times New Roman" w:hAnsi="Times New Roman"/>
          <w:i/>
          <w:sz w:val="20"/>
        </w:rPr>
        <w:t>"ISRO OR NRSC OR IIRS after:2026-05-10"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provides updates on planned planetary exploration missions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9,700-ton battleship with advanced combat systems, radar sets sail ahead of commissioning</w:t>
      </w:r>
    </w:p>
    <w:p>
      <w:pPr>
        <w:spacing w:after="60"/>
      </w:pPr>
      <w:r>
        <w:rPr>
          <w:rFonts w:ascii="Times New Roman" w:hAnsi="Times New Roman"/>
          <w:i/>
          <w:sz w:val="20"/>
        </w:rPr>
        <w:t>Interesting Engineering</w:t>
      </w:r>
    </w:p>
    <w:p>
      <w:pPr>
        <w:spacing w:after="80"/>
        <w:jc w:val="left"/>
      </w:pPr>
      <w:hyperlink r:id="rId1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new Arleigh Burke-class guided missile destroyer recently set sail ahead of its future commissioning. The Flight III Arleigh Burke-class guided missile destroyer Ted Stevens (DDG 128) departed HII's Ingalls Shipbuilding division. The vessel was en-route to its homeport in Norfolk, Virginia, ahead of its future commissioning in Whittier, Alaska. "The sail-away of Ted Stevens reflects the strong momentum of our Flight III destroyer deliveries and the team's work to deliver the most capable and combat ready ships to the fleet," said Chris Brown, Ingalls Shipbuilding DDG 51 program manager. "Seeing DDG 128 depart Ingalls is a proud moment for us all, and we are honored to support the Navy with a ship that will strengthen U.S. maritime security for decades to come." Next generation of surface combatants Built and delivered by Ingalls, DDG 128 is the second Flight III Arleigh Burke-class destroyer. The ship represents the next generation of surface combatants, featuring the Flight III AN/SPY-6(V)1 radar system and the Aegis Baseline 10 combat system designed to counter evolving threats well into the 21st century. The Arleigh Burke-class destroyer is the main surface combatant class of the United States Navy and one of the most capable multi-role destroyer classes ever built. Designed during the Cold War and continuously upgraded since the late 1980s, these ships perform air defense, missile defense, anti-submarine warfare, anti-surface warfare, and strike missions. Modern class of guided missile destroyers The Arleigh Burke-class destroyer is a modern class of guided missile destroyers that forms the core of the surface fleet of the United States Navy. Developed during the late Cold War period and introduced into service in the early 1990s, these warships were designed to perform a wide range of missions, including air defense, anti-submarine warfare, anti-surface combat, long-range strike operations, and ballistic missile defense. The ships are constructed mainly by HII Ingalls Shipbuilding and General Dynamics Bath Iron Works. Over the years, the class has become one of the most successful and widely used destroyer programs in naval history. Ingalls Shipbuilding currently has five additional Flight III destroyers under construction, with seven more in early pre-planning and material procurement phases. To increase throughput and meet growing demand from the Navy, Ingalls is executing a distributed shipbuilding initiative, partnering with shipyards and fabricators beyond the company's traditional labor market to improve schedule performance across all programs, according to a press release. In 2026, HII plans to outsource more than 2.5 million hours of shipbuilding work, while expanding its structural assembly network of assembly partner companies, enabling more work to be completed outside the shipyard before final assembly, as per the release.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James Webb telescope reveals the bright heart of spiral galaxy Messier 77</w:t>
      </w:r>
    </w:p>
    <w:p>
      <w:pPr>
        <w:spacing w:after="60"/>
      </w:pPr>
      <w:r>
        <w:rPr>
          <w:rFonts w:ascii="Times New Roman" w:hAnsi="Times New Roman"/>
          <w:i/>
          <w:sz w:val="20"/>
        </w:rPr>
        <w:t>Interesting Engineering</w:t>
      </w:r>
    </w:p>
    <w:p>
      <w:pPr>
        <w:spacing w:after="80"/>
        <w:jc w:val="left"/>
      </w:pPr>
      <w:hyperlink r:id="rId2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central region of Messier 77 is dominated by an extremely compact and energetic source that outshines the rest of the galaxy combined, even challenging the sensitivity of the James Webb Space Telescope itself. This is an active galactic nucleus (AGN), powered by a supermassive black hole at its core with an estimated mass of around eight million Suns. Gas in the surrounding region is drawn inward by the black hole's powerful gravity, forming tight, high-speed orbits as it spirals toward the center. In the process, the material collides, compresses, and heats up to extreme temperatures, producing vast amounts of radiation. The bright orange rays extending outward from the galaxy's center are not actual features of Messier 77. They are optical artifacts known as diffraction spikes. These appear when the intense, unresolved light from the AGN interacts with the geometry of Webb's hexagonal mirror segments and the support struts of its secondary mirror, slightly bending the light and creating the characteristic pattern. Hidden structure and starburst activity in Messier 77 The six-plus-two-pointed pattern seen in this image is a standard feature in all observations made by the James Webb Space Telescope. These patterns, known as diffraction spikes, only appear when a light source is both extremely bright and highly concentrated. That is why they are most commonly associated with stars. However, in some galaxies like Messier 77, the central nucleus is bright and compact enough to produce the same effect. Beyond its luminous core, Messier 77 is also a highly active site of star formation. Webb's near-infrared observations reveal a prominent bar structure cutting across the galaxy's central region: an element that is not visible in optical images. Surrounding this bar is a bright starburst ring, formed where the inner ends of the galaxy's spiral arms converge. These starburst regions are characterized by exceptionally high rates of star formation, making M77 a dynamic and evolving galaxy. Messier 77 is also an active spiral galaxy with a disc rich in gas and dust, which both feeds and results from new star formation. Webb's Mid-Infrared Instrument (MIRI) also reveals the cooler dust spread across the galaxy, glowing at longer wavelengths and shown in blue. This helps trace the structure of the galaxy beyond what visible light can show, giving a clearer picture of its ongoing activity. Messier 77's outer filaments hint at its Squid Galaxy nickname The galaxy is also filled with thick clouds of dust that form a large, swirling structure of filaments and empty cavities. Along its spiral arms, bright orange pockets mark areas where new star clusters are forming, carving out glowing bubbles in the surrounding material. Looking beyond the main structure captured by Webb, the galaxy's spiral arms extend into a faint, wide ring of hydrogen gas stretching thousands of light-years. This outer ring is still active with star formation. Even farther out, thin streams of hydrogen reach into surrounding space, creating a delicate outer layer around the galaxy. Because of these long, tentacle-like filaments, Messier 77 is also known as the Squid Galaxy. The latest image is based on data from observing programme #3707, which focused on surveying massive, nearby galaxies that are actively forming stars, and with a goal of building a detailed dataset that can support a wide range of scientific studies. In this case, the high resolution of Webb's instruments clearly reveals dense star clusters along with large reservoirs of gas and dust. These features allow astronomers to examine how stars are born, evolve, and eventually die, both in Messier 77 and in other similar galaxies across the universe.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China showcases submarine-launched anti-mine vehicles, robotic combat dogs at defense expo</w:t>
      </w:r>
    </w:p>
    <w:p>
      <w:pPr>
        <w:spacing w:after="60"/>
      </w:pPr>
      <w:r>
        <w:rPr>
          <w:rFonts w:ascii="Times New Roman" w:hAnsi="Times New Roman"/>
          <w:i/>
          <w:sz w:val="20"/>
        </w:rPr>
        <w:t>Interesting Engineering</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Autonomous underwater drones capable of detecting and neutralizing naval mines emerged as one of the standout attractions at China's 2026 Chengdu Defense Technology Industry Expo, where the country also showcased robotic combat dogs and other advanced unmanned systems. Among the most notable exhibits were submarine-launched autonomous underwater vehicles designed for deep-sea operations and reconnaissance missions. The systems can reportedly be deployed through both 260mm and 533mm torpedo tubes, allowing submarines to launch them without surfacing. Chinese developers said the vehicles are intended for high-precision oceanographic surveys, seabed mapping and underwater reconnaissance. The larger model is capable of operating at depths of up to 9,800 feet, highlighting China's growing investment in AI-enabled naval and autonomous warfare technologies. Underwater drone can map seabeds and neutralise threats Chinese state media described the new system as an autonomous underwater "scout" capable of conducting reconnaissance, long-range patrols and mine-clearing missions without direct human guidance or external software support. According to broadcaster China Central Television, the underwater vehicle can be equipped with specialised mission modules that allow it to detect and neutralise underwater threats, including naval mines. Its modular design also enables operators to install additional battery packs for extended operations or advanced sensor systems for deep-sea reconnaissance and seabed mapping. The report described the platform as an intelligent underwater robot operating independently on behalf of its "mother submarine", highlighting China's continued push toward AI-enabled autonomous naval warfare systems, the South China Morning Post writes. Robot dogs and "robot wolves" used by the People's Liberation Army were also showcased at the expo, highlighting China's growing focus on unmanned ground combat systems. Chinese state media said the robots can navigate difficult terrain and operate as stable mobile weapons platforms resistant to recoil and blast impacts. Aerial cargo drone capable of hauling 3,300 pounds Large unmanned cargo aircraft and heavy-lift supply drones were also among the latest logistics technologies presented at the exp. One of the key systems on display was Aviation Industry Corporation of China's fixed-wing HH-200 "aerial truck", designed to transport up to 3,300 pounds of cargo across long distances at relatively low operating costs. The exhibition also featured a heavy-duty multirotor drone built for high stability during transport missions. According to Chinese state media, the platform can carry payloads of up to 1,100 pounds and airdrop supplies to remote military outposts or disaster-stricken areas. Counter-drone systems were another major focus, with Chinese companies displaying technologies designed to detect, disrupt and neutralise hostile unmanned aircraft. Among the systems presented was an anti-drone swarm platform with a detection range of roughly 6 miles, combining radar, electro-optical and electromagnetic sensors to track aerial threats. The exhibition also featured portable electronic warfare equipment, including handheld spoofing guns and backpack-based systems capable of interfering with enemy drone controls and forcing them to land at designated locations. The systems are seen as part of a broader layered air defense network built around "soft-kill" electronic warfare measures rather than direct physical interception.</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ioneeredge.in/relief-for-lawyers-as-uttarakhand-continues-offline-document-registration/" TargetMode="External"/><Relationship Id="rId11" Type="http://schemas.openxmlformats.org/officeDocument/2006/relationships/image" Target="media/image1.png"/><Relationship Id="rId12" Type="http://schemas.openxmlformats.org/officeDocument/2006/relationships/hyperlink" Target="https://government.economictimes.indiatimes.com/news/governance/yogi-adityanaths-cabinet-expansion-sharpens-bjps-micro-caste-strategy-ahead-of-2027-polls/131004468" TargetMode="External"/><Relationship Id="rId13" Type="http://schemas.openxmlformats.org/officeDocument/2006/relationships/image" Target="media/image2.png"/><Relationship Id="rId14" Type="http://schemas.openxmlformats.org/officeDocument/2006/relationships/hyperlink" Target="https://www.indiatoday.in/science/story/isro-to-help-upgrade-hope-habitat-in-ladakh-for-training-gaganyaan-astronauts-2909850-2026-05-11" TargetMode="External"/><Relationship Id="rId15" Type="http://schemas.openxmlformats.org/officeDocument/2006/relationships/image" Target="media/image3.jpg"/><Relationship Id="rId16" Type="http://schemas.openxmlformats.org/officeDocument/2006/relationships/hyperlink" Target="https://m.dailyhunt.in/news/india/english/north+east+now-epaper-norteast/isro+lpsc+recruitment+2026+apply+for+scientist+engineer+posts-newsid-n710498189" TargetMode="External"/><Relationship Id="rId17" Type="http://schemas.openxmlformats.org/officeDocument/2006/relationships/hyperlink" Target="https://manufactur3dmag.com/rosatom-3d-printer-india-rusbeam-2800-for-isro/" TargetMode="External"/><Relationship Id="rId18" Type="http://schemas.openxmlformats.org/officeDocument/2006/relationships/hyperlink" Target="http://localhost:8080/" TargetMode="External"/><Relationship Id="rId19" Type="http://schemas.openxmlformats.org/officeDocument/2006/relationships/hyperlink" Target="https://interestingengineering.com/military/9700-ton-battleship-advanced-combat-systems" TargetMode="External"/><Relationship Id="rId20" Type="http://schemas.openxmlformats.org/officeDocument/2006/relationships/hyperlink" Target="https://interestingengineering.com/space/nasa-webb-telescope-messier-77-view" TargetMode="External"/><Relationship Id="rId21" Type="http://schemas.openxmlformats.org/officeDocument/2006/relationships/hyperlink" Target="https://interestingengineering.com/military/china-submarine-launched-anti-mine-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